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7"/>
          <w:szCs w:val="17"/>
          <w:b w:val="1"/>
          <w:bCs w:val="1"/>
          <w:color w:val="auto"/>
        </w:rPr>
        <w:t>UNITED STATES</w:t>
      </w:r>
    </w:p>
    <w:p>
      <w:pPr>
        <w:spacing w:after="0" w:line="29"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7"/>
          <w:szCs w:val="17"/>
          <w:color w:val="auto"/>
        </w:rPr>
        <w:t>WASHINGTON, D.C. 20549</w:t>
      </w:r>
    </w:p>
    <w:p>
      <w:pPr>
        <w:spacing w:after="0" w:line="75"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FORM 10-Q</w:t>
      </w:r>
    </w:p>
    <w:p>
      <w:pPr>
        <w:spacing w:after="0" w:line="97"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(Mark One)</w:t>
      </w:r>
    </w:p>
    <w:p>
      <w:pPr>
        <w:spacing w:after="0" w:line="55" w:lineRule="exact"/>
        <w:rPr>
          <w:sz w:val="24"/>
          <w:szCs w:val="24"/>
          <w:color w:val="auto"/>
        </w:rPr>
      </w:pPr>
    </w:p>
    <w:p>
      <w:pPr>
        <w:ind w:left="360" w:hanging="339"/>
        <w:spacing w:after="0"/>
        <w:tabs>
          <w:tab w:leader="none" w:pos="360" w:val="left"/>
        </w:tabs>
        <w:numPr>
          <w:ilvl w:val="0"/>
          <w:numId w:val="1"/>
        </w:numPr>
        <w:rPr>
          <w:rFonts w:ascii="MS PGothic" w:cs="MS PGothic" w:eastAsia="MS PGothic" w:hAnsi="MS PGothic"/>
          <w:sz w:val="14"/>
          <w:szCs w:val="14"/>
          <w:color w:val="auto"/>
        </w:rPr>
      </w:pPr>
      <w:r>
        <w:rPr>
          <w:rFonts w:ascii="Arial" w:cs="Arial" w:eastAsia="Arial" w:hAnsi="Arial"/>
          <w:sz w:val="13"/>
          <w:szCs w:val="13"/>
          <w:b w:val="1"/>
          <w:bCs w:val="1"/>
          <w:color w:val="auto"/>
        </w:rPr>
        <w:t>QUARTERLY REPORT PURSUANT TO SECTION 13 OR 15(d) OF THE SECURITIES EXCHANGE ACT OF 1934</w:t>
      </w:r>
    </w:p>
    <w:p>
      <w:pPr>
        <w:spacing w:after="0" w:line="249" w:lineRule="exact"/>
        <w:rPr>
          <w:sz w:val="24"/>
          <w:szCs w:val="24"/>
          <w:color w:val="auto"/>
        </w:rPr>
      </w:pPr>
    </w:p>
    <w:p>
      <w:pPr>
        <w:ind w:left="5320"/>
        <w:spacing w:after="0"/>
        <w:rPr>
          <w:sz w:val="20"/>
          <w:szCs w:val="20"/>
          <w:color w:val="auto"/>
        </w:rPr>
      </w:pPr>
      <w:r>
        <w:rPr>
          <w:rFonts w:ascii="Arial" w:cs="Arial" w:eastAsia="Arial" w:hAnsi="Arial"/>
          <w:sz w:val="13"/>
          <w:szCs w:val="13"/>
          <w:b w:val="1"/>
          <w:bCs w:val="1"/>
          <w:color w:val="auto"/>
        </w:rPr>
        <w:t>For the quarterly period ended March 31, 2019</w:t>
      </w:r>
    </w:p>
    <w:p>
      <w:pPr>
        <w:spacing w:after="0" w:line="131" w:lineRule="exact"/>
        <w:rPr>
          <w:sz w:val="24"/>
          <w:szCs w:val="24"/>
          <w:color w:val="auto"/>
        </w:rPr>
      </w:pPr>
    </w:p>
    <w:p>
      <w:pPr>
        <w:ind w:left="5680"/>
        <w:spacing w:after="0"/>
        <w:rPr>
          <w:sz w:val="20"/>
          <w:szCs w:val="20"/>
          <w:color w:val="auto"/>
        </w:rPr>
      </w:pPr>
      <w:r>
        <w:rPr>
          <w:rFonts w:ascii="Arial" w:cs="Arial" w:eastAsia="Arial" w:hAnsi="Arial"/>
          <w:sz w:val="13"/>
          <w:szCs w:val="13"/>
          <w:b w:val="1"/>
          <w:bCs w:val="1"/>
          <w:color w:val="auto"/>
        </w:rPr>
        <w:t>or</w:t>
      </w:r>
    </w:p>
    <w:p>
      <w:pPr>
        <w:spacing w:after="0" w:line="98" w:lineRule="exact"/>
        <w:rPr>
          <w:sz w:val="24"/>
          <w:szCs w:val="24"/>
          <w:color w:val="auto"/>
        </w:rPr>
      </w:pPr>
    </w:p>
    <w:p>
      <w:pPr>
        <w:ind w:left="4960" w:right="4520" w:hanging="4939"/>
        <w:spacing w:after="0" w:line="590" w:lineRule="auto"/>
        <w:tabs>
          <w:tab w:leader="none" w:pos="368" w:val="left"/>
        </w:tabs>
        <w:numPr>
          <w:ilvl w:val="0"/>
          <w:numId w:val="2"/>
        </w:numPr>
        <w:rPr>
          <w:rFonts w:ascii="MS PGothic" w:cs="MS PGothic" w:eastAsia="MS PGothic" w:hAnsi="MS PGothic"/>
          <w:sz w:val="13"/>
          <w:szCs w:val="13"/>
          <w:color w:val="auto"/>
        </w:rPr>
      </w:pPr>
      <w:r>
        <w:rPr>
          <w:rFonts w:ascii="Arial" w:cs="Arial" w:eastAsia="Arial" w:hAnsi="Arial"/>
          <w:sz w:val="12"/>
          <w:szCs w:val="12"/>
          <w:b w:val="1"/>
          <w:bCs w:val="1"/>
          <w:color w:val="auto"/>
        </w:rPr>
        <w:t>TRANSITION REPORT PURSUANT TO SECTION 13 OR 15(d) OF THE SECURITIES EXCHANGE ACT OF 1934 For the transition period from to .</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4318635</wp:posOffset>
            </wp:positionH>
            <wp:positionV relativeFrom="paragraph">
              <wp:posOffset>-142875</wp:posOffset>
            </wp:positionV>
            <wp:extent cx="20320" cy="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20320" cy="6985"/>
                    </a:xfrm>
                    <a:prstGeom prst="rect">
                      <a:avLst/>
                    </a:prstGeom>
                    <a:noFill/>
                  </pic:spPr>
                </pic:pic>
              </a:graphicData>
            </a:graphic>
          </wp:anchor>
        </w:drawing>
      </w:r>
    </w:p>
    <w:p>
      <w:pPr>
        <w:jc w:val="center"/>
        <w:spacing w:after="0"/>
        <w:rPr>
          <w:sz w:val="20"/>
          <w:szCs w:val="20"/>
          <w:color w:val="auto"/>
        </w:rPr>
      </w:pPr>
      <w:r>
        <w:rPr>
          <w:rFonts w:ascii="Arial" w:cs="Arial" w:eastAsia="Arial" w:hAnsi="Arial"/>
          <w:sz w:val="14"/>
          <w:szCs w:val="14"/>
          <w:i w:val="1"/>
          <w:iCs w:val="1"/>
          <w:color w:val="auto"/>
        </w:rPr>
        <w:t>Commission File Number: 001-31924</w:t>
      </w:r>
    </w:p>
    <w:p>
      <w:pPr>
        <w:spacing w:after="0" w:line="176"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NELNET, INC.</w:t>
      </w:r>
    </w:p>
    <w:p>
      <w:pPr>
        <w:spacing w:after="0" w:line="21" w:lineRule="exact"/>
        <w:rPr>
          <w:sz w:val="24"/>
          <w:szCs w:val="24"/>
          <w:color w:val="auto"/>
        </w:rPr>
      </w:pPr>
    </w:p>
    <w:p>
      <w:pPr>
        <w:jc w:val="center"/>
        <w:spacing w:after="0"/>
        <w:rPr>
          <w:sz w:val="20"/>
          <w:szCs w:val="20"/>
          <w:color w:val="auto"/>
        </w:rPr>
      </w:pPr>
      <w:r>
        <w:rPr>
          <w:rFonts w:ascii="Arial" w:cs="Arial" w:eastAsia="Arial" w:hAnsi="Arial"/>
          <w:sz w:val="13"/>
          <w:szCs w:val="13"/>
          <w:color w:val="auto"/>
        </w:rPr>
        <w:t>(Exact name of registrant as specified in its charter)</w:t>
      </w:r>
    </w:p>
    <w:p>
      <w:pPr>
        <w:spacing w:after="0" w:line="176" w:lineRule="exact"/>
        <w:rPr>
          <w:sz w:val="24"/>
          <w:szCs w:val="24"/>
          <w:color w:val="auto"/>
        </w:rPr>
      </w:pPr>
    </w:p>
    <w:tbl>
      <w:tblPr>
        <w:tblLayout w:type="fixed"/>
        <w:tblInd w:w="1340" w:type="dxa"/>
        <w:tblCellMar>
          <w:top w:w="0" w:type="dxa"/>
          <w:left w:w="0" w:type="dxa"/>
          <w:bottom w:w="0" w:type="dxa"/>
          <w:right w:w="0" w:type="dxa"/>
        </w:tblCellMar>
      </w:tblPr>
      <w:tr>
        <w:trPr>
          <w:trHeight w:val="149"/>
        </w:trPr>
        <w:tc>
          <w:tcPr>
            <w:tcW w:w="6040" w:type="dxa"/>
            <w:vAlign w:val="bottom"/>
          </w:tcPr>
          <w:p>
            <w:pPr>
              <w:jc w:val="center"/>
              <w:ind w:right="2895"/>
              <w:spacing w:after="0"/>
              <w:rPr>
                <w:sz w:val="20"/>
                <w:szCs w:val="20"/>
                <w:color w:val="auto"/>
              </w:rPr>
            </w:pPr>
            <w:r>
              <w:rPr>
                <w:rFonts w:ascii="Arial" w:cs="Arial" w:eastAsia="Arial" w:hAnsi="Arial"/>
                <w:sz w:val="13"/>
                <w:szCs w:val="13"/>
                <w:b w:val="1"/>
                <w:bCs w:val="1"/>
                <w:color w:val="auto"/>
                <w:w w:val="97"/>
              </w:rPr>
              <w:t>NEBRASKA</w:t>
            </w:r>
          </w:p>
        </w:tc>
        <w:tc>
          <w:tcPr>
            <w:tcW w:w="2160" w:type="dxa"/>
            <w:vAlign w:val="bottom"/>
          </w:tcPr>
          <w:p>
            <w:pPr>
              <w:jc w:val="right"/>
              <w:ind w:right="575"/>
              <w:spacing w:after="0"/>
              <w:rPr>
                <w:sz w:val="20"/>
                <w:szCs w:val="20"/>
                <w:color w:val="auto"/>
              </w:rPr>
            </w:pPr>
            <w:r>
              <w:rPr>
                <w:rFonts w:ascii="Arial" w:cs="Arial" w:eastAsia="Arial" w:hAnsi="Arial"/>
                <w:sz w:val="13"/>
                <w:szCs w:val="13"/>
                <w:b w:val="1"/>
                <w:bCs w:val="1"/>
                <w:color w:val="auto"/>
              </w:rPr>
              <w:t>84-0748903</w:t>
            </w:r>
          </w:p>
        </w:tc>
        <w:tc>
          <w:tcPr>
            <w:tcW w:w="0" w:type="dxa"/>
            <w:vAlign w:val="bottom"/>
          </w:tcPr>
          <w:p>
            <w:pPr>
              <w:spacing w:after="0"/>
              <w:rPr>
                <w:sz w:val="1"/>
                <w:szCs w:val="1"/>
                <w:color w:val="auto"/>
              </w:rPr>
            </w:pPr>
          </w:p>
        </w:tc>
      </w:tr>
      <w:tr>
        <w:trPr>
          <w:trHeight w:val="163"/>
        </w:trPr>
        <w:tc>
          <w:tcPr>
            <w:tcW w:w="6040" w:type="dxa"/>
            <w:vAlign w:val="bottom"/>
          </w:tcPr>
          <w:p>
            <w:pPr>
              <w:jc w:val="center"/>
              <w:ind w:right="2875"/>
              <w:spacing w:after="0"/>
              <w:rPr>
                <w:sz w:val="20"/>
                <w:szCs w:val="20"/>
                <w:color w:val="auto"/>
              </w:rPr>
            </w:pPr>
            <w:r>
              <w:rPr>
                <w:rFonts w:ascii="Arial" w:cs="Arial" w:eastAsia="Arial" w:hAnsi="Arial"/>
                <w:sz w:val="13"/>
                <w:szCs w:val="13"/>
                <w:color w:val="auto"/>
                <w:w w:val="92"/>
              </w:rPr>
              <w:t>(State or other jurisdiction of incorporation or organization)</w:t>
            </w:r>
          </w:p>
        </w:tc>
        <w:tc>
          <w:tcPr>
            <w:tcW w:w="2160" w:type="dxa"/>
            <w:vAlign w:val="bottom"/>
          </w:tcPr>
          <w:p>
            <w:pPr>
              <w:jc w:val="center"/>
              <w:ind w:left="215"/>
              <w:spacing w:after="0"/>
              <w:rPr>
                <w:sz w:val="20"/>
                <w:szCs w:val="20"/>
                <w:color w:val="auto"/>
              </w:rPr>
            </w:pPr>
            <w:r>
              <w:rPr>
                <w:rFonts w:ascii="Arial" w:cs="Arial" w:eastAsia="Arial" w:hAnsi="Arial"/>
                <w:sz w:val="13"/>
                <w:szCs w:val="13"/>
                <w:color w:val="auto"/>
                <w:w w:val="93"/>
              </w:rPr>
              <w:t>(I.R.S. Employer Identification No.)</w:t>
            </w:r>
          </w:p>
        </w:tc>
        <w:tc>
          <w:tcPr>
            <w:tcW w:w="0" w:type="dxa"/>
            <w:vAlign w:val="bottom"/>
          </w:tcPr>
          <w:p>
            <w:pPr>
              <w:spacing w:after="0"/>
              <w:rPr>
                <w:sz w:val="1"/>
                <w:szCs w:val="1"/>
                <w:color w:val="auto"/>
              </w:rPr>
            </w:pPr>
          </w:p>
        </w:tc>
      </w:tr>
      <w:tr>
        <w:trPr>
          <w:trHeight w:val="264"/>
        </w:trPr>
        <w:tc>
          <w:tcPr>
            <w:tcW w:w="6040" w:type="dxa"/>
            <w:vAlign w:val="bottom"/>
          </w:tcPr>
          <w:p>
            <w:pPr>
              <w:jc w:val="center"/>
              <w:ind w:right="2875"/>
              <w:spacing w:after="0"/>
              <w:rPr>
                <w:sz w:val="20"/>
                <w:szCs w:val="20"/>
                <w:color w:val="auto"/>
              </w:rPr>
            </w:pPr>
            <w:r>
              <w:rPr>
                <w:rFonts w:ascii="Arial" w:cs="Arial" w:eastAsia="Arial" w:hAnsi="Arial"/>
                <w:sz w:val="13"/>
                <w:szCs w:val="13"/>
                <w:b w:val="1"/>
                <w:bCs w:val="1"/>
                <w:color w:val="auto"/>
                <w:w w:val="98"/>
              </w:rPr>
              <w:t>121 SOUTH 13TH STREET</w:t>
            </w:r>
          </w:p>
        </w:tc>
        <w:tc>
          <w:tcPr>
            <w:tcW w:w="21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29"/>
        </w:trPr>
        <w:tc>
          <w:tcPr>
            <w:tcW w:w="6040" w:type="dxa"/>
            <w:vAlign w:val="bottom"/>
          </w:tcPr>
          <w:p>
            <w:pPr>
              <w:jc w:val="center"/>
              <w:ind w:right="2875"/>
              <w:spacing w:after="0" w:line="129" w:lineRule="exact"/>
              <w:rPr>
                <w:sz w:val="20"/>
                <w:szCs w:val="20"/>
                <w:color w:val="auto"/>
              </w:rPr>
            </w:pPr>
            <w:r>
              <w:rPr>
                <w:rFonts w:ascii="Arial" w:cs="Arial" w:eastAsia="Arial" w:hAnsi="Arial"/>
                <w:sz w:val="13"/>
                <w:szCs w:val="13"/>
                <w:b w:val="1"/>
                <w:bCs w:val="1"/>
                <w:color w:val="auto"/>
                <w:w w:val="97"/>
              </w:rPr>
              <w:t>SUITE 100</w:t>
            </w:r>
          </w:p>
        </w:tc>
        <w:tc>
          <w:tcPr>
            <w:tcW w:w="2160" w:type="dxa"/>
            <w:vAlign w:val="bottom"/>
            <w:vMerge w:val="restart"/>
          </w:tcPr>
          <w:p>
            <w:pPr>
              <w:jc w:val="right"/>
              <w:ind w:right="715"/>
              <w:spacing w:after="0"/>
              <w:rPr>
                <w:sz w:val="20"/>
                <w:szCs w:val="20"/>
                <w:color w:val="auto"/>
              </w:rPr>
            </w:pPr>
            <w:r>
              <w:rPr>
                <w:rFonts w:ascii="Arial" w:cs="Arial" w:eastAsia="Arial" w:hAnsi="Arial"/>
                <w:sz w:val="13"/>
                <w:szCs w:val="13"/>
                <w:b w:val="1"/>
                <w:bCs w:val="1"/>
                <w:color w:val="auto"/>
              </w:rPr>
              <w:t>68508</w:t>
            </w:r>
          </w:p>
        </w:tc>
        <w:tc>
          <w:tcPr>
            <w:tcW w:w="0" w:type="dxa"/>
            <w:vAlign w:val="bottom"/>
          </w:tcPr>
          <w:p>
            <w:pPr>
              <w:spacing w:after="0"/>
              <w:rPr>
                <w:sz w:val="1"/>
                <w:szCs w:val="1"/>
                <w:color w:val="auto"/>
              </w:rPr>
            </w:pPr>
          </w:p>
        </w:tc>
      </w:tr>
      <w:tr>
        <w:trPr>
          <w:trHeight w:val="133"/>
        </w:trPr>
        <w:tc>
          <w:tcPr>
            <w:tcW w:w="6040" w:type="dxa"/>
            <w:vAlign w:val="bottom"/>
          </w:tcPr>
          <w:p>
            <w:pPr>
              <w:jc w:val="center"/>
              <w:ind w:right="2875"/>
              <w:spacing w:after="0" w:line="134" w:lineRule="exact"/>
              <w:rPr>
                <w:sz w:val="20"/>
                <w:szCs w:val="20"/>
                <w:color w:val="auto"/>
              </w:rPr>
            </w:pPr>
            <w:r>
              <w:rPr>
                <w:rFonts w:ascii="Arial" w:cs="Arial" w:eastAsia="Arial" w:hAnsi="Arial"/>
                <w:sz w:val="13"/>
                <w:szCs w:val="13"/>
                <w:b w:val="1"/>
                <w:bCs w:val="1"/>
                <w:color w:val="auto"/>
                <w:w w:val="99"/>
              </w:rPr>
              <w:t>LINCOLN, NEBRASKA</w:t>
            </w:r>
          </w:p>
        </w:tc>
        <w:tc>
          <w:tcPr>
            <w:tcW w:w="216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63"/>
        </w:trPr>
        <w:tc>
          <w:tcPr>
            <w:tcW w:w="6040" w:type="dxa"/>
            <w:vAlign w:val="bottom"/>
          </w:tcPr>
          <w:p>
            <w:pPr>
              <w:jc w:val="center"/>
              <w:ind w:right="2875"/>
              <w:spacing w:after="0"/>
              <w:rPr>
                <w:sz w:val="20"/>
                <w:szCs w:val="20"/>
                <w:color w:val="auto"/>
              </w:rPr>
            </w:pPr>
            <w:r>
              <w:rPr>
                <w:rFonts w:ascii="Arial" w:cs="Arial" w:eastAsia="Arial" w:hAnsi="Arial"/>
                <w:sz w:val="13"/>
                <w:szCs w:val="13"/>
                <w:color w:val="auto"/>
                <w:w w:val="92"/>
              </w:rPr>
              <w:t>(Address of principal executive offices)</w:t>
            </w:r>
          </w:p>
        </w:tc>
        <w:tc>
          <w:tcPr>
            <w:tcW w:w="2160" w:type="dxa"/>
            <w:vAlign w:val="bottom"/>
          </w:tcPr>
          <w:p>
            <w:pPr>
              <w:jc w:val="center"/>
              <w:ind w:left="195"/>
              <w:spacing w:after="0"/>
              <w:rPr>
                <w:sz w:val="20"/>
                <w:szCs w:val="20"/>
                <w:color w:val="auto"/>
              </w:rPr>
            </w:pPr>
            <w:r>
              <w:rPr>
                <w:rFonts w:ascii="Arial" w:cs="Arial" w:eastAsia="Arial" w:hAnsi="Arial"/>
                <w:sz w:val="13"/>
                <w:szCs w:val="13"/>
                <w:color w:val="auto"/>
                <w:w w:val="94"/>
              </w:rPr>
              <w:t>(Zip Code)</w:t>
            </w:r>
          </w:p>
        </w:tc>
        <w:tc>
          <w:tcPr>
            <w:tcW w:w="0" w:type="dxa"/>
            <w:vAlign w:val="bottom"/>
          </w:tcPr>
          <w:p>
            <w:pPr>
              <w:spacing w:after="0"/>
              <w:rPr>
                <w:sz w:val="1"/>
                <w:szCs w:val="1"/>
                <w:color w:val="auto"/>
              </w:rPr>
            </w:pPr>
          </w:p>
        </w:tc>
      </w:tr>
      <w:tr>
        <w:trPr>
          <w:trHeight w:val="279"/>
        </w:trPr>
        <w:tc>
          <w:tcPr>
            <w:tcW w:w="6040" w:type="dxa"/>
            <w:vAlign w:val="bottom"/>
          </w:tcPr>
          <w:p>
            <w:pPr>
              <w:jc w:val="right"/>
              <w:ind w:right="1175"/>
              <w:spacing w:after="0"/>
              <w:rPr>
                <w:sz w:val="20"/>
                <w:szCs w:val="20"/>
                <w:color w:val="auto"/>
              </w:rPr>
            </w:pPr>
            <w:r>
              <w:rPr>
                <w:rFonts w:ascii="Arial" w:cs="Arial" w:eastAsia="Arial" w:hAnsi="Arial"/>
                <w:sz w:val="13"/>
                <w:szCs w:val="13"/>
                <w:b w:val="1"/>
                <w:bCs w:val="1"/>
                <w:color w:val="auto"/>
              </w:rPr>
              <w:t>(402) 458-2370</w:t>
            </w:r>
          </w:p>
        </w:tc>
        <w:tc>
          <w:tcPr>
            <w:tcW w:w="2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3"/>
        </w:trPr>
        <w:tc>
          <w:tcPr>
            <w:tcW w:w="6040" w:type="dxa"/>
            <w:vAlign w:val="bottom"/>
          </w:tcPr>
          <w:p>
            <w:pPr>
              <w:jc w:val="center"/>
              <w:ind w:left="2675"/>
              <w:spacing w:after="0"/>
              <w:rPr>
                <w:sz w:val="20"/>
                <w:szCs w:val="20"/>
                <w:color w:val="auto"/>
              </w:rPr>
            </w:pPr>
            <w:r>
              <w:rPr>
                <w:rFonts w:ascii="Arial" w:cs="Arial" w:eastAsia="Arial" w:hAnsi="Arial"/>
                <w:sz w:val="13"/>
                <w:szCs w:val="13"/>
                <w:color w:val="auto"/>
                <w:w w:val="89"/>
              </w:rPr>
              <w:t>(Registrant’s telephone number, including area code)</w:t>
            </w:r>
          </w:p>
        </w:tc>
        <w:tc>
          <w:tcPr>
            <w:tcW w:w="216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160" w:lineRule="exact"/>
        <w:rPr>
          <w:sz w:val="24"/>
          <w:szCs w:val="24"/>
          <w:color w:val="auto"/>
        </w:rPr>
      </w:pPr>
    </w:p>
    <w:p>
      <w:pPr>
        <w:spacing w:after="0" w:line="264" w:lineRule="auto"/>
        <w:rPr>
          <w:sz w:val="20"/>
          <w:szCs w:val="20"/>
          <w:color w:val="auto"/>
        </w:rPr>
      </w:pPr>
      <w:r>
        <w:rPr>
          <w:rFonts w:ascii="Arial" w:cs="Arial" w:eastAsia="Arial" w:hAnsi="Arial"/>
          <w:sz w:val="13"/>
          <w:szCs w:val="13"/>
          <w:color w:val="auto"/>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[X] No [ ]</w:t>
      </w:r>
    </w:p>
    <w:p>
      <w:pPr>
        <w:spacing w:after="0" w:line="145" w:lineRule="exact"/>
        <w:rPr>
          <w:sz w:val="24"/>
          <w:szCs w:val="24"/>
          <w:color w:val="auto"/>
        </w:rPr>
      </w:pPr>
    </w:p>
    <w:p>
      <w:pPr>
        <w:spacing w:after="0"/>
        <w:rPr>
          <w:sz w:val="20"/>
          <w:szCs w:val="20"/>
          <w:color w:val="auto"/>
        </w:rPr>
      </w:pPr>
      <w:r>
        <w:rPr>
          <w:rFonts w:ascii="Arial" w:cs="Arial" w:eastAsia="Arial" w:hAnsi="Arial"/>
          <w:sz w:val="11"/>
          <w:szCs w:val="11"/>
          <w:color w:val="auto"/>
        </w:rPr>
        <w:t>Indicate by check mark whether the registrant has submitted electronically every Interactive Data File required to be submitted pursuant to Rule 405 of Regulation S-T (§232.405 of this chapter) during the preceding 12</w:t>
      </w:r>
    </w:p>
    <w:p>
      <w:pPr>
        <w:spacing w:after="0" w:line="34" w:lineRule="exact"/>
        <w:rPr>
          <w:sz w:val="24"/>
          <w:szCs w:val="24"/>
          <w:color w:val="auto"/>
        </w:rPr>
      </w:pPr>
    </w:p>
    <w:p>
      <w:pPr>
        <w:spacing w:after="0"/>
        <w:tabs>
          <w:tab w:leader="none" w:pos="4760" w:val="left"/>
        </w:tabs>
        <w:rPr>
          <w:sz w:val="20"/>
          <w:szCs w:val="20"/>
          <w:color w:val="auto"/>
        </w:rPr>
      </w:pPr>
      <w:r>
        <w:rPr>
          <w:rFonts w:ascii="Arial" w:cs="Arial" w:eastAsia="Arial" w:hAnsi="Arial"/>
          <w:sz w:val="13"/>
          <w:szCs w:val="13"/>
          <w:color w:val="auto"/>
        </w:rPr>
        <w:t>months (or for such shorter period that the registrant was required to submit such files).</w:t>
      </w:r>
      <w:r>
        <w:rPr>
          <w:sz w:val="20"/>
          <w:szCs w:val="20"/>
          <w:color w:val="auto"/>
        </w:rPr>
        <w:tab/>
      </w:r>
      <w:r>
        <w:rPr>
          <w:rFonts w:ascii="Arial" w:cs="Arial" w:eastAsia="Arial" w:hAnsi="Arial"/>
          <w:sz w:val="13"/>
          <w:szCs w:val="13"/>
          <w:color w:val="auto"/>
        </w:rPr>
        <w:t>Yes [X] No [ ]</w:t>
      </w:r>
    </w:p>
    <w:p>
      <w:pPr>
        <w:spacing w:after="0" w:line="164" w:lineRule="exact"/>
        <w:rPr>
          <w:sz w:val="24"/>
          <w:szCs w:val="24"/>
          <w:color w:val="auto"/>
        </w:rPr>
      </w:pPr>
    </w:p>
    <w:p>
      <w:pPr>
        <w:spacing w:after="0" w:line="264" w:lineRule="auto"/>
        <w:rPr>
          <w:sz w:val="20"/>
          <w:szCs w:val="20"/>
          <w:color w:val="auto"/>
        </w:rPr>
      </w:pPr>
      <w:r>
        <w:rPr>
          <w:rFonts w:ascii="Arial" w:cs="Arial" w:eastAsia="Arial" w:hAnsi="Arial"/>
          <w:sz w:val="13"/>
          <w:szCs w:val="13"/>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pacing w:after="0" w:line="102" w:lineRule="exact"/>
        <w:rPr>
          <w:sz w:val="24"/>
          <w:szCs w:val="24"/>
          <w:color w:val="auto"/>
        </w:rPr>
      </w:pPr>
    </w:p>
    <w:p>
      <w:pPr>
        <w:ind w:left="1040"/>
        <w:spacing w:after="0"/>
        <w:tabs>
          <w:tab w:leader="none" w:pos="3900" w:val="left"/>
        </w:tabs>
        <w:rPr>
          <w:sz w:val="20"/>
          <w:szCs w:val="20"/>
          <w:color w:val="auto"/>
        </w:rPr>
      </w:pPr>
      <w:r>
        <w:rPr>
          <w:rFonts w:ascii="Arial" w:cs="Arial" w:eastAsia="Arial" w:hAnsi="Arial"/>
          <w:sz w:val="13"/>
          <w:szCs w:val="13"/>
          <w:color w:val="auto"/>
        </w:rPr>
        <w:t>Large accelerated filer [X]</w:t>
      </w:r>
      <w:r>
        <w:rPr>
          <w:sz w:val="20"/>
          <w:szCs w:val="20"/>
          <w:color w:val="auto"/>
        </w:rPr>
        <w:tab/>
      </w:r>
      <w:r>
        <w:rPr>
          <w:rFonts w:ascii="Arial" w:cs="Arial" w:eastAsia="Arial" w:hAnsi="Arial"/>
          <w:sz w:val="12"/>
          <w:szCs w:val="12"/>
          <w:color w:val="auto"/>
        </w:rPr>
        <w:t>Accelerated filer [ ]</w:t>
      </w:r>
    </w:p>
    <w:p>
      <w:pPr>
        <w:spacing w:after="0" w:line="11" w:lineRule="exact"/>
        <w:rPr>
          <w:sz w:val="24"/>
          <w:szCs w:val="24"/>
          <w:color w:val="auto"/>
        </w:rPr>
      </w:pPr>
    </w:p>
    <w:p>
      <w:pPr>
        <w:ind w:left="1040"/>
        <w:spacing w:after="0"/>
        <w:tabs>
          <w:tab w:leader="none" w:pos="2420" w:val="left"/>
        </w:tabs>
        <w:rPr>
          <w:sz w:val="20"/>
          <w:szCs w:val="20"/>
          <w:color w:val="auto"/>
        </w:rPr>
      </w:pPr>
      <w:r>
        <w:rPr>
          <w:rFonts w:ascii="Arial" w:cs="Arial" w:eastAsia="Arial" w:hAnsi="Arial"/>
          <w:sz w:val="13"/>
          <w:szCs w:val="13"/>
          <w:color w:val="auto"/>
        </w:rPr>
        <w:t>Non-accelerated filer [ ]</w:t>
      </w:r>
      <w:r>
        <w:rPr>
          <w:sz w:val="20"/>
          <w:szCs w:val="20"/>
          <w:color w:val="auto"/>
        </w:rPr>
        <w:tab/>
      </w:r>
      <w:r>
        <w:rPr>
          <w:rFonts w:ascii="Arial" w:cs="Arial" w:eastAsia="Arial" w:hAnsi="Arial"/>
          <w:sz w:val="12"/>
          <w:szCs w:val="12"/>
          <w:color w:val="auto"/>
        </w:rPr>
        <w:t>Smaller reporting company [ ]</w:t>
      </w:r>
    </w:p>
    <w:p>
      <w:pPr>
        <w:spacing w:after="0" w:line="1" w:lineRule="exact"/>
        <w:rPr>
          <w:sz w:val="24"/>
          <w:szCs w:val="24"/>
          <w:color w:val="auto"/>
        </w:rPr>
      </w:pPr>
    </w:p>
    <w:p>
      <w:pPr>
        <w:ind w:left="3720"/>
        <w:spacing w:after="0"/>
        <w:rPr>
          <w:sz w:val="20"/>
          <w:szCs w:val="20"/>
          <w:color w:val="auto"/>
        </w:rPr>
      </w:pPr>
      <w:r>
        <w:rPr>
          <w:rFonts w:ascii="Arial" w:cs="Arial" w:eastAsia="Arial" w:hAnsi="Arial"/>
          <w:sz w:val="13"/>
          <w:szCs w:val="13"/>
          <w:color w:val="auto"/>
        </w:rPr>
        <w:t>Emerging growth company [ ]</w:t>
      </w:r>
    </w:p>
    <w:p>
      <w:pPr>
        <w:spacing w:after="0" w:line="164" w:lineRule="exact"/>
        <w:rPr>
          <w:sz w:val="24"/>
          <w:szCs w:val="24"/>
          <w:color w:val="auto"/>
        </w:rPr>
      </w:pPr>
    </w:p>
    <w:p>
      <w:pPr>
        <w:spacing w:after="0"/>
        <w:rPr>
          <w:sz w:val="20"/>
          <w:szCs w:val="20"/>
          <w:color w:val="auto"/>
        </w:rPr>
      </w:pPr>
      <w:r>
        <w:rPr>
          <w:rFonts w:ascii="Arial" w:cs="Arial" w:eastAsia="Arial" w:hAnsi="Arial"/>
          <w:sz w:val="12"/>
          <w:szCs w:val="12"/>
          <w:color w:val="auto"/>
        </w:rPr>
        <w:t>If an emerging growth company, indicate by check mark if the registrant has elected not to use the extended transition period for complying with any new or revised financial accounting standards provided pursuant to</w:t>
      </w:r>
    </w:p>
    <w:p>
      <w:pPr>
        <w:spacing w:after="0" w:line="23" w:lineRule="exact"/>
        <w:rPr>
          <w:sz w:val="24"/>
          <w:szCs w:val="24"/>
          <w:color w:val="auto"/>
        </w:rPr>
      </w:pPr>
    </w:p>
    <w:p>
      <w:pPr>
        <w:spacing w:after="0"/>
        <w:tabs>
          <w:tab w:leader="none" w:pos="2220" w:val="left"/>
        </w:tabs>
        <w:rPr>
          <w:sz w:val="20"/>
          <w:szCs w:val="20"/>
          <w:color w:val="auto"/>
        </w:rPr>
      </w:pPr>
      <w:r>
        <w:rPr>
          <w:rFonts w:ascii="Arial" w:cs="Arial" w:eastAsia="Arial" w:hAnsi="Arial"/>
          <w:sz w:val="13"/>
          <w:szCs w:val="13"/>
          <w:color w:val="auto"/>
        </w:rPr>
        <w:t>Section 13(a) of the Exchange Act.</w:t>
      </w:r>
      <w:r>
        <w:rPr>
          <w:sz w:val="20"/>
          <w:szCs w:val="20"/>
          <w:color w:val="auto"/>
        </w:rPr>
        <w:tab/>
      </w:r>
      <w:r>
        <w:rPr>
          <w:rFonts w:ascii="Arial" w:cs="Arial" w:eastAsia="Arial" w:hAnsi="Arial"/>
          <w:sz w:val="13"/>
          <w:szCs w:val="13"/>
          <w:color w:val="auto"/>
        </w:rPr>
        <w:t>[ ]</w:t>
      </w:r>
    </w:p>
    <w:p>
      <w:pPr>
        <w:spacing w:after="0" w:line="164" w:lineRule="exact"/>
        <w:rPr>
          <w:sz w:val="24"/>
          <w:szCs w:val="24"/>
          <w:color w:val="auto"/>
        </w:rPr>
      </w:pPr>
    </w:p>
    <w:p>
      <w:pPr>
        <w:spacing w:after="0"/>
        <w:rPr>
          <w:sz w:val="20"/>
          <w:szCs w:val="20"/>
          <w:color w:val="auto"/>
        </w:rPr>
      </w:pPr>
      <w:r>
        <w:rPr>
          <w:rFonts w:ascii="Arial" w:cs="Arial" w:eastAsia="Arial" w:hAnsi="Arial"/>
          <w:sz w:val="13"/>
          <w:szCs w:val="13"/>
          <w:color w:val="auto"/>
        </w:rPr>
        <w:t>Indicate by check mark whether the registrant is a shell company (as defined in Rule 12b-2 of the Exchange Act). Yes[ ] No[X]</w:t>
      </w:r>
    </w:p>
    <w:p>
      <w:pPr>
        <w:spacing w:after="0" w:line="174" w:lineRule="exact"/>
        <w:rPr>
          <w:sz w:val="24"/>
          <w:szCs w:val="24"/>
          <w:color w:val="auto"/>
        </w:rPr>
      </w:pPr>
    </w:p>
    <w:p>
      <w:pPr>
        <w:spacing w:after="0"/>
        <w:rPr>
          <w:sz w:val="20"/>
          <w:szCs w:val="20"/>
          <w:color w:val="auto"/>
        </w:rPr>
      </w:pPr>
      <w:r>
        <w:rPr>
          <w:rFonts w:ascii="Arial" w:cs="Arial" w:eastAsia="Arial" w:hAnsi="Arial"/>
          <w:sz w:val="13"/>
          <w:szCs w:val="13"/>
          <w:color w:val="auto"/>
        </w:rPr>
        <w:t>Securities registered pursuant to Section 12(b) of the Act:</w:t>
      </w:r>
    </w:p>
    <w:p>
      <w:pPr>
        <w:spacing w:after="0" w:line="96" w:lineRule="exact"/>
        <w:rPr>
          <w:sz w:val="24"/>
          <w:szCs w:val="24"/>
          <w:color w:val="auto"/>
        </w:rPr>
      </w:pPr>
    </w:p>
    <w:tbl>
      <w:tblPr>
        <w:tblLayout w:type="fixed"/>
        <w:tblInd w:w="330" w:type="dxa"/>
        <w:tblCellMar>
          <w:top w:w="0" w:type="dxa"/>
          <w:left w:w="0" w:type="dxa"/>
          <w:bottom w:w="0" w:type="dxa"/>
          <w:right w:w="0" w:type="dxa"/>
        </w:tblCellMar>
      </w:tblPr>
      <w:tr>
        <w:trPr>
          <w:trHeight w:val="189"/>
        </w:trPr>
        <w:tc>
          <w:tcPr>
            <w:tcW w:w="4360" w:type="dxa"/>
            <w:vAlign w:val="bottom"/>
            <w:tcBorders>
              <w:top w:val="single" w:sz="8" w:color="auto"/>
              <w:left w:val="single" w:sz="8" w:color="auto"/>
              <w:right w:val="single" w:sz="8" w:color="auto"/>
            </w:tcBorders>
          </w:tcPr>
          <w:p>
            <w:pPr>
              <w:jc w:val="center"/>
              <w:spacing w:after="0"/>
              <w:rPr>
                <w:sz w:val="20"/>
                <w:szCs w:val="20"/>
                <w:color w:val="auto"/>
              </w:rPr>
            </w:pPr>
            <w:r>
              <w:rPr>
                <w:rFonts w:ascii="Arial" w:cs="Arial" w:eastAsia="Arial" w:hAnsi="Arial"/>
                <w:sz w:val="13"/>
                <w:szCs w:val="13"/>
                <w:color w:val="auto"/>
                <w:w w:val="90"/>
              </w:rPr>
              <w:t>Title of each class</w:t>
            </w:r>
          </w:p>
        </w:tc>
        <w:tc>
          <w:tcPr>
            <w:tcW w:w="216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3"/>
                <w:szCs w:val="13"/>
                <w:color w:val="auto"/>
                <w:w w:val="92"/>
              </w:rPr>
              <w:t>Trading Symbol</w:t>
            </w:r>
          </w:p>
        </w:tc>
        <w:tc>
          <w:tcPr>
            <w:tcW w:w="432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3"/>
                <w:szCs w:val="13"/>
                <w:color w:val="auto"/>
                <w:w w:val="89"/>
              </w:rPr>
              <w:t>Name of each exchange on which registered</w:t>
            </w:r>
          </w:p>
        </w:tc>
      </w:tr>
      <w:tr>
        <w:trPr>
          <w:trHeight w:val="27"/>
        </w:trPr>
        <w:tc>
          <w:tcPr>
            <w:tcW w:w="4360" w:type="dxa"/>
            <w:vAlign w:val="bottom"/>
            <w:tcBorders>
              <w:left w:val="single" w:sz="8" w:color="auto"/>
              <w:bottom w:val="single" w:sz="8" w:color="auto"/>
              <w:right w:val="single" w:sz="8" w:color="auto"/>
            </w:tcBorders>
          </w:tcPr>
          <w:p>
            <w:pPr>
              <w:spacing w:after="0"/>
              <w:rPr>
                <w:sz w:val="2"/>
                <w:szCs w:val="2"/>
                <w:color w:val="auto"/>
              </w:rPr>
            </w:pPr>
          </w:p>
        </w:tc>
        <w:tc>
          <w:tcPr>
            <w:tcW w:w="2160" w:type="dxa"/>
            <w:vAlign w:val="bottom"/>
            <w:tcBorders>
              <w:bottom w:val="single" w:sz="8" w:color="auto"/>
              <w:right w:val="single" w:sz="8" w:color="auto"/>
            </w:tcBorders>
          </w:tcPr>
          <w:p>
            <w:pPr>
              <w:spacing w:after="0"/>
              <w:rPr>
                <w:sz w:val="2"/>
                <w:szCs w:val="2"/>
                <w:color w:val="auto"/>
              </w:rPr>
            </w:pPr>
          </w:p>
        </w:tc>
        <w:tc>
          <w:tcPr>
            <w:tcW w:w="4320" w:type="dxa"/>
            <w:vAlign w:val="bottom"/>
            <w:tcBorders>
              <w:bottom w:val="single" w:sz="8" w:color="auto"/>
              <w:right w:val="single" w:sz="8" w:color="auto"/>
            </w:tcBorders>
          </w:tcPr>
          <w:p>
            <w:pPr>
              <w:spacing w:after="0"/>
              <w:rPr>
                <w:sz w:val="2"/>
                <w:szCs w:val="2"/>
                <w:color w:val="auto"/>
              </w:rPr>
            </w:pPr>
          </w:p>
        </w:tc>
      </w:tr>
      <w:tr>
        <w:trPr>
          <w:trHeight w:val="169"/>
        </w:trPr>
        <w:tc>
          <w:tcPr>
            <w:tcW w:w="436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3"/>
                <w:szCs w:val="13"/>
                <w:color w:val="auto"/>
                <w:w w:val="89"/>
              </w:rPr>
              <w:t>Class A Common Stock, Par Value $0.01 per Share</w:t>
            </w:r>
          </w:p>
        </w:tc>
        <w:tc>
          <w:tcPr>
            <w:tcW w:w="2160" w:type="dxa"/>
            <w:vAlign w:val="bottom"/>
            <w:tcBorders>
              <w:right w:val="single" w:sz="8" w:color="auto"/>
            </w:tcBorders>
          </w:tcPr>
          <w:p>
            <w:pPr>
              <w:jc w:val="center"/>
              <w:spacing w:after="0"/>
              <w:rPr>
                <w:sz w:val="20"/>
                <w:szCs w:val="20"/>
                <w:color w:val="auto"/>
              </w:rPr>
            </w:pPr>
            <w:r>
              <w:rPr>
                <w:rFonts w:ascii="Arial" w:cs="Arial" w:eastAsia="Arial" w:hAnsi="Arial"/>
                <w:sz w:val="13"/>
                <w:szCs w:val="13"/>
                <w:color w:val="auto"/>
              </w:rPr>
              <w:t>NNI</w:t>
            </w:r>
          </w:p>
        </w:tc>
        <w:tc>
          <w:tcPr>
            <w:tcW w:w="4320" w:type="dxa"/>
            <w:vAlign w:val="bottom"/>
            <w:tcBorders>
              <w:right w:val="single" w:sz="8" w:color="auto"/>
            </w:tcBorders>
          </w:tcPr>
          <w:p>
            <w:pPr>
              <w:jc w:val="center"/>
              <w:spacing w:after="0"/>
              <w:rPr>
                <w:sz w:val="20"/>
                <w:szCs w:val="20"/>
                <w:color w:val="auto"/>
              </w:rPr>
            </w:pPr>
            <w:r>
              <w:rPr>
                <w:rFonts w:ascii="Arial" w:cs="Arial" w:eastAsia="Arial" w:hAnsi="Arial"/>
                <w:sz w:val="13"/>
                <w:szCs w:val="13"/>
                <w:color w:val="auto"/>
                <w:w w:val="90"/>
              </w:rPr>
              <w:t>New York Stock Exchange</w:t>
            </w:r>
          </w:p>
        </w:tc>
      </w:tr>
      <w:tr>
        <w:trPr>
          <w:trHeight w:val="27"/>
        </w:trPr>
        <w:tc>
          <w:tcPr>
            <w:tcW w:w="4360" w:type="dxa"/>
            <w:vAlign w:val="bottom"/>
            <w:tcBorders>
              <w:left w:val="single" w:sz="8" w:color="auto"/>
              <w:bottom w:val="single" w:sz="8" w:color="auto"/>
              <w:right w:val="single" w:sz="8" w:color="auto"/>
            </w:tcBorders>
          </w:tcPr>
          <w:p>
            <w:pPr>
              <w:spacing w:after="0"/>
              <w:rPr>
                <w:sz w:val="2"/>
                <w:szCs w:val="2"/>
                <w:color w:val="auto"/>
              </w:rPr>
            </w:pPr>
          </w:p>
        </w:tc>
        <w:tc>
          <w:tcPr>
            <w:tcW w:w="2160" w:type="dxa"/>
            <w:vAlign w:val="bottom"/>
            <w:tcBorders>
              <w:bottom w:val="single" w:sz="8" w:color="auto"/>
              <w:right w:val="single" w:sz="8" w:color="auto"/>
            </w:tcBorders>
          </w:tcPr>
          <w:p>
            <w:pPr>
              <w:spacing w:after="0"/>
              <w:rPr>
                <w:sz w:val="2"/>
                <w:szCs w:val="2"/>
                <w:color w:val="auto"/>
              </w:rPr>
            </w:pPr>
          </w:p>
        </w:tc>
        <w:tc>
          <w:tcPr>
            <w:tcW w:w="4320" w:type="dxa"/>
            <w:vAlign w:val="bottom"/>
            <w:tcBorders>
              <w:bottom w:val="single" w:sz="8" w:color="auto"/>
              <w:right w:val="single" w:sz="8" w:color="auto"/>
            </w:tcBorders>
          </w:tcPr>
          <w:p>
            <w:pPr>
              <w:spacing w:after="0"/>
              <w:rPr>
                <w:sz w:val="2"/>
                <w:szCs w:val="2"/>
                <w:color w:val="auto"/>
              </w:rPr>
            </w:pPr>
          </w:p>
        </w:tc>
      </w:tr>
    </w:tbl>
    <w:p>
      <w:pPr>
        <w:spacing w:after="0" w:line="209" w:lineRule="exact"/>
        <w:rPr>
          <w:sz w:val="24"/>
          <w:szCs w:val="24"/>
          <w:color w:val="auto"/>
        </w:rPr>
      </w:pPr>
    </w:p>
    <w:p>
      <w:pPr>
        <w:spacing w:after="0" w:line="264" w:lineRule="auto"/>
        <w:rPr>
          <w:sz w:val="20"/>
          <w:szCs w:val="20"/>
          <w:color w:val="auto"/>
        </w:rPr>
      </w:pPr>
      <w:r>
        <w:rPr>
          <w:rFonts w:ascii="Arial" w:cs="Arial" w:eastAsia="Arial" w:hAnsi="Arial"/>
          <w:sz w:val="13"/>
          <w:szCs w:val="13"/>
          <w:color w:val="auto"/>
        </w:rPr>
        <w:t>As of April 30, 2019, there were 28,438,279 and 11,459,641 shares of Class A Common Stock and Class B Common Stock, par value $0.01 per share, outstanding, respectively (excluding a total of 11,305,731 shares of Class A Common Stock held by wholly owned subsidiaries).</w:t>
      </w:r>
    </w:p>
    <w:p>
      <w:pPr>
        <w:sectPr>
          <w:pgSz w:w="11900" w:h="16838" w:orient="portrait"/>
          <w:cols w:equalWidth="0" w:num="1">
            <w:col w:w="11460"/>
          </w:cols>
          <w:pgMar w:left="220" w:top="828" w:right="219" w:bottom="1440" w:gutter="0" w:footer="0" w:header="0"/>
        </w:sectPr>
      </w:pPr>
    </w:p>
    <w:bookmarkStart w:id="1" w:name="page2"/>
    <w:bookmarkEnd w:id="1"/>
    <w:p>
      <w:pPr>
        <w:ind w:left="5240"/>
        <w:spacing w:after="0"/>
        <w:rPr>
          <w:sz w:val="20"/>
          <w:szCs w:val="20"/>
          <w:color w:val="auto"/>
        </w:rPr>
      </w:pPr>
      <w:r>
        <w:rPr>
          <w:rFonts w:ascii="Arial" w:cs="Arial" w:eastAsia="Arial" w:hAnsi="Arial"/>
          <w:sz w:val="14"/>
          <w:szCs w:val="14"/>
          <w:b w:val="1"/>
          <w:bCs w:val="1"/>
          <w:color w:val="auto"/>
        </w:rPr>
        <w:t>NELNET, INC.</w:t>
      </w:r>
    </w:p>
    <w:p>
      <w:pPr>
        <w:spacing w:after="0" w:line="25" w:lineRule="exact"/>
        <w:rPr>
          <w:sz w:val="20"/>
          <w:szCs w:val="20"/>
          <w:color w:val="auto"/>
        </w:rPr>
      </w:pPr>
    </w:p>
    <w:p>
      <w:pPr>
        <w:ind w:left="5320"/>
        <w:spacing w:after="0"/>
        <w:rPr>
          <w:sz w:val="20"/>
          <w:szCs w:val="20"/>
          <w:color w:val="auto"/>
        </w:rPr>
      </w:pPr>
      <w:r>
        <w:rPr>
          <w:rFonts w:ascii="Arial" w:cs="Arial" w:eastAsia="Arial" w:hAnsi="Arial"/>
          <w:sz w:val="14"/>
          <w:szCs w:val="14"/>
          <w:b w:val="1"/>
          <w:bCs w:val="1"/>
          <w:color w:val="auto"/>
        </w:rPr>
        <w:t>FORM 10-Q</w:t>
      </w:r>
    </w:p>
    <w:p>
      <w:pPr>
        <w:spacing w:after="0" w:line="11" w:lineRule="exact"/>
        <w:rPr>
          <w:sz w:val="20"/>
          <w:szCs w:val="20"/>
          <w:color w:val="auto"/>
        </w:rPr>
      </w:pPr>
    </w:p>
    <w:p>
      <w:pPr>
        <w:ind w:left="5480"/>
        <w:spacing w:after="0"/>
        <w:rPr>
          <w:sz w:val="20"/>
          <w:szCs w:val="20"/>
          <w:color w:val="auto"/>
        </w:rPr>
      </w:pPr>
      <w:r>
        <w:rPr>
          <w:rFonts w:ascii="Arial" w:cs="Arial" w:eastAsia="Arial" w:hAnsi="Arial"/>
          <w:sz w:val="14"/>
          <w:szCs w:val="14"/>
          <w:b w:val="1"/>
          <w:bCs w:val="1"/>
          <w:color w:val="auto"/>
        </w:rPr>
        <w:t>INDEX</w:t>
      </w:r>
    </w:p>
    <w:p>
      <w:pPr>
        <w:spacing w:after="0" w:line="11" w:lineRule="exact"/>
        <w:rPr>
          <w:sz w:val="20"/>
          <w:szCs w:val="20"/>
          <w:color w:val="auto"/>
        </w:rPr>
      </w:pPr>
    </w:p>
    <w:p>
      <w:pPr>
        <w:ind w:left="5220"/>
        <w:spacing w:after="0"/>
        <w:rPr>
          <w:sz w:val="20"/>
          <w:szCs w:val="20"/>
          <w:color w:val="auto"/>
        </w:rPr>
      </w:pPr>
      <w:r>
        <w:rPr>
          <w:rFonts w:ascii="Arial" w:cs="Arial" w:eastAsia="Arial" w:hAnsi="Arial"/>
          <w:sz w:val="14"/>
          <w:szCs w:val="14"/>
          <w:b w:val="1"/>
          <w:bCs w:val="1"/>
          <w:color w:val="auto"/>
        </w:rPr>
        <w:t>March 31, 2019</w:t>
      </w:r>
    </w:p>
    <w:p>
      <w:pPr>
        <w:spacing w:after="0" w:line="200" w:lineRule="exact"/>
        <w:rPr>
          <w:sz w:val="20"/>
          <w:szCs w:val="20"/>
          <w:color w:val="auto"/>
        </w:rPr>
      </w:pPr>
    </w:p>
    <w:p>
      <w:pPr>
        <w:spacing w:after="0" w:line="250"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9300" w:type="dxa"/>
            <w:vAlign w:val="bottom"/>
            <w:gridSpan w:val="2"/>
          </w:tcPr>
          <w:p>
            <w:pPr>
              <w:spacing w:after="0"/>
              <w:rPr>
                <w:rFonts w:ascii="Arial" w:cs="Arial" w:eastAsia="Arial" w:hAnsi="Arial"/>
                <w:sz w:val="14"/>
                <w:szCs w:val="14"/>
                <w:b w:val="1"/>
                <w:bCs w:val="1"/>
                <w:color w:val="auto"/>
              </w:rPr>
            </w:pPr>
            <w:hyperlink w:anchor="page2">
              <w:r>
                <w:rPr>
                  <w:rFonts w:ascii="Arial" w:cs="Arial" w:eastAsia="Arial" w:hAnsi="Arial"/>
                  <w:sz w:val="14"/>
                  <w:szCs w:val="14"/>
                  <w:b w:val="1"/>
                  <w:bCs w:val="1"/>
                  <w:color w:val="auto"/>
                </w:rPr>
                <w:t>PART I. FINANCIAL INFORMATION</w:t>
              </w:r>
            </w:hyperlink>
          </w:p>
        </w:tc>
        <w:tc>
          <w:tcPr>
            <w:tcW w:w="2080" w:type="dxa"/>
            <w:vAlign w:val="bottom"/>
          </w:tcPr>
          <w:p>
            <w:pPr>
              <w:spacing w:after="0"/>
              <w:rPr>
                <w:sz w:val="16"/>
                <w:szCs w:val="16"/>
                <w:color w:val="auto"/>
              </w:rPr>
            </w:pPr>
          </w:p>
        </w:tc>
      </w:tr>
      <w:tr>
        <w:trPr>
          <w:trHeight w:val="216"/>
        </w:trPr>
        <w:tc>
          <w:tcPr>
            <w:tcW w:w="2220" w:type="dxa"/>
            <w:vAlign w:val="bottom"/>
          </w:tcPr>
          <w:p>
            <w:pPr>
              <w:ind w:left="640"/>
              <w:spacing w:after="0"/>
              <w:rPr>
                <w:sz w:val="20"/>
                <w:szCs w:val="20"/>
                <w:color w:val="auto"/>
              </w:rPr>
            </w:pPr>
            <w:r>
              <w:rPr>
                <w:rFonts w:ascii="Arial" w:cs="Arial" w:eastAsia="Arial" w:hAnsi="Arial"/>
                <w:sz w:val="14"/>
                <w:szCs w:val="14"/>
                <w:color w:val="auto"/>
              </w:rPr>
              <w:t>Item 1.</w:t>
            </w:r>
          </w:p>
        </w:tc>
        <w:tc>
          <w:tcPr>
            <w:tcW w:w="7080" w:type="dxa"/>
            <w:vAlign w:val="bottom"/>
          </w:tcPr>
          <w:p>
            <w:pPr>
              <w:spacing w:after="0"/>
              <w:rPr>
                <w:rFonts w:ascii="Arial" w:cs="Arial" w:eastAsia="Arial" w:hAnsi="Arial"/>
                <w:sz w:val="14"/>
                <w:szCs w:val="14"/>
                <w:color w:val="auto"/>
              </w:rPr>
            </w:pPr>
            <w:hyperlink w:anchor="page3">
              <w:r>
                <w:rPr>
                  <w:rFonts w:ascii="Arial" w:cs="Arial" w:eastAsia="Arial" w:hAnsi="Arial"/>
                  <w:sz w:val="14"/>
                  <w:szCs w:val="14"/>
                  <w:color w:val="auto"/>
                </w:rPr>
                <w:t>Financial Statements</w:t>
              </w:r>
            </w:hyperlink>
          </w:p>
        </w:tc>
        <w:tc>
          <w:tcPr>
            <w:tcW w:w="2080" w:type="dxa"/>
            <w:vAlign w:val="bottom"/>
          </w:tcPr>
          <w:p>
            <w:pPr>
              <w:jc w:val="right"/>
              <w:spacing w:after="0"/>
              <w:rPr>
                <w:rFonts w:ascii="Arial" w:cs="Arial" w:eastAsia="Arial" w:hAnsi="Arial"/>
                <w:sz w:val="14"/>
                <w:szCs w:val="14"/>
                <w:color w:val="auto"/>
              </w:rPr>
            </w:pPr>
            <w:hyperlink w:anchor="page3">
              <w:r>
                <w:rPr>
                  <w:rFonts w:ascii="Arial" w:cs="Arial" w:eastAsia="Arial" w:hAnsi="Arial"/>
                  <w:sz w:val="14"/>
                  <w:szCs w:val="14"/>
                  <w:color w:val="auto"/>
                </w:rPr>
                <w:t>2</w:t>
              </w:r>
            </w:hyperlink>
          </w:p>
        </w:tc>
      </w:tr>
      <w:tr>
        <w:trPr>
          <w:trHeight w:val="216"/>
        </w:trPr>
        <w:tc>
          <w:tcPr>
            <w:tcW w:w="2220" w:type="dxa"/>
            <w:vAlign w:val="bottom"/>
          </w:tcPr>
          <w:p>
            <w:pPr>
              <w:ind w:left="640"/>
              <w:spacing w:after="0"/>
              <w:rPr>
                <w:sz w:val="20"/>
                <w:szCs w:val="20"/>
                <w:color w:val="auto"/>
              </w:rPr>
            </w:pPr>
            <w:r>
              <w:rPr>
                <w:rFonts w:ascii="Arial" w:cs="Arial" w:eastAsia="Arial" w:hAnsi="Arial"/>
                <w:sz w:val="14"/>
                <w:szCs w:val="14"/>
                <w:color w:val="auto"/>
              </w:rPr>
              <w:t>Item 2.</w:t>
            </w:r>
          </w:p>
        </w:tc>
        <w:tc>
          <w:tcPr>
            <w:tcW w:w="7080" w:type="dxa"/>
            <w:vAlign w:val="bottom"/>
          </w:tcPr>
          <w:p>
            <w:pPr>
              <w:spacing w:after="0"/>
              <w:rPr>
                <w:rFonts w:ascii="Arial" w:cs="Arial" w:eastAsia="Arial" w:hAnsi="Arial"/>
                <w:sz w:val="14"/>
                <w:szCs w:val="14"/>
                <w:color w:val="auto"/>
              </w:rPr>
            </w:pPr>
            <w:hyperlink w:anchor="page25">
              <w:r>
                <w:rPr>
                  <w:rFonts w:ascii="Arial" w:cs="Arial" w:eastAsia="Arial" w:hAnsi="Arial"/>
                  <w:sz w:val="14"/>
                  <w:szCs w:val="14"/>
                  <w:color w:val="auto"/>
                </w:rPr>
                <w:t>Management’s Discussion and Analysis of Financial Condition and Results of Operations</w:t>
              </w:r>
            </w:hyperlink>
          </w:p>
        </w:tc>
        <w:tc>
          <w:tcPr>
            <w:tcW w:w="2080" w:type="dxa"/>
            <w:vAlign w:val="bottom"/>
          </w:tcPr>
          <w:p>
            <w:pPr>
              <w:jc w:val="right"/>
              <w:spacing w:after="0"/>
              <w:rPr>
                <w:rFonts w:ascii="Arial" w:cs="Arial" w:eastAsia="Arial" w:hAnsi="Arial"/>
                <w:sz w:val="14"/>
                <w:szCs w:val="14"/>
                <w:color w:val="auto"/>
              </w:rPr>
            </w:pPr>
            <w:hyperlink w:anchor="page25">
              <w:r>
                <w:rPr>
                  <w:rFonts w:ascii="Arial" w:cs="Arial" w:eastAsia="Arial" w:hAnsi="Arial"/>
                  <w:sz w:val="14"/>
                  <w:szCs w:val="14"/>
                  <w:color w:val="auto"/>
                </w:rPr>
                <w:t>25</w:t>
              </w:r>
            </w:hyperlink>
          </w:p>
        </w:tc>
      </w:tr>
      <w:tr>
        <w:trPr>
          <w:trHeight w:val="216"/>
        </w:trPr>
        <w:tc>
          <w:tcPr>
            <w:tcW w:w="2220" w:type="dxa"/>
            <w:vAlign w:val="bottom"/>
          </w:tcPr>
          <w:p>
            <w:pPr>
              <w:ind w:left="640"/>
              <w:spacing w:after="0"/>
              <w:rPr>
                <w:sz w:val="20"/>
                <w:szCs w:val="20"/>
                <w:color w:val="auto"/>
              </w:rPr>
            </w:pPr>
            <w:r>
              <w:rPr>
                <w:rFonts w:ascii="Arial" w:cs="Arial" w:eastAsia="Arial" w:hAnsi="Arial"/>
                <w:sz w:val="14"/>
                <w:szCs w:val="14"/>
                <w:color w:val="auto"/>
              </w:rPr>
              <w:t>Item 3.</w:t>
            </w:r>
          </w:p>
        </w:tc>
        <w:tc>
          <w:tcPr>
            <w:tcW w:w="7080" w:type="dxa"/>
            <w:vAlign w:val="bottom"/>
          </w:tcPr>
          <w:p>
            <w:pPr>
              <w:spacing w:after="0"/>
              <w:rPr>
                <w:rFonts w:ascii="Arial" w:cs="Arial" w:eastAsia="Arial" w:hAnsi="Arial"/>
                <w:sz w:val="14"/>
                <w:szCs w:val="14"/>
                <w:color w:val="auto"/>
              </w:rPr>
            </w:pPr>
            <w:hyperlink w:anchor="page54">
              <w:r>
                <w:rPr>
                  <w:rFonts w:ascii="Arial" w:cs="Arial" w:eastAsia="Arial" w:hAnsi="Arial"/>
                  <w:sz w:val="14"/>
                  <w:szCs w:val="14"/>
                  <w:color w:val="auto"/>
                </w:rPr>
                <w:t>Quantitative and Qualitative Disclosures About Market Risk</w:t>
              </w:r>
            </w:hyperlink>
          </w:p>
        </w:tc>
        <w:tc>
          <w:tcPr>
            <w:tcW w:w="2080" w:type="dxa"/>
            <w:vAlign w:val="bottom"/>
          </w:tcPr>
          <w:p>
            <w:pPr>
              <w:jc w:val="right"/>
              <w:spacing w:after="0"/>
              <w:rPr>
                <w:rFonts w:ascii="Arial" w:cs="Arial" w:eastAsia="Arial" w:hAnsi="Arial"/>
                <w:sz w:val="14"/>
                <w:szCs w:val="14"/>
                <w:color w:val="auto"/>
              </w:rPr>
            </w:pPr>
            <w:hyperlink w:anchor="page54">
              <w:r>
                <w:rPr>
                  <w:rFonts w:ascii="Arial" w:cs="Arial" w:eastAsia="Arial" w:hAnsi="Arial"/>
                  <w:sz w:val="14"/>
                  <w:szCs w:val="14"/>
                  <w:color w:val="auto"/>
                </w:rPr>
                <w:t>54</w:t>
              </w:r>
            </w:hyperlink>
          </w:p>
        </w:tc>
      </w:tr>
      <w:tr>
        <w:trPr>
          <w:trHeight w:val="216"/>
        </w:trPr>
        <w:tc>
          <w:tcPr>
            <w:tcW w:w="2220" w:type="dxa"/>
            <w:vAlign w:val="bottom"/>
          </w:tcPr>
          <w:p>
            <w:pPr>
              <w:ind w:left="640"/>
              <w:spacing w:after="0"/>
              <w:rPr>
                <w:sz w:val="20"/>
                <w:szCs w:val="20"/>
                <w:color w:val="auto"/>
              </w:rPr>
            </w:pPr>
            <w:r>
              <w:rPr>
                <w:rFonts w:ascii="Arial" w:cs="Arial" w:eastAsia="Arial" w:hAnsi="Arial"/>
                <w:sz w:val="14"/>
                <w:szCs w:val="14"/>
                <w:color w:val="auto"/>
              </w:rPr>
              <w:t>Item 4.</w:t>
            </w:r>
          </w:p>
        </w:tc>
        <w:tc>
          <w:tcPr>
            <w:tcW w:w="7080" w:type="dxa"/>
            <w:vAlign w:val="bottom"/>
          </w:tcPr>
          <w:p>
            <w:pPr>
              <w:spacing w:after="0"/>
              <w:rPr>
                <w:rFonts w:ascii="Arial" w:cs="Arial" w:eastAsia="Arial" w:hAnsi="Arial"/>
                <w:sz w:val="14"/>
                <w:szCs w:val="14"/>
                <w:color w:val="auto"/>
              </w:rPr>
            </w:pPr>
            <w:hyperlink w:anchor="page58">
              <w:r>
                <w:rPr>
                  <w:rFonts w:ascii="Arial" w:cs="Arial" w:eastAsia="Arial" w:hAnsi="Arial"/>
                  <w:sz w:val="14"/>
                  <w:szCs w:val="14"/>
                  <w:color w:val="auto"/>
                </w:rPr>
                <w:t>Controls and Procedures</w:t>
              </w:r>
            </w:hyperlink>
          </w:p>
        </w:tc>
        <w:tc>
          <w:tcPr>
            <w:tcW w:w="2080" w:type="dxa"/>
            <w:vAlign w:val="bottom"/>
          </w:tcPr>
          <w:p>
            <w:pPr>
              <w:jc w:val="right"/>
              <w:spacing w:after="0"/>
              <w:rPr>
                <w:rFonts w:ascii="Arial" w:cs="Arial" w:eastAsia="Arial" w:hAnsi="Arial"/>
                <w:sz w:val="14"/>
                <w:szCs w:val="14"/>
                <w:color w:val="auto"/>
              </w:rPr>
            </w:pPr>
            <w:hyperlink w:anchor="page58">
              <w:r>
                <w:rPr>
                  <w:rFonts w:ascii="Arial" w:cs="Arial" w:eastAsia="Arial" w:hAnsi="Arial"/>
                  <w:sz w:val="14"/>
                  <w:szCs w:val="14"/>
                  <w:color w:val="auto"/>
                </w:rPr>
                <w:t>58</w:t>
              </w:r>
            </w:hyperlink>
          </w:p>
        </w:tc>
      </w:tr>
      <w:tr>
        <w:trPr>
          <w:trHeight w:val="431"/>
        </w:trPr>
        <w:tc>
          <w:tcPr>
            <w:tcW w:w="2220" w:type="dxa"/>
            <w:vAlign w:val="bottom"/>
          </w:tcPr>
          <w:p>
            <w:pPr>
              <w:spacing w:after="0"/>
              <w:rPr>
                <w:rFonts w:ascii="Arial" w:cs="Arial" w:eastAsia="Arial" w:hAnsi="Arial"/>
                <w:sz w:val="14"/>
                <w:szCs w:val="14"/>
                <w:b w:val="1"/>
                <w:bCs w:val="1"/>
                <w:color w:val="auto"/>
              </w:rPr>
            </w:pPr>
            <w:hyperlink w:anchor="page59">
              <w:r>
                <w:rPr>
                  <w:rFonts w:ascii="Arial" w:cs="Arial" w:eastAsia="Arial" w:hAnsi="Arial"/>
                  <w:sz w:val="14"/>
                  <w:szCs w:val="14"/>
                  <w:b w:val="1"/>
                  <w:bCs w:val="1"/>
                  <w:color w:val="auto"/>
                </w:rPr>
                <w:t>PART II. OTHER INFORMATION</w:t>
              </w:r>
            </w:hyperlink>
          </w:p>
        </w:tc>
        <w:tc>
          <w:tcPr>
            <w:tcW w:w="7080" w:type="dxa"/>
            <w:vAlign w:val="bottom"/>
          </w:tcPr>
          <w:p>
            <w:pPr>
              <w:spacing w:after="0"/>
              <w:rPr>
                <w:sz w:val="24"/>
                <w:szCs w:val="24"/>
                <w:color w:val="auto"/>
              </w:rPr>
            </w:pPr>
          </w:p>
        </w:tc>
        <w:tc>
          <w:tcPr>
            <w:tcW w:w="2080" w:type="dxa"/>
            <w:vAlign w:val="bottom"/>
          </w:tcPr>
          <w:p>
            <w:pPr>
              <w:spacing w:after="0"/>
              <w:rPr>
                <w:sz w:val="24"/>
                <w:szCs w:val="24"/>
                <w:color w:val="auto"/>
              </w:rPr>
            </w:pPr>
          </w:p>
        </w:tc>
      </w:tr>
      <w:tr>
        <w:trPr>
          <w:trHeight w:val="216"/>
        </w:trPr>
        <w:tc>
          <w:tcPr>
            <w:tcW w:w="2220" w:type="dxa"/>
            <w:vAlign w:val="bottom"/>
          </w:tcPr>
          <w:p>
            <w:pPr>
              <w:ind w:left="640"/>
              <w:spacing w:after="0"/>
              <w:rPr>
                <w:sz w:val="20"/>
                <w:szCs w:val="20"/>
                <w:color w:val="auto"/>
              </w:rPr>
            </w:pPr>
            <w:r>
              <w:rPr>
                <w:rFonts w:ascii="Arial" w:cs="Arial" w:eastAsia="Arial" w:hAnsi="Arial"/>
                <w:sz w:val="14"/>
                <w:szCs w:val="14"/>
                <w:color w:val="auto"/>
              </w:rPr>
              <w:t>Item 1.</w:t>
            </w:r>
          </w:p>
        </w:tc>
        <w:tc>
          <w:tcPr>
            <w:tcW w:w="7080" w:type="dxa"/>
            <w:vAlign w:val="bottom"/>
          </w:tcPr>
          <w:p>
            <w:pPr>
              <w:spacing w:after="0"/>
              <w:rPr>
                <w:rFonts w:ascii="Arial" w:cs="Arial" w:eastAsia="Arial" w:hAnsi="Arial"/>
                <w:sz w:val="14"/>
                <w:szCs w:val="14"/>
                <w:color w:val="auto"/>
              </w:rPr>
            </w:pPr>
            <w:hyperlink w:anchor="page59">
              <w:r>
                <w:rPr>
                  <w:rFonts w:ascii="Arial" w:cs="Arial" w:eastAsia="Arial" w:hAnsi="Arial"/>
                  <w:sz w:val="14"/>
                  <w:szCs w:val="14"/>
                  <w:color w:val="auto"/>
                </w:rPr>
                <w:t>Legal Proceedings</w:t>
              </w:r>
            </w:hyperlink>
          </w:p>
        </w:tc>
        <w:tc>
          <w:tcPr>
            <w:tcW w:w="2080" w:type="dxa"/>
            <w:vAlign w:val="bottom"/>
          </w:tcPr>
          <w:p>
            <w:pPr>
              <w:jc w:val="right"/>
              <w:spacing w:after="0"/>
              <w:rPr>
                <w:rFonts w:ascii="Arial" w:cs="Arial" w:eastAsia="Arial" w:hAnsi="Arial"/>
                <w:sz w:val="14"/>
                <w:szCs w:val="14"/>
                <w:color w:val="auto"/>
              </w:rPr>
            </w:pPr>
            <w:hyperlink w:anchor="page59">
              <w:r>
                <w:rPr>
                  <w:rFonts w:ascii="Arial" w:cs="Arial" w:eastAsia="Arial" w:hAnsi="Arial"/>
                  <w:sz w:val="14"/>
                  <w:szCs w:val="14"/>
                  <w:color w:val="auto"/>
                </w:rPr>
                <w:t>58</w:t>
              </w:r>
            </w:hyperlink>
          </w:p>
        </w:tc>
      </w:tr>
      <w:tr>
        <w:trPr>
          <w:trHeight w:val="216"/>
        </w:trPr>
        <w:tc>
          <w:tcPr>
            <w:tcW w:w="2220" w:type="dxa"/>
            <w:vAlign w:val="bottom"/>
          </w:tcPr>
          <w:p>
            <w:pPr>
              <w:ind w:left="640"/>
              <w:spacing w:after="0"/>
              <w:rPr>
                <w:sz w:val="20"/>
                <w:szCs w:val="20"/>
                <w:color w:val="auto"/>
              </w:rPr>
            </w:pPr>
            <w:r>
              <w:rPr>
                <w:rFonts w:ascii="Arial" w:cs="Arial" w:eastAsia="Arial" w:hAnsi="Arial"/>
                <w:sz w:val="14"/>
                <w:szCs w:val="14"/>
                <w:color w:val="auto"/>
              </w:rPr>
              <w:t>Item 1A.</w:t>
            </w:r>
          </w:p>
        </w:tc>
        <w:tc>
          <w:tcPr>
            <w:tcW w:w="7080" w:type="dxa"/>
            <w:vAlign w:val="bottom"/>
          </w:tcPr>
          <w:p>
            <w:pPr>
              <w:spacing w:after="0"/>
              <w:rPr>
                <w:rFonts w:ascii="Arial" w:cs="Arial" w:eastAsia="Arial" w:hAnsi="Arial"/>
                <w:sz w:val="14"/>
                <w:szCs w:val="14"/>
                <w:color w:val="auto"/>
              </w:rPr>
            </w:pPr>
            <w:hyperlink w:anchor="page59">
              <w:r>
                <w:rPr>
                  <w:rFonts w:ascii="Arial" w:cs="Arial" w:eastAsia="Arial" w:hAnsi="Arial"/>
                  <w:sz w:val="14"/>
                  <w:szCs w:val="14"/>
                  <w:color w:val="auto"/>
                </w:rPr>
                <w:t>Risk Factors</w:t>
              </w:r>
            </w:hyperlink>
          </w:p>
        </w:tc>
        <w:tc>
          <w:tcPr>
            <w:tcW w:w="2080" w:type="dxa"/>
            <w:vAlign w:val="bottom"/>
          </w:tcPr>
          <w:p>
            <w:pPr>
              <w:jc w:val="right"/>
              <w:spacing w:after="0"/>
              <w:rPr>
                <w:rFonts w:ascii="Arial" w:cs="Arial" w:eastAsia="Arial" w:hAnsi="Arial"/>
                <w:sz w:val="14"/>
                <w:szCs w:val="14"/>
                <w:color w:val="auto"/>
              </w:rPr>
            </w:pPr>
            <w:hyperlink w:anchor="page59">
              <w:r>
                <w:rPr>
                  <w:rFonts w:ascii="Arial" w:cs="Arial" w:eastAsia="Arial" w:hAnsi="Arial"/>
                  <w:sz w:val="14"/>
                  <w:szCs w:val="14"/>
                  <w:color w:val="auto"/>
                </w:rPr>
                <w:t>58</w:t>
              </w:r>
            </w:hyperlink>
          </w:p>
        </w:tc>
      </w:tr>
      <w:tr>
        <w:trPr>
          <w:trHeight w:val="216"/>
        </w:trPr>
        <w:tc>
          <w:tcPr>
            <w:tcW w:w="2220" w:type="dxa"/>
            <w:vAlign w:val="bottom"/>
          </w:tcPr>
          <w:p>
            <w:pPr>
              <w:ind w:left="640"/>
              <w:spacing w:after="0"/>
              <w:rPr>
                <w:sz w:val="20"/>
                <w:szCs w:val="20"/>
                <w:color w:val="auto"/>
              </w:rPr>
            </w:pPr>
            <w:r>
              <w:rPr>
                <w:rFonts w:ascii="Arial" w:cs="Arial" w:eastAsia="Arial" w:hAnsi="Arial"/>
                <w:sz w:val="14"/>
                <w:szCs w:val="14"/>
                <w:color w:val="auto"/>
              </w:rPr>
              <w:t>Item 2.</w:t>
            </w:r>
          </w:p>
        </w:tc>
        <w:tc>
          <w:tcPr>
            <w:tcW w:w="7080" w:type="dxa"/>
            <w:vAlign w:val="bottom"/>
          </w:tcPr>
          <w:p>
            <w:pPr>
              <w:spacing w:after="0"/>
              <w:rPr>
                <w:rFonts w:ascii="Arial" w:cs="Arial" w:eastAsia="Arial" w:hAnsi="Arial"/>
                <w:sz w:val="14"/>
                <w:szCs w:val="14"/>
                <w:color w:val="auto"/>
              </w:rPr>
            </w:pPr>
            <w:hyperlink w:anchor="page59">
              <w:r>
                <w:rPr>
                  <w:rFonts w:ascii="Arial" w:cs="Arial" w:eastAsia="Arial" w:hAnsi="Arial"/>
                  <w:sz w:val="14"/>
                  <w:szCs w:val="14"/>
                  <w:color w:val="auto"/>
                </w:rPr>
                <w:t>Unregistered Sales of Equity Securities and Use of Proceeds</w:t>
              </w:r>
            </w:hyperlink>
          </w:p>
        </w:tc>
        <w:tc>
          <w:tcPr>
            <w:tcW w:w="2080" w:type="dxa"/>
            <w:vAlign w:val="bottom"/>
          </w:tcPr>
          <w:p>
            <w:pPr>
              <w:jc w:val="right"/>
              <w:spacing w:after="0"/>
              <w:rPr>
                <w:rFonts w:ascii="Arial" w:cs="Arial" w:eastAsia="Arial" w:hAnsi="Arial"/>
                <w:sz w:val="14"/>
                <w:szCs w:val="14"/>
                <w:color w:val="auto"/>
              </w:rPr>
            </w:pPr>
            <w:hyperlink w:anchor="page59">
              <w:r>
                <w:rPr>
                  <w:rFonts w:ascii="Arial" w:cs="Arial" w:eastAsia="Arial" w:hAnsi="Arial"/>
                  <w:sz w:val="14"/>
                  <w:szCs w:val="14"/>
                  <w:color w:val="auto"/>
                </w:rPr>
                <w:t>58</w:t>
              </w:r>
            </w:hyperlink>
          </w:p>
        </w:tc>
      </w:tr>
      <w:tr>
        <w:trPr>
          <w:trHeight w:val="216"/>
        </w:trPr>
        <w:tc>
          <w:tcPr>
            <w:tcW w:w="2220" w:type="dxa"/>
            <w:vAlign w:val="bottom"/>
          </w:tcPr>
          <w:p>
            <w:pPr>
              <w:ind w:left="640"/>
              <w:spacing w:after="0"/>
              <w:rPr>
                <w:sz w:val="20"/>
                <w:szCs w:val="20"/>
                <w:color w:val="auto"/>
              </w:rPr>
            </w:pPr>
            <w:r>
              <w:rPr>
                <w:rFonts w:ascii="Arial" w:cs="Arial" w:eastAsia="Arial" w:hAnsi="Arial"/>
                <w:sz w:val="14"/>
                <w:szCs w:val="14"/>
                <w:color w:val="auto"/>
              </w:rPr>
              <w:t>Item 6.</w:t>
            </w:r>
          </w:p>
        </w:tc>
        <w:tc>
          <w:tcPr>
            <w:tcW w:w="7080" w:type="dxa"/>
            <w:vAlign w:val="bottom"/>
          </w:tcPr>
          <w:p>
            <w:pPr>
              <w:spacing w:after="0"/>
              <w:rPr>
                <w:rFonts w:ascii="Arial" w:cs="Arial" w:eastAsia="Arial" w:hAnsi="Arial"/>
                <w:sz w:val="14"/>
                <w:szCs w:val="14"/>
                <w:color w:val="auto"/>
              </w:rPr>
            </w:pPr>
            <w:hyperlink w:anchor="page60">
              <w:r>
                <w:rPr>
                  <w:rFonts w:ascii="Arial" w:cs="Arial" w:eastAsia="Arial" w:hAnsi="Arial"/>
                  <w:sz w:val="14"/>
                  <w:szCs w:val="14"/>
                  <w:color w:val="auto"/>
                </w:rPr>
                <w:t>Exhibits</w:t>
              </w:r>
            </w:hyperlink>
          </w:p>
        </w:tc>
        <w:tc>
          <w:tcPr>
            <w:tcW w:w="2080" w:type="dxa"/>
            <w:vAlign w:val="bottom"/>
          </w:tcPr>
          <w:p>
            <w:pPr>
              <w:jc w:val="right"/>
              <w:spacing w:after="0"/>
              <w:rPr>
                <w:rFonts w:ascii="Arial" w:cs="Arial" w:eastAsia="Arial" w:hAnsi="Arial"/>
                <w:sz w:val="14"/>
                <w:szCs w:val="14"/>
                <w:color w:val="auto"/>
              </w:rPr>
            </w:pPr>
            <w:hyperlink w:anchor="page60">
              <w:r>
                <w:rPr>
                  <w:rFonts w:ascii="Arial" w:cs="Arial" w:eastAsia="Arial" w:hAnsi="Arial"/>
                  <w:sz w:val="14"/>
                  <w:szCs w:val="14"/>
                  <w:color w:val="auto"/>
                </w:rPr>
                <w:t>59</w:t>
              </w:r>
            </w:hyperlink>
          </w:p>
        </w:tc>
      </w:tr>
      <w:tr>
        <w:trPr>
          <w:trHeight w:val="431"/>
        </w:trPr>
        <w:tc>
          <w:tcPr>
            <w:tcW w:w="2220" w:type="dxa"/>
            <w:vAlign w:val="bottom"/>
          </w:tcPr>
          <w:p>
            <w:pPr>
              <w:spacing w:after="0"/>
              <w:rPr>
                <w:rFonts w:ascii="Arial" w:cs="Arial" w:eastAsia="Arial" w:hAnsi="Arial"/>
                <w:sz w:val="14"/>
                <w:szCs w:val="14"/>
                <w:b w:val="1"/>
                <w:bCs w:val="1"/>
                <w:color w:val="auto"/>
              </w:rPr>
            </w:pPr>
            <w:hyperlink w:anchor="page60">
              <w:r>
                <w:rPr>
                  <w:rFonts w:ascii="Arial" w:cs="Arial" w:eastAsia="Arial" w:hAnsi="Arial"/>
                  <w:sz w:val="14"/>
                  <w:szCs w:val="14"/>
                  <w:b w:val="1"/>
                  <w:bCs w:val="1"/>
                  <w:color w:val="auto"/>
                </w:rPr>
                <w:t>Signatures</w:t>
              </w:r>
            </w:hyperlink>
          </w:p>
        </w:tc>
        <w:tc>
          <w:tcPr>
            <w:tcW w:w="7080" w:type="dxa"/>
            <w:vAlign w:val="bottom"/>
          </w:tcPr>
          <w:p>
            <w:pPr>
              <w:spacing w:after="0"/>
              <w:rPr>
                <w:sz w:val="24"/>
                <w:szCs w:val="24"/>
                <w:color w:val="auto"/>
              </w:rPr>
            </w:pPr>
          </w:p>
        </w:tc>
        <w:tc>
          <w:tcPr>
            <w:tcW w:w="2080" w:type="dxa"/>
            <w:vAlign w:val="bottom"/>
          </w:tcPr>
          <w:p>
            <w:pPr>
              <w:jc w:val="right"/>
              <w:spacing w:after="0"/>
              <w:rPr>
                <w:rFonts w:ascii="Arial" w:cs="Arial" w:eastAsia="Arial" w:hAnsi="Arial"/>
                <w:sz w:val="14"/>
                <w:szCs w:val="14"/>
                <w:color w:val="auto"/>
              </w:rPr>
            </w:pPr>
            <w:hyperlink w:anchor="page60">
              <w:r>
                <w:rPr>
                  <w:rFonts w:ascii="Arial" w:cs="Arial" w:eastAsia="Arial" w:hAnsi="Arial"/>
                  <w:sz w:val="14"/>
                  <w:szCs w:val="14"/>
                  <w:color w:val="auto"/>
                </w:rPr>
                <w:t>60</w:t>
              </w:r>
            </w:hyperlink>
          </w:p>
        </w:tc>
      </w:tr>
    </w:tbl>
    <w:p>
      <w:pPr>
        <w:sectPr>
          <w:pgSz w:w="11900" w:h="16838" w:orient="portrait"/>
          <w:cols w:equalWidth="0" w:num="1">
            <w:col w:w="11380"/>
          </w:cols>
          <w:pgMar w:left="240" w:top="739" w:right="279" w:bottom="1440" w:gutter="0" w:footer="0" w:header="0"/>
        </w:sectPr>
      </w:pPr>
    </w:p>
    <w:bookmarkStart w:id="2" w:name="page3"/>
    <w:bookmarkEnd w:id="2"/>
    <w:p>
      <w:pPr>
        <w:jc w:val="center"/>
        <w:ind w:right="-19"/>
        <w:spacing w:after="0"/>
        <w:rPr>
          <w:sz w:val="20"/>
          <w:szCs w:val="20"/>
          <w:color w:val="auto"/>
        </w:rPr>
      </w:pPr>
      <w:r>
        <w:rPr>
          <w:rFonts w:ascii="Arial" w:cs="Arial" w:eastAsia="Arial" w:hAnsi="Arial"/>
          <w:sz w:val="14"/>
          <w:szCs w:val="14"/>
          <w:b w:val="1"/>
          <w:bCs w:val="1"/>
          <w:color w:val="auto"/>
        </w:rPr>
        <w:t>PART I. FINANCIAL INFORMATION</w:t>
      </w:r>
    </w:p>
    <w:p>
      <w:pPr>
        <w:spacing w:after="0" w:line="205"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ITEM 1. FINANCIAL STATEMENTS</w:t>
      </w: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159"/>
        </w:trPr>
        <w:tc>
          <w:tcPr>
            <w:tcW w:w="7920" w:type="dxa"/>
            <w:vAlign w:val="bottom"/>
          </w:tcPr>
          <w:p>
            <w:pPr>
              <w:jc w:val="center"/>
              <w:ind w:left="3459"/>
              <w:spacing w:after="0"/>
              <w:rPr>
                <w:sz w:val="20"/>
                <w:szCs w:val="20"/>
                <w:color w:val="auto"/>
              </w:rPr>
            </w:pPr>
            <w:r>
              <w:rPr>
                <w:rFonts w:ascii="Arial" w:cs="Arial" w:eastAsia="Arial" w:hAnsi="Arial"/>
                <w:sz w:val="12"/>
                <w:szCs w:val="12"/>
                <w:b w:val="1"/>
                <w:bCs w:val="1"/>
                <w:color w:val="auto"/>
              </w:rPr>
              <w:t>NELNET, INC. AND SUBSIDIARIES</w:t>
            </w:r>
          </w:p>
        </w:tc>
        <w:tc>
          <w:tcPr>
            <w:tcW w:w="280" w:type="dxa"/>
            <w:vAlign w:val="bottom"/>
          </w:tcPr>
          <w:p>
            <w:pPr>
              <w:spacing w:after="0"/>
              <w:rPr>
                <w:sz w:val="13"/>
                <w:szCs w:val="13"/>
                <w:color w:val="auto"/>
              </w:rPr>
            </w:pPr>
          </w:p>
        </w:tc>
        <w:tc>
          <w:tcPr>
            <w:tcW w:w="14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7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2"/>
        </w:trPr>
        <w:tc>
          <w:tcPr>
            <w:tcW w:w="7920" w:type="dxa"/>
            <w:vAlign w:val="bottom"/>
          </w:tcPr>
          <w:p>
            <w:pPr>
              <w:jc w:val="center"/>
              <w:ind w:left="3459"/>
              <w:spacing w:after="0"/>
              <w:rPr>
                <w:sz w:val="20"/>
                <w:szCs w:val="20"/>
                <w:color w:val="auto"/>
              </w:rPr>
            </w:pPr>
            <w:r>
              <w:rPr>
                <w:rFonts w:ascii="Arial" w:cs="Arial" w:eastAsia="Arial" w:hAnsi="Arial"/>
                <w:sz w:val="12"/>
                <w:szCs w:val="12"/>
                <w:b w:val="1"/>
                <w:bCs w:val="1"/>
                <w:color w:val="auto"/>
              </w:rPr>
              <w:t>CONSOLIDATED BALANCE SHEETS</w:t>
            </w:r>
          </w:p>
        </w:tc>
        <w:tc>
          <w:tcPr>
            <w:tcW w:w="280" w:type="dxa"/>
            <w:vAlign w:val="bottom"/>
          </w:tcPr>
          <w:p>
            <w:pPr>
              <w:spacing w:after="0"/>
              <w:rPr>
                <w:sz w:val="14"/>
                <w:szCs w:val="14"/>
                <w:color w:val="auto"/>
              </w:rPr>
            </w:pPr>
          </w:p>
        </w:tc>
        <w:tc>
          <w:tcPr>
            <w:tcW w:w="14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7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2"/>
        </w:trPr>
        <w:tc>
          <w:tcPr>
            <w:tcW w:w="7920" w:type="dxa"/>
            <w:vAlign w:val="bottom"/>
          </w:tcPr>
          <w:p>
            <w:pPr>
              <w:jc w:val="center"/>
              <w:ind w:left="3459"/>
              <w:spacing w:after="0"/>
              <w:rPr>
                <w:sz w:val="20"/>
                <w:szCs w:val="20"/>
                <w:color w:val="auto"/>
              </w:rPr>
            </w:pPr>
            <w:r>
              <w:rPr>
                <w:rFonts w:ascii="Arial" w:cs="Arial" w:eastAsia="Arial" w:hAnsi="Arial"/>
                <w:sz w:val="12"/>
                <w:szCs w:val="12"/>
                <w:b w:val="1"/>
                <w:bCs w:val="1"/>
                <w:color w:val="auto"/>
                <w:w w:val="90"/>
              </w:rPr>
              <w:t>(Dollars in thousands, except share data)</w:t>
            </w:r>
          </w:p>
        </w:tc>
        <w:tc>
          <w:tcPr>
            <w:tcW w:w="280" w:type="dxa"/>
            <w:vAlign w:val="bottom"/>
          </w:tcPr>
          <w:p>
            <w:pPr>
              <w:spacing w:after="0"/>
              <w:rPr>
                <w:sz w:val="14"/>
                <w:szCs w:val="14"/>
                <w:color w:val="auto"/>
              </w:rPr>
            </w:pPr>
          </w:p>
        </w:tc>
        <w:tc>
          <w:tcPr>
            <w:tcW w:w="14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7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2"/>
        </w:trPr>
        <w:tc>
          <w:tcPr>
            <w:tcW w:w="7920" w:type="dxa"/>
            <w:vAlign w:val="bottom"/>
          </w:tcPr>
          <w:p>
            <w:pPr>
              <w:jc w:val="center"/>
              <w:ind w:left="3459"/>
              <w:spacing w:after="0"/>
              <w:rPr>
                <w:sz w:val="20"/>
                <w:szCs w:val="20"/>
                <w:color w:val="auto"/>
              </w:rPr>
            </w:pPr>
            <w:r>
              <w:rPr>
                <w:rFonts w:ascii="Arial" w:cs="Arial" w:eastAsia="Arial" w:hAnsi="Arial"/>
                <w:sz w:val="12"/>
                <w:szCs w:val="12"/>
                <w:b w:val="1"/>
                <w:bCs w:val="1"/>
                <w:color w:val="auto"/>
                <w:w w:val="91"/>
              </w:rPr>
              <w:t>(unaudited)</w:t>
            </w:r>
          </w:p>
        </w:tc>
        <w:tc>
          <w:tcPr>
            <w:tcW w:w="280" w:type="dxa"/>
            <w:vAlign w:val="bottom"/>
          </w:tcPr>
          <w:p>
            <w:pPr>
              <w:spacing w:after="0"/>
              <w:rPr>
                <w:sz w:val="14"/>
                <w:szCs w:val="14"/>
                <w:color w:val="auto"/>
              </w:rPr>
            </w:pPr>
          </w:p>
        </w:tc>
        <w:tc>
          <w:tcPr>
            <w:tcW w:w="14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7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2"/>
        </w:trPr>
        <w:tc>
          <w:tcPr>
            <w:tcW w:w="79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540" w:type="dxa"/>
            <w:vAlign w:val="bottom"/>
            <w:gridSpan w:val="2"/>
          </w:tcPr>
          <w:p>
            <w:pPr>
              <w:jc w:val="center"/>
              <w:ind w:right="360"/>
              <w:spacing w:after="0"/>
              <w:rPr>
                <w:sz w:val="20"/>
                <w:szCs w:val="20"/>
                <w:color w:val="auto"/>
              </w:rPr>
            </w:pPr>
            <w:r>
              <w:rPr>
                <w:rFonts w:ascii="Arial" w:cs="Arial" w:eastAsia="Arial" w:hAnsi="Arial"/>
                <w:sz w:val="12"/>
                <w:szCs w:val="12"/>
                <w:b w:val="1"/>
                <w:bCs w:val="1"/>
                <w:color w:val="auto"/>
                <w:w w:val="86"/>
              </w:rPr>
              <w:t>As of</w:t>
            </w:r>
          </w:p>
        </w:tc>
        <w:tc>
          <w:tcPr>
            <w:tcW w:w="1700" w:type="dxa"/>
            <w:vAlign w:val="bottom"/>
          </w:tcPr>
          <w:p>
            <w:pPr>
              <w:jc w:val="right"/>
              <w:ind w:right="659"/>
              <w:spacing w:after="0"/>
              <w:rPr>
                <w:sz w:val="20"/>
                <w:szCs w:val="20"/>
                <w:color w:val="auto"/>
              </w:rPr>
            </w:pPr>
            <w:r>
              <w:rPr>
                <w:rFonts w:ascii="Arial" w:cs="Arial" w:eastAsia="Arial" w:hAnsi="Arial"/>
                <w:sz w:val="12"/>
                <w:szCs w:val="12"/>
                <w:b w:val="1"/>
                <w:bCs w:val="1"/>
                <w:color w:val="auto"/>
              </w:rPr>
              <w:t>As of</w:t>
            </w:r>
          </w:p>
        </w:tc>
        <w:tc>
          <w:tcPr>
            <w:tcW w:w="0" w:type="dxa"/>
            <w:vAlign w:val="bottom"/>
          </w:tcPr>
          <w:p>
            <w:pPr>
              <w:spacing w:after="0"/>
              <w:rPr>
                <w:sz w:val="1"/>
                <w:szCs w:val="1"/>
                <w:color w:val="auto"/>
              </w:rPr>
            </w:pPr>
          </w:p>
        </w:tc>
      </w:tr>
      <w:tr>
        <w:trPr>
          <w:trHeight w:val="176"/>
        </w:trPr>
        <w:tc>
          <w:tcPr>
            <w:tcW w:w="79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540" w:type="dxa"/>
            <w:vAlign w:val="bottom"/>
            <w:gridSpan w:val="2"/>
          </w:tcPr>
          <w:p>
            <w:pPr>
              <w:jc w:val="center"/>
              <w:ind w:right="380"/>
              <w:spacing w:after="0"/>
              <w:rPr>
                <w:sz w:val="20"/>
                <w:szCs w:val="20"/>
                <w:color w:val="auto"/>
              </w:rPr>
            </w:pPr>
            <w:r>
              <w:rPr>
                <w:rFonts w:ascii="Arial" w:cs="Arial" w:eastAsia="Arial" w:hAnsi="Arial"/>
                <w:sz w:val="12"/>
                <w:szCs w:val="12"/>
                <w:b w:val="1"/>
                <w:bCs w:val="1"/>
                <w:color w:val="auto"/>
                <w:w w:val="93"/>
              </w:rPr>
              <w:t>March 31, 2019</w:t>
            </w:r>
          </w:p>
        </w:tc>
        <w:tc>
          <w:tcPr>
            <w:tcW w:w="1700" w:type="dxa"/>
            <w:vAlign w:val="bottom"/>
          </w:tcPr>
          <w:p>
            <w:pPr>
              <w:jc w:val="right"/>
              <w:ind w:right="299"/>
              <w:spacing w:after="0"/>
              <w:rPr>
                <w:sz w:val="20"/>
                <w:szCs w:val="20"/>
                <w:color w:val="auto"/>
              </w:rPr>
            </w:pPr>
            <w:r>
              <w:rPr>
                <w:rFonts w:ascii="Arial" w:cs="Arial" w:eastAsia="Arial" w:hAnsi="Arial"/>
                <w:sz w:val="12"/>
                <w:szCs w:val="12"/>
                <w:b w:val="1"/>
                <w:bCs w:val="1"/>
                <w:color w:val="auto"/>
              </w:rPr>
              <w:t>December 31, 2018</w:t>
            </w:r>
          </w:p>
        </w:tc>
        <w:tc>
          <w:tcPr>
            <w:tcW w:w="0" w:type="dxa"/>
            <w:vAlign w:val="bottom"/>
          </w:tcPr>
          <w:p>
            <w:pPr>
              <w:spacing w:after="0"/>
              <w:rPr>
                <w:sz w:val="1"/>
                <w:szCs w:val="1"/>
                <w:color w:val="auto"/>
              </w:rPr>
            </w:pPr>
          </w:p>
        </w:tc>
      </w:tr>
      <w:tr>
        <w:trPr>
          <w:trHeight w:val="167"/>
        </w:trPr>
        <w:tc>
          <w:tcPr>
            <w:tcW w:w="79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2"/>
                <w:szCs w:val="12"/>
                <w:color w:val="auto"/>
              </w:rPr>
              <w:t>Assets:</w:t>
            </w:r>
          </w:p>
        </w:tc>
        <w:tc>
          <w:tcPr>
            <w:tcW w:w="280" w:type="dxa"/>
            <w:vAlign w:val="bottom"/>
            <w:tcBorders>
              <w:top w:val="single" w:sz="8" w:color="auto"/>
            </w:tcBorders>
            <w:shd w:val="clear" w:color="auto" w:fill="CCEEFF"/>
          </w:tcPr>
          <w:p>
            <w:pPr>
              <w:spacing w:after="0"/>
              <w:rPr>
                <w:sz w:val="14"/>
                <w:szCs w:val="14"/>
                <w:color w:val="auto"/>
              </w:rPr>
            </w:pPr>
          </w:p>
        </w:tc>
        <w:tc>
          <w:tcPr>
            <w:tcW w:w="144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1700" w:type="dxa"/>
            <w:vAlign w:val="bottom"/>
            <w:tcBorders>
              <w:top w:val="single" w:sz="8" w:color="auto"/>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9"/>
        </w:trPr>
        <w:tc>
          <w:tcPr>
            <w:tcW w:w="7920" w:type="dxa"/>
            <w:vAlign w:val="bottom"/>
          </w:tcPr>
          <w:p>
            <w:pPr>
              <w:ind w:left="100"/>
              <w:spacing w:after="0"/>
              <w:rPr>
                <w:sz w:val="20"/>
                <w:szCs w:val="20"/>
                <w:color w:val="auto"/>
              </w:rPr>
            </w:pPr>
            <w:r>
              <w:rPr>
                <w:rFonts w:ascii="Arial" w:cs="Arial" w:eastAsia="Arial" w:hAnsi="Arial"/>
                <w:sz w:val="12"/>
                <w:szCs w:val="12"/>
                <w:color w:val="auto"/>
              </w:rPr>
              <w:t>Loans receivable (net of allowance for loan losses of $61,778 and $60,388, respectively)</w:t>
            </w:r>
          </w:p>
        </w:tc>
        <w:tc>
          <w:tcPr>
            <w:tcW w:w="280" w:type="dxa"/>
            <w:vAlign w:val="bottom"/>
          </w:tcPr>
          <w:p>
            <w:pPr>
              <w:jc w:val="right"/>
              <w:ind w:right="139"/>
              <w:spacing w:after="0"/>
              <w:rPr>
                <w:sz w:val="20"/>
                <w:szCs w:val="20"/>
                <w:color w:val="auto"/>
              </w:rPr>
            </w:pPr>
            <w:r>
              <w:rPr>
                <w:rFonts w:ascii="Arial" w:cs="Arial" w:eastAsia="Arial" w:hAnsi="Arial"/>
                <w:sz w:val="12"/>
                <w:szCs w:val="12"/>
                <w:color w:val="auto"/>
                <w:w w:val="89"/>
              </w:rPr>
              <w:t>$</w:t>
            </w:r>
          </w:p>
        </w:tc>
        <w:tc>
          <w:tcPr>
            <w:tcW w:w="1440" w:type="dxa"/>
            <w:vAlign w:val="bottom"/>
          </w:tcPr>
          <w:p>
            <w:pPr>
              <w:jc w:val="right"/>
              <w:spacing w:after="0"/>
              <w:rPr>
                <w:sz w:val="20"/>
                <w:szCs w:val="20"/>
                <w:color w:val="auto"/>
              </w:rPr>
            </w:pPr>
            <w:r>
              <w:rPr>
                <w:rFonts w:ascii="Arial" w:cs="Arial" w:eastAsia="Arial" w:hAnsi="Arial"/>
                <w:sz w:val="12"/>
                <w:szCs w:val="12"/>
                <w:color w:val="auto"/>
              </w:rPr>
              <w:t>21,946,153</w:t>
            </w:r>
          </w:p>
        </w:tc>
        <w:tc>
          <w:tcPr>
            <w:tcW w:w="100" w:type="dxa"/>
            <w:vAlign w:val="bottom"/>
          </w:tcPr>
          <w:p>
            <w:pPr>
              <w:spacing w:after="0"/>
              <w:rPr>
                <w:sz w:val="14"/>
                <w:szCs w:val="14"/>
                <w:color w:val="auto"/>
              </w:rPr>
            </w:pPr>
          </w:p>
        </w:tc>
        <w:tc>
          <w:tcPr>
            <w:tcW w:w="1700" w:type="dxa"/>
            <w:vAlign w:val="bottom"/>
          </w:tcPr>
          <w:p>
            <w:pPr>
              <w:jc w:val="right"/>
              <w:spacing w:after="0"/>
              <w:rPr>
                <w:sz w:val="20"/>
                <w:szCs w:val="20"/>
                <w:color w:val="auto"/>
              </w:rPr>
            </w:pPr>
            <w:r>
              <w:rPr>
                <w:rFonts w:ascii="Arial" w:cs="Arial" w:eastAsia="Arial" w:hAnsi="Arial"/>
                <w:sz w:val="12"/>
                <w:szCs w:val="12"/>
                <w:color w:val="auto"/>
              </w:rPr>
              <w:t>22,377,142</w:t>
            </w:r>
          </w:p>
        </w:tc>
        <w:tc>
          <w:tcPr>
            <w:tcW w:w="0" w:type="dxa"/>
            <w:vAlign w:val="bottom"/>
          </w:tcPr>
          <w:p>
            <w:pPr>
              <w:spacing w:after="0"/>
              <w:rPr>
                <w:sz w:val="1"/>
                <w:szCs w:val="1"/>
                <w:color w:val="auto"/>
              </w:rPr>
            </w:pPr>
          </w:p>
        </w:tc>
      </w:tr>
      <w:tr>
        <w:trPr>
          <w:trHeight w:val="176"/>
        </w:trPr>
        <w:tc>
          <w:tcPr>
            <w:tcW w:w="7920" w:type="dxa"/>
            <w:vAlign w:val="bottom"/>
            <w:shd w:val="clear" w:color="auto" w:fill="CCEEFF"/>
          </w:tcPr>
          <w:p>
            <w:pPr>
              <w:ind w:left="100"/>
              <w:spacing w:after="0"/>
              <w:rPr>
                <w:sz w:val="20"/>
                <w:szCs w:val="20"/>
                <w:color w:val="auto"/>
              </w:rPr>
            </w:pPr>
            <w:r>
              <w:rPr>
                <w:rFonts w:ascii="Arial" w:cs="Arial" w:eastAsia="Arial" w:hAnsi="Arial"/>
                <w:sz w:val="12"/>
                <w:szCs w:val="12"/>
                <w:color w:val="auto"/>
              </w:rPr>
              <w:t>Cash and cash equivalents:</w:t>
            </w:r>
          </w:p>
        </w:tc>
        <w:tc>
          <w:tcPr>
            <w:tcW w:w="280" w:type="dxa"/>
            <w:vAlign w:val="bottom"/>
            <w:shd w:val="clear" w:color="auto" w:fill="CCEEFF"/>
          </w:tcPr>
          <w:p>
            <w:pPr>
              <w:spacing w:after="0"/>
              <w:rPr>
                <w:sz w:val="15"/>
                <w:szCs w:val="15"/>
                <w:color w:val="auto"/>
              </w:rPr>
            </w:pPr>
          </w:p>
        </w:tc>
        <w:tc>
          <w:tcPr>
            <w:tcW w:w="14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7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69"/>
        </w:trPr>
        <w:tc>
          <w:tcPr>
            <w:tcW w:w="7920" w:type="dxa"/>
            <w:vAlign w:val="bottom"/>
          </w:tcPr>
          <w:p>
            <w:pPr>
              <w:ind w:left="260"/>
              <w:spacing w:after="0"/>
              <w:rPr>
                <w:sz w:val="20"/>
                <w:szCs w:val="20"/>
                <w:color w:val="auto"/>
              </w:rPr>
            </w:pPr>
            <w:r>
              <w:rPr>
                <w:rFonts w:ascii="Arial" w:cs="Arial" w:eastAsia="Arial" w:hAnsi="Arial"/>
                <w:sz w:val="12"/>
                <w:szCs w:val="12"/>
                <w:color w:val="auto"/>
              </w:rPr>
              <w:t>Cash and cash equivalents - not held at a related party</w:t>
            </w:r>
          </w:p>
        </w:tc>
        <w:tc>
          <w:tcPr>
            <w:tcW w:w="280" w:type="dxa"/>
            <w:vAlign w:val="bottom"/>
          </w:tcPr>
          <w:p>
            <w:pPr>
              <w:spacing w:after="0"/>
              <w:rPr>
                <w:sz w:val="14"/>
                <w:szCs w:val="14"/>
                <w:color w:val="auto"/>
              </w:rPr>
            </w:pPr>
          </w:p>
        </w:tc>
        <w:tc>
          <w:tcPr>
            <w:tcW w:w="1440" w:type="dxa"/>
            <w:vAlign w:val="bottom"/>
          </w:tcPr>
          <w:p>
            <w:pPr>
              <w:jc w:val="right"/>
              <w:spacing w:after="0"/>
              <w:rPr>
                <w:sz w:val="20"/>
                <w:szCs w:val="20"/>
                <w:color w:val="auto"/>
              </w:rPr>
            </w:pPr>
            <w:r>
              <w:rPr>
                <w:rFonts w:ascii="Arial" w:cs="Arial" w:eastAsia="Arial" w:hAnsi="Arial"/>
                <w:sz w:val="12"/>
                <w:szCs w:val="12"/>
                <w:color w:val="auto"/>
              </w:rPr>
              <w:t>11,844</w:t>
            </w:r>
          </w:p>
        </w:tc>
        <w:tc>
          <w:tcPr>
            <w:tcW w:w="100" w:type="dxa"/>
            <w:vAlign w:val="bottom"/>
          </w:tcPr>
          <w:p>
            <w:pPr>
              <w:spacing w:after="0"/>
              <w:rPr>
                <w:sz w:val="14"/>
                <w:szCs w:val="14"/>
                <w:color w:val="auto"/>
              </w:rPr>
            </w:pPr>
          </w:p>
        </w:tc>
        <w:tc>
          <w:tcPr>
            <w:tcW w:w="1700" w:type="dxa"/>
            <w:vAlign w:val="bottom"/>
          </w:tcPr>
          <w:p>
            <w:pPr>
              <w:jc w:val="right"/>
              <w:spacing w:after="0"/>
              <w:rPr>
                <w:sz w:val="20"/>
                <w:szCs w:val="20"/>
                <w:color w:val="auto"/>
              </w:rPr>
            </w:pPr>
            <w:r>
              <w:rPr>
                <w:rFonts w:ascii="Arial" w:cs="Arial" w:eastAsia="Arial" w:hAnsi="Arial"/>
                <w:sz w:val="12"/>
                <w:szCs w:val="12"/>
                <w:color w:val="auto"/>
              </w:rPr>
              <w:t>9,472</w:t>
            </w:r>
          </w:p>
        </w:tc>
        <w:tc>
          <w:tcPr>
            <w:tcW w:w="0" w:type="dxa"/>
            <w:vAlign w:val="bottom"/>
          </w:tcPr>
          <w:p>
            <w:pPr>
              <w:spacing w:after="0"/>
              <w:rPr>
                <w:sz w:val="1"/>
                <w:szCs w:val="1"/>
                <w:color w:val="auto"/>
              </w:rPr>
            </w:pPr>
          </w:p>
        </w:tc>
      </w:tr>
      <w:tr>
        <w:trPr>
          <w:trHeight w:val="172"/>
        </w:trPr>
        <w:tc>
          <w:tcPr>
            <w:tcW w:w="7920" w:type="dxa"/>
            <w:vAlign w:val="bottom"/>
            <w:shd w:val="clear" w:color="auto" w:fill="CCEEFF"/>
          </w:tcPr>
          <w:p>
            <w:pPr>
              <w:ind w:left="260"/>
              <w:spacing w:after="0"/>
              <w:rPr>
                <w:sz w:val="20"/>
                <w:szCs w:val="20"/>
                <w:color w:val="auto"/>
              </w:rPr>
            </w:pPr>
            <w:r>
              <w:rPr>
                <w:rFonts w:ascii="Arial" w:cs="Arial" w:eastAsia="Arial" w:hAnsi="Arial"/>
                <w:sz w:val="12"/>
                <w:szCs w:val="12"/>
                <w:color w:val="auto"/>
              </w:rPr>
              <w:t>Cash and cash equivalents - held at a related party</w:t>
            </w:r>
          </w:p>
        </w:tc>
        <w:tc>
          <w:tcPr>
            <w:tcW w:w="280" w:type="dxa"/>
            <w:vAlign w:val="bottom"/>
            <w:tcBorders>
              <w:bottom w:val="single" w:sz="8" w:color="auto"/>
            </w:tcBorders>
            <w:shd w:val="clear" w:color="auto" w:fill="CCEEFF"/>
          </w:tcPr>
          <w:p>
            <w:pPr>
              <w:spacing w:after="0"/>
              <w:rPr>
                <w:sz w:val="14"/>
                <w:szCs w:val="14"/>
                <w:color w:val="auto"/>
              </w:rPr>
            </w:pPr>
          </w:p>
        </w:tc>
        <w:tc>
          <w:tcPr>
            <w:tcW w:w="1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2"/>
                <w:szCs w:val="12"/>
                <w:color w:val="auto"/>
              </w:rPr>
              <w:t>63,037</w:t>
            </w:r>
          </w:p>
        </w:tc>
        <w:tc>
          <w:tcPr>
            <w:tcW w:w="100" w:type="dxa"/>
            <w:vAlign w:val="bottom"/>
            <w:shd w:val="clear" w:color="auto" w:fill="CCEEFF"/>
          </w:tcPr>
          <w:p>
            <w:pPr>
              <w:spacing w:after="0"/>
              <w:rPr>
                <w:sz w:val="14"/>
                <w:szCs w:val="14"/>
                <w:color w:val="auto"/>
              </w:rPr>
            </w:pP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2"/>
                <w:szCs w:val="12"/>
                <w:color w:val="auto"/>
              </w:rPr>
              <w:t>111,875</w:t>
            </w:r>
          </w:p>
        </w:tc>
        <w:tc>
          <w:tcPr>
            <w:tcW w:w="0" w:type="dxa"/>
            <w:vAlign w:val="bottom"/>
          </w:tcPr>
          <w:p>
            <w:pPr>
              <w:spacing w:after="0"/>
              <w:rPr>
                <w:sz w:val="1"/>
                <w:szCs w:val="1"/>
                <w:color w:val="auto"/>
              </w:rPr>
            </w:pPr>
          </w:p>
        </w:tc>
      </w:tr>
      <w:tr>
        <w:trPr>
          <w:trHeight w:val="163"/>
        </w:trPr>
        <w:tc>
          <w:tcPr>
            <w:tcW w:w="7920" w:type="dxa"/>
            <w:vAlign w:val="bottom"/>
          </w:tcPr>
          <w:p>
            <w:pPr>
              <w:ind w:left="360"/>
              <w:spacing w:after="0"/>
              <w:rPr>
                <w:sz w:val="20"/>
                <w:szCs w:val="20"/>
                <w:color w:val="auto"/>
              </w:rPr>
            </w:pPr>
            <w:r>
              <w:rPr>
                <w:rFonts w:ascii="Arial" w:cs="Arial" w:eastAsia="Arial" w:hAnsi="Arial"/>
                <w:sz w:val="12"/>
                <w:szCs w:val="12"/>
                <w:color w:val="auto"/>
              </w:rPr>
              <w:t>Total cash and cash equivalents</w:t>
            </w:r>
          </w:p>
        </w:tc>
        <w:tc>
          <w:tcPr>
            <w:tcW w:w="280" w:type="dxa"/>
            <w:vAlign w:val="bottom"/>
          </w:tcPr>
          <w:p>
            <w:pPr>
              <w:spacing w:after="0"/>
              <w:rPr>
                <w:sz w:val="14"/>
                <w:szCs w:val="14"/>
                <w:color w:val="auto"/>
              </w:rPr>
            </w:pPr>
          </w:p>
        </w:tc>
        <w:tc>
          <w:tcPr>
            <w:tcW w:w="1440" w:type="dxa"/>
            <w:vAlign w:val="bottom"/>
          </w:tcPr>
          <w:p>
            <w:pPr>
              <w:jc w:val="right"/>
              <w:spacing w:after="0"/>
              <w:rPr>
                <w:sz w:val="20"/>
                <w:szCs w:val="20"/>
                <w:color w:val="auto"/>
              </w:rPr>
            </w:pPr>
            <w:r>
              <w:rPr>
                <w:rFonts w:ascii="Arial" w:cs="Arial" w:eastAsia="Arial" w:hAnsi="Arial"/>
                <w:sz w:val="12"/>
                <w:szCs w:val="12"/>
                <w:color w:val="auto"/>
              </w:rPr>
              <w:t>74,881</w:t>
            </w:r>
          </w:p>
        </w:tc>
        <w:tc>
          <w:tcPr>
            <w:tcW w:w="100" w:type="dxa"/>
            <w:vAlign w:val="bottom"/>
          </w:tcPr>
          <w:p>
            <w:pPr>
              <w:spacing w:after="0"/>
              <w:rPr>
                <w:sz w:val="14"/>
                <w:szCs w:val="14"/>
                <w:color w:val="auto"/>
              </w:rPr>
            </w:pPr>
          </w:p>
        </w:tc>
        <w:tc>
          <w:tcPr>
            <w:tcW w:w="1700" w:type="dxa"/>
            <w:vAlign w:val="bottom"/>
          </w:tcPr>
          <w:p>
            <w:pPr>
              <w:jc w:val="right"/>
              <w:spacing w:after="0"/>
              <w:rPr>
                <w:sz w:val="20"/>
                <w:szCs w:val="20"/>
                <w:color w:val="auto"/>
              </w:rPr>
            </w:pPr>
            <w:r>
              <w:rPr>
                <w:rFonts w:ascii="Arial" w:cs="Arial" w:eastAsia="Arial" w:hAnsi="Arial"/>
                <w:sz w:val="12"/>
                <w:szCs w:val="12"/>
                <w:color w:val="auto"/>
              </w:rPr>
              <w:t>121,347</w:t>
            </w:r>
          </w:p>
        </w:tc>
        <w:tc>
          <w:tcPr>
            <w:tcW w:w="0" w:type="dxa"/>
            <w:vAlign w:val="bottom"/>
          </w:tcPr>
          <w:p>
            <w:pPr>
              <w:spacing w:after="0"/>
              <w:rPr>
                <w:sz w:val="1"/>
                <w:szCs w:val="1"/>
                <w:color w:val="auto"/>
              </w:rPr>
            </w:pPr>
          </w:p>
        </w:tc>
      </w:tr>
      <w:tr>
        <w:trPr>
          <w:trHeight w:val="176"/>
        </w:trPr>
        <w:tc>
          <w:tcPr>
            <w:tcW w:w="7920" w:type="dxa"/>
            <w:vAlign w:val="bottom"/>
            <w:shd w:val="clear" w:color="auto" w:fill="CCEEFF"/>
          </w:tcPr>
          <w:p>
            <w:pPr>
              <w:ind w:left="100"/>
              <w:spacing w:after="0"/>
              <w:rPr>
                <w:sz w:val="20"/>
                <w:szCs w:val="20"/>
                <w:color w:val="auto"/>
              </w:rPr>
            </w:pPr>
            <w:r>
              <w:rPr>
                <w:rFonts w:ascii="Arial" w:cs="Arial" w:eastAsia="Arial" w:hAnsi="Arial"/>
                <w:sz w:val="12"/>
                <w:szCs w:val="12"/>
                <w:color w:val="auto"/>
              </w:rPr>
              <w:t>Investments and notes receivable</w:t>
            </w:r>
          </w:p>
        </w:tc>
        <w:tc>
          <w:tcPr>
            <w:tcW w:w="280" w:type="dxa"/>
            <w:vAlign w:val="bottom"/>
            <w:shd w:val="clear" w:color="auto" w:fill="CCEEFF"/>
          </w:tcPr>
          <w:p>
            <w:pPr>
              <w:spacing w:after="0"/>
              <w:rPr>
                <w:sz w:val="15"/>
                <w:szCs w:val="15"/>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2"/>
                <w:szCs w:val="12"/>
                <w:color w:val="auto"/>
              </w:rPr>
              <w:t>230,512</w:t>
            </w:r>
          </w:p>
        </w:tc>
        <w:tc>
          <w:tcPr>
            <w:tcW w:w="100" w:type="dxa"/>
            <w:vAlign w:val="bottom"/>
            <w:shd w:val="clear" w:color="auto" w:fill="CCEEFF"/>
          </w:tcPr>
          <w:p>
            <w:pPr>
              <w:spacing w:after="0"/>
              <w:rPr>
                <w:sz w:val="15"/>
                <w:szCs w:val="15"/>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2"/>
                <w:szCs w:val="12"/>
                <w:color w:val="auto"/>
              </w:rPr>
              <w:t>249,370</w:t>
            </w:r>
          </w:p>
        </w:tc>
        <w:tc>
          <w:tcPr>
            <w:tcW w:w="0" w:type="dxa"/>
            <w:vAlign w:val="bottom"/>
          </w:tcPr>
          <w:p>
            <w:pPr>
              <w:spacing w:after="0"/>
              <w:rPr>
                <w:sz w:val="1"/>
                <w:szCs w:val="1"/>
                <w:color w:val="auto"/>
              </w:rPr>
            </w:pPr>
          </w:p>
        </w:tc>
      </w:tr>
      <w:tr>
        <w:trPr>
          <w:trHeight w:val="169"/>
        </w:trPr>
        <w:tc>
          <w:tcPr>
            <w:tcW w:w="7920" w:type="dxa"/>
            <w:vAlign w:val="bottom"/>
          </w:tcPr>
          <w:p>
            <w:pPr>
              <w:ind w:left="100"/>
              <w:spacing w:after="0"/>
              <w:rPr>
                <w:sz w:val="20"/>
                <w:szCs w:val="20"/>
                <w:color w:val="auto"/>
              </w:rPr>
            </w:pPr>
            <w:r>
              <w:rPr>
                <w:rFonts w:ascii="Arial" w:cs="Arial" w:eastAsia="Arial" w:hAnsi="Arial"/>
                <w:sz w:val="12"/>
                <w:szCs w:val="12"/>
                <w:color w:val="auto"/>
              </w:rPr>
              <w:t>Restricted cash</w:t>
            </w:r>
          </w:p>
        </w:tc>
        <w:tc>
          <w:tcPr>
            <w:tcW w:w="280" w:type="dxa"/>
            <w:vAlign w:val="bottom"/>
          </w:tcPr>
          <w:p>
            <w:pPr>
              <w:spacing w:after="0"/>
              <w:rPr>
                <w:sz w:val="14"/>
                <w:szCs w:val="14"/>
                <w:color w:val="auto"/>
              </w:rPr>
            </w:pPr>
          </w:p>
        </w:tc>
        <w:tc>
          <w:tcPr>
            <w:tcW w:w="1440" w:type="dxa"/>
            <w:vAlign w:val="bottom"/>
          </w:tcPr>
          <w:p>
            <w:pPr>
              <w:jc w:val="right"/>
              <w:spacing w:after="0"/>
              <w:rPr>
                <w:sz w:val="20"/>
                <w:szCs w:val="20"/>
                <w:color w:val="auto"/>
              </w:rPr>
            </w:pPr>
            <w:r>
              <w:rPr>
                <w:rFonts w:ascii="Arial" w:cs="Arial" w:eastAsia="Arial" w:hAnsi="Arial"/>
                <w:sz w:val="12"/>
                <w:szCs w:val="12"/>
                <w:color w:val="auto"/>
              </w:rPr>
              <w:t>760,273</w:t>
            </w:r>
          </w:p>
        </w:tc>
        <w:tc>
          <w:tcPr>
            <w:tcW w:w="100" w:type="dxa"/>
            <w:vAlign w:val="bottom"/>
          </w:tcPr>
          <w:p>
            <w:pPr>
              <w:spacing w:after="0"/>
              <w:rPr>
                <w:sz w:val="14"/>
                <w:szCs w:val="14"/>
                <w:color w:val="auto"/>
              </w:rPr>
            </w:pPr>
          </w:p>
        </w:tc>
        <w:tc>
          <w:tcPr>
            <w:tcW w:w="1700" w:type="dxa"/>
            <w:vAlign w:val="bottom"/>
          </w:tcPr>
          <w:p>
            <w:pPr>
              <w:jc w:val="right"/>
              <w:spacing w:after="0"/>
              <w:rPr>
                <w:sz w:val="20"/>
                <w:szCs w:val="20"/>
                <w:color w:val="auto"/>
              </w:rPr>
            </w:pPr>
            <w:r>
              <w:rPr>
                <w:rFonts w:ascii="Arial" w:cs="Arial" w:eastAsia="Arial" w:hAnsi="Arial"/>
                <w:sz w:val="12"/>
                <w:szCs w:val="12"/>
                <w:color w:val="auto"/>
              </w:rPr>
              <w:t>701,366</w:t>
            </w:r>
          </w:p>
        </w:tc>
        <w:tc>
          <w:tcPr>
            <w:tcW w:w="0" w:type="dxa"/>
            <w:vAlign w:val="bottom"/>
          </w:tcPr>
          <w:p>
            <w:pPr>
              <w:spacing w:after="0"/>
              <w:rPr>
                <w:sz w:val="1"/>
                <w:szCs w:val="1"/>
                <w:color w:val="auto"/>
              </w:rPr>
            </w:pPr>
          </w:p>
        </w:tc>
      </w:tr>
      <w:tr>
        <w:trPr>
          <w:trHeight w:val="176"/>
        </w:trPr>
        <w:tc>
          <w:tcPr>
            <w:tcW w:w="7920" w:type="dxa"/>
            <w:vAlign w:val="bottom"/>
            <w:shd w:val="clear" w:color="auto" w:fill="CCEEFF"/>
          </w:tcPr>
          <w:p>
            <w:pPr>
              <w:ind w:left="100"/>
              <w:spacing w:after="0"/>
              <w:rPr>
                <w:sz w:val="20"/>
                <w:szCs w:val="20"/>
                <w:color w:val="auto"/>
              </w:rPr>
            </w:pPr>
            <w:r>
              <w:rPr>
                <w:rFonts w:ascii="Arial" w:cs="Arial" w:eastAsia="Arial" w:hAnsi="Arial"/>
                <w:sz w:val="12"/>
                <w:szCs w:val="12"/>
                <w:color w:val="auto"/>
              </w:rPr>
              <w:t>Restricted cash - due to customers</w:t>
            </w:r>
          </w:p>
        </w:tc>
        <w:tc>
          <w:tcPr>
            <w:tcW w:w="280" w:type="dxa"/>
            <w:vAlign w:val="bottom"/>
            <w:shd w:val="clear" w:color="auto" w:fill="CCEEFF"/>
          </w:tcPr>
          <w:p>
            <w:pPr>
              <w:spacing w:after="0"/>
              <w:rPr>
                <w:sz w:val="15"/>
                <w:szCs w:val="15"/>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2"/>
                <w:szCs w:val="12"/>
                <w:color w:val="auto"/>
              </w:rPr>
              <w:t>216,471</w:t>
            </w:r>
          </w:p>
        </w:tc>
        <w:tc>
          <w:tcPr>
            <w:tcW w:w="100" w:type="dxa"/>
            <w:vAlign w:val="bottom"/>
            <w:shd w:val="clear" w:color="auto" w:fill="CCEEFF"/>
          </w:tcPr>
          <w:p>
            <w:pPr>
              <w:spacing w:after="0"/>
              <w:rPr>
                <w:sz w:val="15"/>
                <w:szCs w:val="15"/>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2"/>
                <w:szCs w:val="12"/>
                <w:color w:val="auto"/>
              </w:rPr>
              <w:t>369,678</w:t>
            </w:r>
          </w:p>
        </w:tc>
        <w:tc>
          <w:tcPr>
            <w:tcW w:w="0" w:type="dxa"/>
            <w:vAlign w:val="bottom"/>
          </w:tcPr>
          <w:p>
            <w:pPr>
              <w:spacing w:after="0"/>
              <w:rPr>
                <w:sz w:val="1"/>
                <w:szCs w:val="1"/>
                <w:color w:val="auto"/>
              </w:rPr>
            </w:pPr>
          </w:p>
        </w:tc>
      </w:tr>
      <w:tr>
        <w:trPr>
          <w:trHeight w:val="169"/>
        </w:trPr>
        <w:tc>
          <w:tcPr>
            <w:tcW w:w="7920" w:type="dxa"/>
            <w:vAlign w:val="bottom"/>
          </w:tcPr>
          <w:p>
            <w:pPr>
              <w:ind w:left="100"/>
              <w:spacing w:after="0"/>
              <w:rPr>
                <w:sz w:val="20"/>
                <w:szCs w:val="20"/>
                <w:color w:val="auto"/>
              </w:rPr>
            </w:pPr>
            <w:r>
              <w:rPr>
                <w:rFonts w:ascii="Arial" w:cs="Arial" w:eastAsia="Arial" w:hAnsi="Arial"/>
                <w:sz w:val="12"/>
                <w:szCs w:val="12"/>
                <w:color w:val="auto"/>
              </w:rPr>
              <w:t>Accrued interest receivable</w:t>
            </w:r>
          </w:p>
        </w:tc>
        <w:tc>
          <w:tcPr>
            <w:tcW w:w="280" w:type="dxa"/>
            <w:vAlign w:val="bottom"/>
          </w:tcPr>
          <w:p>
            <w:pPr>
              <w:spacing w:after="0"/>
              <w:rPr>
                <w:sz w:val="14"/>
                <w:szCs w:val="14"/>
                <w:color w:val="auto"/>
              </w:rPr>
            </w:pPr>
          </w:p>
        </w:tc>
        <w:tc>
          <w:tcPr>
            <w:tcW w:w="1440" w:type="dxa"/>
            <w:vAlign w:val="bottom"/>
          </w:tcPr>
          <w:p>
            <w:pPr>
              <w:jc w:val="right"/>
              <w:spacing w:after="0"/>
              <w:rPr>
                <w:sz w:val="20"/>
                <w:szCs w:val="20"/>
                <w:color w:val="auto"/>
              </w:rPr>
            </w:pPr>
            <w:r>
              <w:rPr>
                <w:rFonts w:ascii="Arial" w:cs="Arial" w:eastAsia="Arial" w:hAnsi="Arial"/>
                <w:sz w:val="12"/>
                <w:szCs w:val="12"/>
                <w:color w:val="auto"/>
              </w:rPr>
              <w:t>715,838</w:t>
            </w:r>
          </w:p>
        </w:tc>
        <w:tc>
          <w:tcPr>
            <w:tcW w:w="100" w:type="dxa"/>
            <w:vAlign w:val="bottom"/>
          </w:tcPr>
          <w:p>
            <w:pPr>
              <w:spacing w:after="0"/>
              <w:rPr>
                <w:sz w:val="14"/>
                <w:szCs w:val="14"/>
                <w:color w:val="auto"/>
              </w:rPr>
            </w:pPr>
          </w:p>
        </w:tc>
        <w:tc>
          <w:tcPr>
            <w:tcW w:w="1700" w:type="dxa"/>
            <w:vAlign w:val="bottom"/>
          </w:tcPr>
          <w:p>
            <w:pPr>
              <w:jc w:val="right"/>
              <w:spacing w:after="0"/>
              <w:rPr>
                <w:sz w:val="20"/>
                <w:szCs w:val="20"/>
                <w:color w:val="auto"/>
              </w:rPr>
            </w:pPr>
            <w:r>
              <w:rPr>
                <w:rFonts w:ascii="Arial" w:cs="Arial" w:eastAsia="Arial" w:hAnsi="Arial"/>
                <w:sz w:val="12"/>
                <w:szCs w:val="12"/>
                <w:color w:val="auto"/>
              </w:rPr>
              <w:t>679,197</w:t>
            </w:r>
          </w:p>
        </w:tc>
        <w:tc>
          <w:tcPr>
            <w:tcW w:w="0" w:type="dxa"/>
            <w:vAlign w:val="bottom"/>
          </w:tcPr>
          <w:p>
            <w:pPr>
              <w:spacing w:after="0"/>
              <w:rPr>
                <w:sz w:val="1"/>
                <w:szCs w:val="1"/>
                <w:color w:val="auto"/>
              </w:rPr>
            </w:pPr>
          </w:p>
        </w:tc>
      </w:tr>
      <w:tr>
        <w:trPr>
          <w:trHeight w:val="176"/>
        </w:trPr>
        <w:tc>
          <w:tcPr>
            <w:tcW w:w="7920" w:type="dxa"/>
            <w:vAlign w:val="bottom"/>
            <w:shd w:val="clear" w:color="auto" w:fill="CCEEFF"/>
          </w:tcPr>
          <w:p>
            <w:pPr>
              <w:ind w:left="100"/>
              <w:spacing w:after="0"/>
              <w:rPr>
                <w:sz w:val="20"/>
                <w:szCs w:val="20"/>
                <w:color w:val="auto"/>
              </w:rPr>
            </w:pPr>
            <w:r>
              <w:rPr>
                <w:rFonts w:ascii="Arial" w:cs="Arial" w:eastAsia="Arial" w:hAnsi="Arial"/>
                <w:sz w:val="12"/>
                <w:szCs w:val="12"/>
                <w:color w:val="auto"/>
              </w:rPr>
              <w:t>Accounts receivable (net of allowance for doubtful accounts of $3,777 and $3,271, respectively)</w:t>
            </w:r>
          </w:p>
        </w:tc>
        <w:tc>
          <w:tcPr>
            <w:tcW w:w="280" w:type="dxa"/>
            <w:vAlign w:val="bottom"/>
            <w:shd w:val="clear" w:color="auto" w:fill="CCEEFF"/>
          </w:tcPr>
          <w:p>
            <w:pPr>
              <w:spacing w:after="0"/>
              <w:rPr>
                <w:sz w:val="15"/>
                <w:szCs w:val="15"/>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2"/>
                <w:szCs w:val="12"/>
                <w:color w:val="auto"/>
              </w:rPr>
              <w:t>76,013</w:t>
            </w:r>
          </w:p>
        </w:tc>
        <w:tc>
          <w:tcPr>
            <w:tcW w:w="100" w:type="dxa"/>
            <w:vAlign w:val="bottom"/>
            <w:shd w:val="clear" w:color="auto" w:fill="CCEEFF"/>
          </w:tcPr>
          <w:p>
            <w:pPr>
              <w:spacing w:after="0"/>
              <w:rPr>
                <w:sz w:val="15"/>
                <w:szCs w:val="15"/>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2"/>
                <w:szCs w:val="12"/>
                <w:color w:val="auto"/>
              </w:rPr>
              <w:t>59,531</w:t>
            </w:r>
          </w:p>
        </w:tc>
        <w:tc>
          <w:tcPr>
            <w:tcW w:w="0" w:type="dxa"/>
            <w:vAlign w:val="bottom"/>
          </w:tcPr>
          <w:p>
            <w:pPr>
              <w:spacing w:after="0"/>
              <w:rPr>
                <w:sz w:val="1"/>
                <w:szCs w:val="1"/>
                <w:color w:val="auto"/>
              </w:rPr>
            </w:pPr>
          </w:p>
        </w:tc>
      </w:tr>
      <w:tr>
        <w:trPr>
          <w:trHeight w:val="169"/>
        </w:trPr>
        <w:tc>
          <w:tcPr>
            <w:tcW w:w="7920" w:type="dxa"/>
            <w:vAlign w:val="bottom"/>
          </w:tcPr>
          <w:p>
            <w:pPr>
              <w:ind w:left="100"/>
              <w:spacing w:after="0"/>
              <w:rPr>
                <w:sz w:val="20"/>
                <w:szCs w:val="20"/>
                <w:color w:val="auto"/>
              </w:rPr>
            </w:pPr>
            <w:r>
              <w:rPr>
                <w:rFonts w:ascii="Arial" w:cs="Arial" w:eastAsia="Arial" w:hAnsi="Arial"/>
                <w:sz w:val="12"/>
                <w:szCs w:val="12"/>
                <w:color w:val="auto"/>
              </w:rPr>
              <w:t>Goodwill</w:t>
            </w:r>
          </w:p>
        </w:tc>
        <w:tc>
          <w:tcPr>
            <w:tcW w:w="280" w:type="dxa"/>
            <w:vAlign w:val="bottom"/>
          </w:tcPr>
          <w:p>
            <w:pPr>
              <w:spacing w:after="0"/>
              <w:rPr>
                <w:sz w:val="14"/>
                <w:szCs w:val="14"/>
                <w:color w:val="auto"/>
              </w:rPr>
            </w:pPr>
          </w:p>
        </w:tc>
        <w:tc>
          <w:tcPr>
            <w:tcW w:w="1440" w:type="dxa"/>
            <w:vAlign w:val="bottom"/>
          </w:tcPr>
          <w:p>
            <w:pPr>
              <w:jc w:val="right"/>
              <w:spacing w:after="0"/>
              <w:rPr>
                <w:sz w:val="20"/>
                <w:szCs w:val="20"/>
                <w:color w:val="auto"/>
              </w:rPr>
            </w:pPr>
            <w:r>
              <w:rPr>
                <w:rFonts w:ascii="Arial" w:cs="Arial" w:eastAsia="Arial" w:hAnsi="Arial"/>
                <w:sz w:val="12"/>
                <w:szCs w:val="12"/>
                <w:color w:val="auto"/>
              </w:rPr>
              <w:t>156,912</w:t>
            </w:r>
          </w:p>
        </w:tc>
        <w:tc>
          <w:tcPr>
            <w:tcW w:w="100" w:type="dxa"/>
            <w:vAlign w:val="bottom"/>
          </w:tcPr>
          <w:p>
            <w:pPr>
              <w:spacing w:after="0"/>
              <w:rPr>
                <w:sz w:val="14"/>
                <w:szCs w:val="14"/>
                <w:color w:val="auto"/>
              </w:rPr>
            </w:pPr>
          </w:p>
        </w:tc>
        <w:tc>
          <w:tcPr>
            <w:tcW w:w="1700" w:type="dxa"/>
            <w:vAlign w:val="bottom"/>
          </w:tcPr>
          <w:p>
            <w:pPr>
              <w:jc w:val="right"/>
              <w:spacing w:after="0"/>
              <w:rPr>
                <w:sz w:val="20"/>
                <w:szCs w:val="20"/>
                <w:color w:val="auto"/>
              </w:rPr>
            </w:pPr>
            <w:r>
              <w:rPr>
                <w:rFonts w:ascii="Arial" w:cs="Arial" w:eastAsia="Arial" w:hAnsi="Arial"/>
                <w:sz w:val="12"/>
                <w:szCs w:val="12"/>
                <w:color w:val="auto"/>
              </w:rPr>
              <w:t>156,912</w:t>
            </w:r>
          </w:p>
        </w:tc>
        <w:tc>
          <w:tcPr>
            <w:tcW w:w="0" w:type="dxa"/>
            <w:vAlign w:val="bottom"/>
          </w:tcPr>
          <w:p>
            <w:pPr>
              <w:spacing w:after="0"/>
              <w:rPr>
                <w:sz w:val="1"/>
                <w:szCs w:val="1"/>
                <w:color w:val="auto"/>
              </w:rPr>
            </w:pPr>
          </w:p>
        </w:tc>
      </w:tr>
      <w:tr>
        <w:trPr>
          <w:trHeight w:val="176"/>
        </w:trPr>
        <w:tc>
          <w:tcPr>
            <w:tcW w:w="7920" w:type="dxa"/>
            <w:vAlign w:val="bottom"/>
            <w:shd w:val="clear" w:color="auto" w:fill="CCEEFF"/>
          </w:tcPr>
          <w:p>
            <w:pPr>
              <w:ind w:left="100"/>
              <w:spacing w:after="0"/>
              <w:rPr>
                <w:sz w:val="20"/>
                <w:szCs w:val="20"/>
                <w:color w:val="auto"/>
              </w:rPr>
            </w:pPr>
            <w:r>
              <w:rPr>
                <w:rFonts w:ascii="Arial" w:cs="Arial" w:eastAsia="Arial" w:hAnsi="Arial"/>
                <w:sz w:val="12"/>
                <w:szCs w:val="12"/>
                <w:color w:val="auto"/>
              </w:rPr>
              <w:t>Intangible assets, net</w:t>
            </w:r>
          </w:p>
        </w:tc>
        <w:tc>
          <w:tcPr>
            <w:tcW w:w="280" w:type="dxa"/>
            <w:vAlign w:val="bottom"/>
            <w:shd w:val="clear" w:color="auto" w:fill="CCEEFF"/>
          </w:tcPr>
          <w:p>
            <w:pPr>
              <w:spacing w:after="0"/>
              <w:rPr>
                <w:sz w:val="15"/>
                <w:szCs w:val="15"/>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2"/>
                <w:szCs w:val="12"/>
                <w:color w:val="auto"/>
              </w:rPr>
              <w:t>105,795</w:t>
            </w:r>
          </w:p>
        </w:tc>
        <w:tc>
          <w:tcPr>
            <w:tcW w:w="100" w:type="dxa"/>
            <w:vAlign w:val="bottom"/>
            <w:shd w:val="clear" w:color="auto" w:fill="CCEEFF"/>
          </w:tcPr>
          <w:p>
            <w:pPr>
              <w:spacing w:after="0"/>
              <w:rPr>
                <w:sz w:val="15"/>
                <w:szCs w:val="15"/>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2"/>
                <w:szCs w:val="12"/>
                <w:color w:val="auto"/>
              </w:rPr>
              <w:t>114,290</w:t>
            </w:r>
          </w:p>
        </w:tc>
        <w:tc>
          <w:tcPr>
            <w:tcW w:w="0" w:type="dxa"/>
            <w:vAlign w:val="bottom"/>
          </w:tcPr>
          <w:p>
            <w:pPr>
              <w:spacing w:after="0"/>
              <w:rPr>
                <w:sz w:val="1"/>
                <w:szCs w:val="1"/>
                <w:color w:val="auto"/>
              </w:rPr>
            </w:pPr>
          </w:p>
        </w:tc>
      </w:tr>
      <w:tr>
        <w:trPr>
          <w:trHeight w:val="169"/>
        </w:trPr>
        <w:tc>
          <w:tcPr>
            <w:tcW w:w="7920" w:type="dxa"/>
            <w:vAlign w:val="bottom"/>
          </w:tcPr>
          <w:p>
            <w:pPr>
              <w:ind w:left="100"/>
              <w:spacing w:after="0"/>
              <w:rPr>
                <w:sz w:val="20"/>
                <w:szCs w:val="20"/>
                <w:color w:val="auto"/>
              </w:rPr>
            </w:pPr>
            <w:r>
              <w:rPr>
                <w:rFonts w:ascii="Arial" w:cs="Arial" w:eastAsia="Arial" w:hAnsi="Arial"/>
                <w:sz w:val="12"/>
                <w:szCs w:val="12"/>
                <w:color w:val="auto"/>
              </w:rPr>
              <w:t>Property and equipment, net</w:t>
            </w:r>
          </w:p>
        </w:tc>
        <w:tc>
          <w:tcPr>
            <w:tcW w:w="280" w:type="dxa"/>
            <w:vAlign w:val="bottom"/>
          </w:tcPr>
          <w:p>
            <w:pPr>
              <w:spacing w:after="0"/>
              <w:rPr>
                <w:sz w:val="14"/>
                <w:szCs w:val="14"/>
                <w:color w:val="auto"/>
              </w:rPr>
            </w:pPr>
          </w:p>
        </w:tc>
        <w:tc>
          <w:tcPr>
            <w:tcW w:w="1440" w:type="dxa"/>
            <w:vAlign w:val="bottom"/>
          </w:tcPr>
          <w:p>
            <w:pPr>
              <w:jc w:val="right"/>
              <w:spacing w:after="0"/>
              <w:rPr>
                <w:sz w:val="20"/>
                <w:szCs w:val="20"/>
                <w:color w:val="auto"/>
              </w:rPr>
            </w:pPr>
            <w:r>
              <w:rPr>
                <w:rFonts w:ascii="Arial" w:cs="Arial" w:eastAsia="Arial" w:hAnsi="Arial"/>
                <w:sz w:val="12"/>
                <w:szCs w:val="12"/>
                <w:color w:val="auto"/>
              </w:rPr>
              <w:t>335,070</w:t>
            </w:r>
          </w:p>
        </w:tc>
        <w:tc>
          <w:tcPr>
            <w:tcW w:w="100" w:type="dxa"/>
            <w:vAlign w:val="bottom"/>
          </w:tcPr>
          <w:p>
            <w:pPr>
              <w:spacing w:after="0"/>
              <w:rPr>
                <w:sz w:val="14"/>
                <w:szCs w:val="14"/>
                <w:color w:val="auto"/>
              </w:rPr>
            </w:pPr>
          </w:p>
        </w:tc>
        <w:tc>
          <w:tcPr>
            <w:tcW w:w="1700" w:type="dxa"/>
            <w:vAlign w:val="bottom"/>
          </w:tcPr>
          <w:p>
            <w:pPr>
              <w:jc w:val="right"/>
              <w:spacing w:after="0"/>
              <w:rPr>
                <w:sz w:val="20"/>
                <w:szCs w:val="20"/>
                <w:color w:val="auto"/>
              </w:rPr>
            </w:pPr>
            <w:r>
              <w:rPr>
                <w:rFonts w:ascii="Arial" w:cs="Arial" w:eastAsia="Arial" w:hAnsi="Arial"/>
                <w:sz w:val="12"/>
                <w:szCs w:val="12"/>
                <w:color w:val="auto"/>
              </w:rPr>
              <w:t>344,784</w:t>
            </w:r>
          </w:p>
        </w:tc>
        <w:tc>
          <w:tcPr>
            <w:tcW w:w="0" w:type="dxa"/>
            <w:vAlign w:val="bottom"/>
          </w:tcPr>
          <w:p>
            <w:pPr>
              <w:spacing w:after="0"/>
              <w:rPr>
                <w:sz w:val="1"/>
                <w:szCs w:val="1"/>
                <w:color w:val="auto"/>
              </w:rPr>
            </w:pPr>
          </w:p>
        </w:tc>
      </w:tr>
      <w:tr>
        <w:trPr>
          <w:trHeight w:val="176"/>
        </w:trPr>
        <w:tc>
          <w:tcPr>
            <w:tcW w:w="7920" w:type="dxa"/>
            <w:vAlign w:val="bottom"/>
            <w:shd w:val="clear" w:color="auto" w:fill="CCEEFF"/>
          </w:tcPr>
          <w:p>
            <w:pPr>
              <w:ind w:left="100"/>
              <w:spacing w:after="0"/>
              <w:rPr>
                <w:sz w:val="20"/>
                <w:szCs w:val="20"/>
                <w:color w:val="auto"/>
              </w:rPr>
            </w:pPr>
            <w:r>
              <w:rPr>
                <w:rFonts w:ascii="Arial" w:cs="Arial" w:eastAsia="Arial" w:hAnsi="Arial"/>
                <w:sz w:val="12"/>
                <w:szCs w:val="12"/>
                <w:color w:val="auto"/>
              </w:rPr>
              <w:t>Other assets</w:t>
            </w:r>
          </w:p>
        </w:tc>
        <w:tc>
          <w:tcPr>
            <w:tcW w:w="280" w:type="dxa"/>
            <w:vAlign w:val="bottom"/>
            <w:shd w:val="clear" w:color="auto" w:fill="CCEEFF"/>
          </w:tcPr>
          <w:p>
            <w:pPr>
              <w:spacing w:after="0"/>
              <w:rPr>
                <w:sz w:val="15"/>
                <w:szCs w:val="15"/>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2"/>
                <w:szCs w:val="12"/>
                <w:color w:val="auto"/>
              </w:rPr>
              <w:t>103,841</w:t>
            </w:r>
          </w:p>
        </w:tc>
        <w:tc>
          <w:tcPr>
            <w:tcW w:w="100" w:type="dxa"/>
            <w:vAlign w:val="bottom"/>
            <w:shd w:val="clear" w:color="auto" w:fill="CCEEFF"/>
          </w:tcPr>
          <w:p>
            <w:pPr>
              <w:spacing w:after="0"/>
              <w:rPr>
                <w:sz w:val="15"/>
                <w:szCs w:val="15"/>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2"/>
                <w:szCs w:val="12"/>
                <w:color w:val="auto"/>
              </w:rPr>
              <w:t>45,533</w:t>
            </w:r>
          </w:p>
        </w:tc>
        <w:tc>
          <w:tcPr>
            <w:tcW w:w="0" w:type="dxa"/>
            <w:vAlign w:val="bottom"/>
          </w:tcPr>
          <w:p>
            <w:pPr>
              <w:spacing w:after="0"/>
              <w:rPr>
                <w:sz w:val="1"/>
                <w:szCs w:val="1"/>
                <w:color w:val="auto"/>
              </w:rPr>
            </w:pPr>
          </w:p>
        </w:tc>
      </w:tr>
      <w:tr>
        <w:trPr>
          <w:trHeight w:val="169"/>
        </w:trPr>
        <w:tc>
          <w:tcPr>
            <w:tcW w:w="7920" w:type="dxa"/>
            <w:vAlign w:val="bottom"/>
            <w:tcBorders>
              <w:bottom w:val="single" w:sz="8" w:color="CCEEFF"/>
            </w:tcBorders>
          </w:tcPr>
          <w:p>
            <w:pPr>
              <w:ind w:left="100"/>
              <w:spacing w:after="0"/>
              <w:rPr>
                <w:sz w:val="20"/>
                <w:szCs w:val="20"/>
                <w:color w:val="auto"/>
              </w:rPr>
            </w:pPr>
            <w:r>
              <w:rPr>
                <w:rFonts w:ascii="Arial" w:cs="Arial" w:eastAsia="Arial" w:hAnsi="Arial"/>
                <w:sz w:val="12"/>
                <w:szCs w:val="12"/>
                <w:color w:val="auto"/>
              </w:rPr>
              <w:t>Fair value of derivative instruments</w:t>
            </w:r>
          </w:p>
        </w:tc>
        <w:tc>
          <w:tcPr>
            <w:tcW w:w="280" w:type="dxa"/>
            <w:vAlign w:val="bottom"/>
            <w:tcBorders>
              <w:bottom w:val="single" w:sz="8" w:color="auto"/>
            </w:tcBorders>
          </w:tcPr>
          <w:p>
            <w:pPr>
              <w:spacing w:after="0"/>
              <w:rPr>
                <w:sz w:val="14"/>
                <w:szCs w:val="14"/>
                <w:color w:val="auto"/>
              </w:rPr>
            </w:pP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168</w:t>
            </w:r>
          </w:p>
        </w:tc>
        <w:tc>
          <w:tcPr>
            <w:tcW w:w="100" w:type="dxa"/>
            <w:vAlign w:val="bottom"/>
            <w:tcBorders>
              <w:bottom w:val="single" w:sz="8" w:color="CCEEFF"/>
            </w:tcBorders>
          </w:tcPr>
          <w:p>
            <w:pPr>
              <w:spacing w:after="0"/>
              <w:rPr>
                <w:sz w:val="14"/>
                <w:szCs w:val="14"/>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1,818</w:t>
            </w:r>
          </w:p>
        </w:tc>
        <w:tc>
          <w:tcPr>
            <w:tcW w:w="0" w:type="dxa"/>
            <w:vAlign w:val="bottom"/>
          </w:tcPr>
          <w:p>
            <w:pPr>
              <w:spacing w:after="0"/>
              <w:rPr>
                <w:sz w:val="1"/>
                <w:szCs w:val="1"/>
                <w:color w:val="auto"/>
              </w:rPr>
            </w:pPr>
          </w:p>
        </w:tc>
      </w:tr>
      <w:tr>
        <w:trPr>
          <w:trHeight w:val="192"/>
        </w:trPr>
        <w:tc>
          <w:tcPr>
            <w:tcW w:w="79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2"/>
                <w:szCs w:val="12"/>
                <w:color w:val="auto"/>
              </w:rPr>
              <w:t>Total assets</w:t>
            </w:r>
          </w:p>
        </w:tc>
        <w:tc>
          <w:tcPr>
            <w:tcW w:w="280" w:type="dxa"/>
            <w:vAlign w:val="bottom"/>
            <w:tcBorders>
              <w:bottom w:val="single" w:sz="8" w:color="auto"/>
            </w:tcBorders>
            <w:shd w:val="clear" w:color="auto" w:fill="CCEEFF"/>
          </w:tcPr>
          <w:p>
            <w:pPr>
              <w:jc w:val="right"/>
              <w:ind w:right="139"/>
              <w:spacing w:after="0"/>
              <w:rPr>
                <w:sz w:val="20"/>
                <w:szCs w:val="20"/>
                <w:color w:val="auto"/>
              </w:rPr>
            </w:pPr>
            <w:r>
              <w:rPr>
                <w:rFonts w:ascii="Arial" w:cs="Arial" w:eastAsia="Arial" w:hAnsi="Arial"/>
                <w:sz w:val="12"/>
                <w:szCs w:val="12"/>
                <w:color w:val="auto"/>
                <w:w w:val="89"/>
              </w:rPr>
              <w:t>$</w:t>
            </w:r>
          </w:p>
        </w:tc>
        <w:tc>
          <w:tcPr>
            <w:tcW w:w="1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2"/>
                <w:szCs w:val="12"/>
                <w:color w:val="auto"/>
              </w:rPr>
              <w:t>24,721,927</w:t>
            </w:r>
          </w:p>
        </w:tc>
        <w:tc>
          <w:tcPr>
            <w:tcW w:w="100" w:type="dxa"/>
            <w:vAlign w:val="bottom"/>
            <w:tcBorders>
              <w:bottom w:val="single" w:sz="8" w:color="CCEEFF"/>
            </w:tcBorders>
            <w:shd w:val="clear" w:color="auto" w:fill="CCEEFF"/>
          </w:tcPr>
          <w:p>
            <w:pPr>
              <w:spacing w:after="0"/>
              <w:rPr>
                <w:sz w:val="16"/>
                <w:szCs w:val="16"/>
                <w:color w:val="auto"/>
              </w:rPr>
            </w:pP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2"/>
                <w:szCs w:val="12"/>
                <w:color w:val="auto"/>
              </w:rPr>
              <w:t>25,220,968</w:t>
            </w:r>
          </w:p>
        </w:tc>
        <w:tc>
          <w:tcPr>
            <w:tcW w:w="0" w:type="dxa"/>
            <w:vAlign w:val="bottom"/>
          </w:tcPr>
          <w:p>
            <w:pPr>
              <w:spacing w:after="0"/>
              <w:rPr>
                <w:sz w:val="1"/>
                <w:szCs w:val="1"/>
                <w:color w:val="auto"/>
              </w:rPr>
            </w:pPr>
          </w:p>
        </w:tc>
      </w:tr>
      <w:tr>
        <w:trPr>
          <w:trHeight w:val="20"/>
        </w:trPr>
        <w:tc>
          <w:tcPr>
            <w:tcW w:w="792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2"/>
                <w:szCs w:val="12"/>
                <w:color w:val="auto"/>
              </w:rPr>
              <w:t>Liabilities:</w:t>
            </w: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4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7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2"/>
        </w:trPr>
        <w:tc>
          <w:tcPr>
            <w:tcW w:w="7920" w:type="dxa"/>
            <w:vAlign w:val="bottom"/>
            <w:vMerge w:val="continue"/>
          </w:tcPr>
          <w:p>
            <w:pPr>
              <w:spacing w:after="0"/>
              <w:rPr>
                <w:sz w:val="11"/>
                <w:szCs w:val="11"/>
                <w:color w:val="auto"/>
              </w:rPr>
            </w:pPr>
          </w:p>
        </w:tc>
        <w:tc>
          <w:tcPr>
            <w:tcW w:w="280" w:type="dxa"/>
            <w:vAlign w:val="bottom"/>
          </w:tcPr>
          <w:p>
            <w:pPr>
              <w:spacing w:after="0"/>
              <w:rPr>
                <w:sz w:val="11"/>
                <w:szCs w:val="11"/>
                <w:color w:val="auto"/>
              </w:rPr>
            </w:pPr>
          </w:p>
        </w:tc>
        <w:tc>
          <w:tcPr>
            <w:tcW w:w="14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7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6"/>
        </w:trPr>
        <w:tc>
          <w:tcPr>
            <w:tcW w:w="7920" w:type="dxa"/>
            <w:vAlign w:val="bottom"/>
            <w:shd w:val="clear" w:color="auto" w:fill="CCEEFF"/>
          </w:tcPr>
          <w:p>
            <w:pPr>
              <w:ind w:left="100"/>
              <w:spacing w:after="0"/>
              <w:rPr>
                <w:sz w:val="20"/>
                <w:szCs w:val="20"/>
                <w:color w:val="auto"/>
              </w:rPr>
            </w:pPr>
            <w:r>
              <w:rPr>
                <w:rFonts w:ascii="Arial" w:cs="Arial" w:eastAsia="Arial" w:hAnsi="Arial"/>
                <w:sz w:val="12"/>
                <w:szCs w:val="12"/>
                <w:color w:val="auto"/>
              </w:rPr>
              <w:t>Bonds and notes payable</w:t>
            </w:r>
          </w:p>
        </w:tc>
        <w:tc>
          <w:tcPr>
            <w:tcW w:w="280" w:type="dxa"/>
            <w:vAlign w:val="bottom"/>
            <w:shd w:val="clear" w:color="auto" w:fill="CCEEFF"/>
          </w:tcPr>
          <w:p>
            <w:pPr>
              <w:jc w:val="right"/>
              <w:ind w:right="139"/>
              <w:spacing w:after="0"/>
              <w:rPr>
                <w:sz w:val="20"/>
                <w:szCs w:val="20"/>
                <w:color w:val="auto"/>
              </w:rPr>
            </w:pPr>
            <w:r>
              <w:rPr>
                <w:rFonts w:ascii="Arial" w:cs="Arial" w:eastAsia="Arial" w:hAnsi="Arial"/>
                <w:sz w:val="12"/>
                <w:szCs w:val="12"/>
                <w:color w:val="auto"/>
                <w:w w:val="89"/>
              </w:rPr>
              <w:t>$</w:t>
            </w:r>
          </w:p>
        </w:tc>
        <w:tc>
          <w:tcPr>
            <w:tcW w:w="1440" w:type="dxa"/>
            <w:vAlign w:val="bottom"/>
            <w:shd w:val="clear" w:color="auto" w:fill="CCEEFF"/>
          </w:tcPr>
          <w:p>
            <w:pPr>
              <w:jc w:val="right"/>
              <w:spacing w:after="0"/>
              <w:rPr>
                <w:sz w:val="20"/>
                <w:szCs w:val="20"/>
                <w:color w:val="auto"/>
              </w:rPr>
            </w:pPr>
            <w:r>
              <w:rPr>
                <w:rFonts w:ascii="Arial" w:cs="Arial" w:eastAsia="Arial" w:hAnsi="Arial"/>
                <w:sz w:val="12"/>
                <w:szCs w:val="12"/>
                <w:color w:val="auto"/>
              </w:rPr>
              <w:t>21,835,723</w:t>
            </w:r>
          </w:p>
        </w:tc>
        <w:tc>
          <w:tcPr>
            <w:tcW w:w="100" w:type="dxa"/>
            <w:vAlign w:val="bottom"/>
            <w:shd w:val="clear" w:color="auto" w:fill="CCEEFF"/>
          </w:tcPr>
          <w:p>
            <w:pPr>
              <w:spacing w:after="0"/>
              <w:rPr>
                <w:sz w:val="15"/>
                <w:szCs w:val="15"/>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2"/>
                <w:szCs w:val="12"/>
                <w:color w:val="auto"/>
              </w:rPr>
              <w:t>22,218,740</w:t>
            </w:r>
          </w:p>
        </w:tc>
        <w:tc>
          <w:tcPr>
            <w:tcW w:w="0" w:type="dxa"/>
            <w:vAlign w:val="bottom"/>
          </w:tcPr>
          <w:p>
            <w:pPr>
              <w:spacing w:after="0"/>
              <w:rPr>
                <w:sz w:val="1"/>
                <w:szCs w:val="1"/>
                <w:color w:val="auto"/>
              </w:rPr>
            </w:pPr>
          </w:p>
        </w:tc>
      </w:tr>
      <w:tr>
        <w:trPr>
          <w:trHeight w:val="169"/>
        </w:trPr>
        <w:tc>
          <w:tcPr>
            <w:tcW w:w="7920" w:type="dxa"/>
            <w:vAlign w:val="bottom"/>
          </w:tcPr>
          <w:p>
            <w:pPr>
              <w:ind w:left="100"/>
              <w:spacing w:after="0"/>
              <w:rPr>
                <w:sz w:val="20"/>
                <w:szCs w:val="20"/>
                <w:color w:val="auto"/>
              </w:rPr>
            </w:pPr>
            <w:r>
              <w:rPr>
                <w:rFonts w:ascii="Arial" w:cs="Arial" w:eastAsia="Arial" w:hAnsi="Arial"/>
                <w:sz w:val="12"/>
                <w:szCs w:val="12"/>
                <w:color w:val="auto"/>
              </w:rPr>
              <w:t>Accrued interest payable</w:t>
            </w:r>
          </w:p>
        </w:tc>
        <w:tc>
          <w:tcPr>
            <w:tcW w:w="280" w:type="dxa"/>
            <w:vAlign w:val="bottom"/>
          </w:tcPr>
          <w:p>
            <w:pPr>
              <w:spacing w:after="0"/>
              <w:rPr>
                <w:sz w:val="14"/>
                <w:szCs w:val="14"/>
                <w:color w:val="auto"/>
              </w:rPr>
            </w:pPr>
          </w:p>
        </w:tc>
        <w:tc>
          <w:tcPr>
            <w:tcW w:w="1440" w:type="dxa"/>
            <w:vAlign w:val="bottom"/>
          </w:tcPr>
          <w:p>
            <w:pPr>
              <w:jc w:val="right"/>
              <w:spacing w:after="0"/>
              <w:rPr>
                <w:sz w:val="20"/>
                <w:szCs w:val="20"/>
                <w:color w:val="auto"/>
              </w:rPr>
            </w:pPr>
            <w:r>
              <w:rPr>
                <w:rFonts w:ascii="Arial" w:cs="Arial" w:eastAsia="Arial" w:hAnsi="Arial"/>
                <w:sz w:val="12"/>
                <w:szCs w:val="12"/>
                <w:color w:val="auto"/>
              </w:rPr>
              <w:t>62,158</w:t>
            </w:r>
          </w:p>
        </w:tc>
        <w:tc>
          <w:tcPr>
            <w:tcW w:w="100" w:type="dxa"/>
            <w:vAlign w:val="bottom"/>
          </w:tcPr>
          <w:p>
            <w:pPr>
              <w:spacing w:after="0"/>
              <w:rPr>
                <w:sz w:val="14"/>
                <w:szCs w:val="14"/>
                <w:color w:val="auto"/>
              </w:rPr>
            </w:pPr>
          </w:p>
        </w:tc>
        <w:tc>
          <w:tcPr>
            <w:tcW w:w="1700" w:type="dxa"/>
            <w:vAlign w:val="bottom"/>
          </w:tcPr>
          <w:p>
            <w:pPr>
              <w:jc w:val="right"/>
              <w:spacing w:after="0"/>
              <w:rPr>
                <w:sz w:val="20"/>
                <w:szCs w:val="20"/>
                <w:color w:val="auto"/>
              </w:rPr>
            </w:pPr>
            <w:r>
              <w:rPr>
                <w:rFonts w:ascii="Arial" w:cs="Arial" w:eastAsia="Arial" w:hAnsi="Arial"/>
                <w:sz w:val="12"/>
                <w:szCs w:val="12"/>
                <w:color w:val="auto"/>
              </w:rPr>
              <w:t>61,679</w:t>
            </w:r>
          </w:p>
        </w:tc>
        <w:tc>
          <w:tcPr>
            <w:tcW w:w="0" w:type="dxa"/>
            <w:vAlign w:val="bottom"/>
          </w:tcPr>
          <w:p>
            <w:pPr>
              <w:spacing w:after="0"/>
              <w:rPr>
                <w:sz w:val="1"/>
                <w:szCs w:val="1"/>
                <w:color w:val="auto"/>
              </w:rPr>
            </w:pPr>
          </w:p>
        </w:tc>
      </w:tr>
      <w:tr>
        <w:trPr>
          <w:trHeight w:val="176"/>
        </w:trPr>
        <w:tc>
          <w:tcPr>
            <w:tcW w:w="7920" w:type="dxa"/>
            <w:vAlign w:val="bottom"/>
            <w:shd w:val="clear" w:color="auto" w:fill="CCEEFF"/>
          </w:tcPr>
          <w:p>
            <w:pPr>
              <w:ind w:left="100"/>
              <w:spacing w:after="0"/>
              <w:rPr>
                <w:sz w:val="20"/>
                <w:szCs w:val="20"/>
                <w:color w:val="auto"/>
              </w:rPr>
            </w:pPr>
            <w:r>
              <w:rPr>
                <w:rFonts w:ascii="Arial" w:cs="Arial" w:eastAsia="Arial" w:hAnsi="Arial"/>
                <w:sz w:val="12"/>
                <w:szCs w:val="12"/>
                <w:color w:val="auto"/>
              </w:rPr>
              <w:t>Other liabilities</w:t>
            </w:r>
          </w:p>
        </w:tc>
        <w:tc>
          <w:tcPr>
            <w:tcW w:w="280" w:type="dxa"/>
            <w:vAlign w:val="bottom"/>
            <w:shd w:val="clear" w:color="auto" w:fill="CCEEFF"/>
          </w:tcPr>
          <w:p>
            <w:pPr>
              <w:spacing w:after="0"/>
              <w:rPr>
                <w:sz w:val="15"/>
                <w:szCs w:val="15"/>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2"/>
                <w:szCs w:val="12"/>
                <w:color w:val="auto"/>
              </w:rPr>
              <w:t>277,281</w:t>
            </w:r>
          </w:p>
        </w:tc>
        <w:tc>
          <w:tcPr>
            <w:tcW w:w="100" w:type="dxa"/>
            <w:vAlign w:val="bottom"/>
            <w:shd w:val="clear" w:color="auto" w:fill="CCEEFF"/>
          </w:tcPr>
          <w:p>
            <w:pPr>
              <w:spacing w:after="0"/>
              <w:rPr>
                <w:sz w:val="15"/>
                <w:szCs w:val="15"/>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2"/>
                <w:szCs w:val="12"/>
                <w:color w:val="auto"/>
              </w:rPr>
              <w:t>256,092</w:t>
            </w:r>
          </w:p>
        </w:tc>
        <w:tc>
          <w:tcPr>
            <w:tcW w:w="0" w:type="dxa"/>
            <w:vAlign w:val="bottom"/>
          </w:tcPr>
          <w:p>
            <w:pPr>
              <w:spacing w:after="0"/>
              <w:rPr>
                <w:sz w:val="1"/>
                <w:szCs w:val="1"/>
                <w:color w:val="auto"/>
              </w:rPr>
            </w:pPr>
          </w:p>
        </w:tc>
      </w:tr>
      <w:tr>
        <w:trPr>
          <w:trHeight w:val="169"/>
        </w:trPr>
        <w:tc>
          <w:tcPr>
            <w:tcW w:w="7920" w:type="dxa"/>
            <w:vAlign w:val="bottom"/>
            <w:tcBorders>
              <w:bottom w:val="single" w:sz="8" w:color="CCEEFF"/>
            </w:tcBorders>
          </w:tcPr>
          <w:p>
            <w:pPr>
              <w:ind w:left="100"/>
              <w:spacing w:after="0"/>
              <w:rPr>
                <w:sz w:val="20"/>
                <w:szCs w:val="20"/>
                <w:color w:val="auto"/>
              </w:rPr>
            </w:pPr>
            <w:r>
              <w:rPr>
                <w:rFonts w:ascii="Arial" w:cs="Arial" w:eastAsia="Arial" w:hAnsi="Arial"/>
                <w:sz w:val="12"/>
                <w:szCs w:val="12"/>
                <w:color w:val="auto"/>
              </w:rPr>
              <w:t>Due to customers</w:t>
            </w:r>
          </w:p>
        </w:tc>
        <w:tc>
          <w:tcPr>
            <w:tcW w:w="280" w:type="dxa"/>
            <w:vAlign w:val="bottom"/>
            <w:tcBorders>
              <w:bottom w:val="single" w:sz="8" w:color="auto"/>
            </w:tcBorders>
          </w:tcPr>
          <w:p>
            <w:pPr>
              <w:spacing w:after="0"/>
              <w:rPr>
                <w:sz w:val="14"/>
                <w:szCs w:val="14"/>
                <w:color w:val="auto"/>
              </w:rPr>
            </w:pP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216,471</w:t>
            </w:r>
          </w:p>
        </w:tc>
        <w:tc>
          <w:tcPr>
            <w:tcW w:w="100" w:type="dxa"/>
            <w:vAlign w:val="bottom"/>
            <w:tcBorders>
              <w:bottom w:val="single" w:sz="8" w:color="CCEEFF"/>
            </w:tcBorders>
          </w:tcPr>
          <w:p>
            <w:pPr>
              <w:spacing w:after="0"/>
              <w:rPr>
                <w:sz w:val="14"/>
                <w:szCs w:val="14"/>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369,678</w:t>
            </w:r>
          </w:p>
        </w:tc>
        <w:tc>
          <w:tcPr>
            <w:tcW w:w="0" w:type="dxa"/>
            <w:vAlign w:val="bottom"/>
          </w:tcPr>
          <w:p>
            <w:pPr>
              <w:spacing w:after="0"/>
              <w:rPr>
                <w:sz w:val="1"/>
                <w:szCs w:val="1"/>
                <w:color w:val="auto"/>
              </w:rPr>
            </w:pPr>
          </w:p>
        </w:tc>
      </w:tr>
      <w:tr>
        <w:trPr>
          <w:trHeight w:val="167"/>
        </w:trPr>
        <w:tc>
          <w:tcPr>
            <w:tcW w:w="7920" w:type="dxa"/>
            <w:vAlign w:val="bottom"/>
            <w:shd w:val="clear" w:color="auto" w:fill="CCEEFF"/>
          </w:tcPr>
          <w:p>
            <w:pPr>
              <w:ind w:left="260"/>
              <w:spacing w:after="0"/>
              <w:rPr>
                <w:sz w:val="20"/>
                <w:szCs w:val="20"/>
                <w:color w:val="auto"/>
              </w:rPr>
            </w:pPr>
            <w:r>
              <w:rPr>
                <w:rFonts w:ascii="Arial" w:cs="Arial" w:eastAsia="Arial" w:hAnsi="Arial"/>
                <w:sz w:val="12"/>
                <w:szCs w:val="12"/>
                <w:color w:val="auto"/>
              </w:rPr>
              <w:t>Total liabilities</w:t>
            </w:r>
          </w:p>
        </w:tc>
        <w:tc>
          <w:tcPr>
            <w:tcW w:w="280" w:type="dxa"/>
            <w:vAlign w:val="bottom"/>
            <w:tcBorders>
              <w:bottom w:val="single" w:sz="8" w:color="auto"/>
            </w:tcBorders>
            <w:shd w:val="clear" w:color="auto" w:fill="CCEEFF"/>
          </w:tcPr>
          <w:p>
            <w:pPr>
              <w:spacing w:after="0"/>
              <w:rPr>
                <w:sz w:val="14"/>
                <w:szCs w:val="14"/>
                <w:color w:val="auto"/>
              </w:rPr>
            </w:pPr>
          </w:p>
        </w:tc>
        <w:tc>
          <w:tcPr>
            <w:tcW w:w="1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2"/>
                <w:szCs w:val="12"/>
                <w:color w:val="auto"/>
              </w:rPr>
              <w:t>22,391,633</w:t>
            </w:r>
          </w:p>
        </w:tc>
        <w:tc>
          <w:tcPr>
            <w:tcW w:w="100" w:type="dxa"/>
            <w:vAlign w:val="bottom"/>
            <w:shd w:val="clear" w:color="auto" w:fill="CCEEFF"/>
          </w:tcPr>
          <w:p>
            <w:pPr>
              <w:spacing w:after="0"/>
              <w:rPr>
                <w:sz w:val="14"/>
                <w:szCs w:val="14"/>
                <w:color w:val="auto"/>
              </w:rPr>
            </w:pP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2"/>
                <w:szCs w:val="12"/>
                <w:color w:val="auto"/>
              </w:rPr>
              <w:t>22,906,189</w:t>
            </w:r>
          </w:p>
        </w:tc>
        <w:tc>
          <w:tcPr>
            <w:tcW w:w="0" w:type="dxa"/>
            <w:vAlign w:val="bottom"/>
          </w:tcPr>
          <w:p>
            <w:pPr>
              <w:spacing w:after="0"/>
              <w:rPr>
                <w:sz w:val="1"/>
                <w:szCs w:val="1"/>
                <w:color w:val="auto"/>
              </w:rPr>
            </w:pPr>
          </w:p>
        </w:tc>
      </w:tr>
      <w:tr>
        <w:trPr>
          <w:trHeight w:val="149"/>
        </w:trPr>
        <w:tc>
          <w:tcPr>
            <w:tcW w:w="7920" w:type="dxa"/>
            <w:vAlign w:val="bottom"/>
          </w:tcPr>
          <w:p>
            <w:pPr>
              <w:ind w:left="20"/>
              <w:spacing w:after="0"/>
              <w:rPr>
                <w:sz w:val="20"/>
                <w:szCs w:val="20"/>
                <w:color w:val="auto"/>
              </w:rPr>
            </w:pPr>
            <w:r>
              <w:rPr>
                <w:rFonts w:ascii="Arial" w:cs="Arial" w:eastAsia="Arial" w:hAnsi="Arial"/>
                <w:sz w:val="12"/>
                <w:szCs w:val="12"/>
                <w:color w:val="auto"/>
              </w:rPr>
              <w:t>Commitments and contingencies</w:t>
            </w:r>
          </w:p>
        </w:tc>
        <w:tc>
          <w:tcPr>
            <w:tcW w:w="280" w:type="dxa"/>
            <w:vAlign w:val="bottom"/>
          </w:tcPr>
          <w:p>
            <w:pPr>
              <w:spacing w:after="0"/>
              <w:rPr>
                <w:sz w:val="12"/>
                <w:szCs w:val="12"/>
                <w:color w:val="auto"/>
              </w:rPr>
            </w:pPr>
          </w:p>
        </w:tc>
        <w:tc>
          <w:tcPr>
            <w:tcW w:w="1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7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6"/>
        </w:trPr>
        <w:tc>
          <w:tcPr>
            <w:tcW w:w="7920" w:type="dxa"/>
            <w:vAlign w:val="bottom"/>
            <w:shd w:val="clear" w:color="auto" w:fill="CCEEFF"/>
          </w:tcPr>
          <w:p>
            <w:pPr>
              <w:ind w:left="20"/>
              <w:spacing w:after="0"/>
              <w:rPr>
                <w:sz w:val="20"/>
                <w:szCs w:val="20"/>
                <w:color w:val="auto"/>
              </w:rPr>
            </w:pPr>
            <w:r>
              <w:rPr>
                <w:rFonts w:ascii="Arial" w:cs="Arial" w:eastAsia="Arial" w:hAnsi="Arial"/>
                <w:sz w:val="12"/>
                <w:szCs w:val="12"/>
                <w:color w:val="auto"/>
              </w:rPr>
              <w:t>Equity:</w:t>
            </w:r>
          </w:p>
        </w:tc>
        <w:tc>
          <w:tcPr>
            <w:tcW w:w="280" w:type="dxa"/>
            <w:vAlign w:val="bottom"/>
            <w:shd w:val="clear" w:color="auto" w:fill="CCEEFF"/>
          </w:tcPr>
          <w:p>
            <w:pPr>
              <w:spacing w:after="0"/>
              <w:rPr>
                <w:sz w:val="15"/>
                <w:szCs w:val="15"/>
                <w:color w:val="auto"/>
              </w:rPr>
            </w:pPr>
          </w:p>
        </w:tc>
        <w:tc>
          <w:tcPr>
            <w:tcW w:w="14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7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69"/>
        </w:trPr>
        <w:tc>
          <w:tcPr>
            <w:tcW w:w="7920" w:type="dxa"/>
            <w:vAlign w:val="bottom"/>
          </w:tcPr>
          <w:p>
            <w:pPr>
              <w:ind w:left="20"/>
              <w:spacing w:after="0"/>
              <w:rPr>
                <w:sz w:val="20"/>
                <w:szCs w:val="20"/>
                <w:color w:val="auto"/>
              </w:rPr>
            </w:pPr>
            <w:r>
              <w:rPr>
                <w:rFonts w:ascii="Arial" w:cs="Arial" w:eastAsia="Arial" w:hAnsi="Arial"/>
                <w:sz w:val="12"/>
                <w:szCs w:val="12"/>
                <w:color w:val="auto"/>
              </w:rPr>
              <w:t>Nelnet, Inc. shareholders' equity:</w:t>
            </w:r>
          </w:p>
        </w:tc>
        <w:tc>
          <w:tcPr>
            <w:tcW w:w="280" w:type="dxa"/>
            <w:vAlign w:val="bottom"/>
          </w:tcPr>
          <w:p>
            <w:pPr>
              <w:spacing w:after="0"/>
              <w:rPr>
                <w:sz w:val="14"/>
                <w:szCs w:val="14"/>
                <w:color w:val="auto"/>
              </w:rPr>
            </w:pPr>
          </w:p>
        </w:tc>
        <w:tc>
          <w:tcPr>
            <w:tcW w:w="14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7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7920" w:type="dxa"/>
            <w:vAlign w:val="bottom"/>
            <w:shd w:val="clear" w:color="auto" w:fill="CCEEFF"/>
          </w:tcPr>
          <w:p>
            <w:pPr>
              <w:ind w:left="180"/>
              <w:spacing w:after="0"/>
              <w:rPr>
                <w:sz w:val="20"/>
                <w:szCs w:val="20"/>
                <w:color w:val="auto"/>
              </w:rPr>
            </w:pPr>
            <w:r>
              <w:rPr>
                <w:rFonts w:ascii="Arial" w:cs="Arial" w:eastAsia="Arial" w:hAnsi="Arial"/>
                <w:sz w:val="12"/>
                <w:szCs w:val="12"/>
                <w:color w:val="auto"/>
              </w:rPr>
              <w:t>Preferred stock, $0.01 par value. Authorized 50,000,000 shares; no shares issued or outstanding</w:t>
            </w:r>
          </w:p>
        </w:tc>
        <w:tc>
          <w:tcPr>
            <w:tcW w:w="280" w:type="dxa"/>
            <w:vAlign w:val="bottom"/>
            <w:shd w:val="clear" w:color="auto" w:fill="CCEEFF"/>
          </w:tcPr>
          <w:p>
            <w:pPr>
              <w:spacing w:after="0"/>
              <w:rPr>
                <w:sz w:val="15"/>
                <w:szCs w:val="15"/>
                <w:color w:val="auto"/>
              </w:rPr>
            </w:pPr>
          </w:p>
        </w:tc>
        <w:tc>
          <w:tcPr>
            <w:tcW w:w="154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w:t>
            </w:r>
          </w:p>
        </w:tc>
        <w:tc>
          <w:tcPr>
            <w:tcW w:w="1700" w:type="dxa"/>
            <w:vAlign w:val="bottom"/>
            <w:shd w:val="clear" w:color="auto" w:fill="CCEEFF"/>
          </w:tcPr>
          <w:p>
            <w:pPr>
              <w:jc w:val="right"/>
              <w:spacing w:after="0"/>
              <w:rPr>
                <w:sz w:val="20"/>
                <w:szCs w:val="20"/>
                <w:color w:val="auto"/>
              </w:rPr>
            </w:pPr>
            <w:r>
              <w:rPr>
                <w:rFonts w:ascii="Arial" w:cs="Arial" w:eastAsia="Arial" w:hAnsi="Arial"/>
                <w:sz w:val="12"/>
                <w:szCs w:val="12"/>
                <w:color w:val="auto"/>
              </w:rPr>
              <w:t>—</w:t>
            </w:r>
          </w:p>
        </w:tc>
        <w:tc>
          <w:tcPr>
            <w:tcW w:w="0" w:type="dxa"/>
            <w:vAlign w:val="bottom"/>
          </w:tcPr>
          <w:p>
            <w:pPr>
              <w:spacing w:after="0"/>
              <w:rPr>
                <w:sz w:val="1"/>
                <w:szCs w:val="1"/>
                <w:color w:val="auto"/>
              </w:rPr>
            </w:pPr>
          </w:p>
        </w:tc>
      </w:tr>
      <w:tr>
        <w:trPr>
          <w:trHeight w:val="169"/>
        </w:trPr>
        <w:tc>
          <w:tcPr>
            <w:tcW w:w="7920" w:type="dxa"/>
            <w:vAlign w:val="bottom"/>
          </w:tcPr>
          <w:p>
            <w:pPr>
              <w:ind w:left="180"/>
              <w:spacing w:after="0"/>
              <w:rPr>
                <w:sz w:val="20"/>
                <w:szCs w:val="20"/>
                <w:color w:val="auto"/>
              </w:rPr>
            </w:pPr>
            <w:r>
              <w:rPr>
                <w:rFonts w:ascii="Arial" w:cs="Arial" w:eastAsia="Arial" w:hAnsi="Arial"/>
                <w:sz w:val="12"/>
                <w:szCs w:val="12"/>
                <w:color w:val="auto"/>
              </w:rPr>
              <w:t>Common stock:</w:t>
            </w:r>
          </w:p>
        </w:tc>
        <w:tc>
          <w:tcPr>
            <w:tcW w:w="280" w:type="dxa"/>
            <w:vAlign w:val="bottom"/>
          </w:tcPr>
          <w:p>
            <w:pPr>
              <w:spacing w:after="0"/>
              <w:rPr>
                <w:sz w:val="14"/>
                <w:szCs w:val="14"/>
                <w:color w:val="auto"/>
              </w:rPr>
            </w:pPr>
          </w:p>
        </w:tc>
        <w:tc>
          <w:tcPr>
            <w:tcW w:w="14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7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3"/>
        </w:trPr>
        <w:tc>
          <w:tcPr>
            <w:tcW w:w="7920" w:type="dxa"/>
            <w:vAlign w:val="bottom"/>
            <w:shd w:val="clear" w:color="auto" w:fill="CCEEFF"/>
          </w:tcPr>
          <w:p>
            <w:pPr>
              <w:ind w:left="260"/>
              <w:spacing w:after="0"/>
              <w:rPr>
                <w:sz w:val="20"/>
                <w:szCs w:val="20"/>
                <w:color w:val="auto"/>
              </w:rPr>
            </w:pPr>
            <w:r>
              <w:rPr>
                <w:rFonts w:ascii="Arial" w:cs="Arial" w:eastAsia="Arial" w:hAnsi="Arial"/>
                <w:sz w:val="12"/>
                <w:szCs w:val="12"/>
                <w:color w:val="auto"/>
              </w:rPr>
              <w:t>Class A, $0.01 par value. Authorized 600,000,000 shares; issued and outstanding 28,628,528</w:t>
            </w:r>
          </w:p>
        </w:tc>
        <w:tc>
          <w:tcPr>
            <w:tcW w:w="280" w:type="dxa"/>
            <w:vAlign w:val="bottom"/>
            <w:shd w:val="clear" w:color="auto" w:fill="CCEEFF"/>
          </w:tcPr>
          <w:p>
            <w:pPr>
              <w:spacing w:after="0"/>
              <w:rPr>
                <w:sz w:val="12"/>
                <w:szCs w:val="12"/>
                <w:color w:val="auto"/>
              </w:rPr>
            </w:pPr>
          </w:p>
        </w:tc>
        <w:tc>
          <w:tcPr>
            <w:tcW w:w="14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7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7920" w:type="dxa"/>
            <w:vAlign w:val="bottom"/>
            <w:shd w:val="clear" w:color="auto" w:fill="CCEEFF"/>
          </w:tcPr>
          <w:p>
            <w:pPr>
              <w:ind w:left="260"/>
              <w:spacing w:after="0"/>
              <w:rPr>
                <w:sz w:val="20"/>
                <w:szCs w:val="20"/>
                <w:color w:val="auto"/>
              </w:rPr>
            </w:pPr>
            <w:r>
              <w:rPr>
                <w:rFonts w:ascii="Arial" w:cs="Arial" w:eastAsia="Arial" w:hAnsi="Arial"/>
                <w:sz w:val="12"/>
                <w:szCs w:val="12"/>
                <w:color w:val="auto"/>
              </w:rPr>
              <w:t>shares and 28,798,464 shares, respectively</w:t>
            </w:r>
          </w:p>
        </w:tc>
        <w:tc>
          <w:tcPr>
            <w:tcW w:w="280" w:type="dxa"/>
            <w:vAlign w:val="bottom"/>
            <w:shd w:val="clear" w:color="auto" w:fill="CCEEFF"/>
          </w:tcPr>
          <w:p>
            <w:pPr>
              <w:spacing w:after="0"/>
              <w:rPr>
                <w:sz w:val="14"/>
                <w:szCs w:val="14"/>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2"/>
                <w:szCs w:val="12"/>
                <w:color w:val="auto"/>
              </w:rPr>
              <w:t>286</w:t>
            </w:r>
          </w:p>
        </w:tc>
        <w:tc>
          <w:tcPr>
            <w:tcW w:w="100" w:type="dxa"/>
            <w:vAlign w:val="bottom"/>
            <w:shd w:val="clear" w:color="auto" w:fill="CCEEFF"/>
          </w:tcPr>
          <w:p>
            <w:pPr>
              <w:spacing w:after="0"/>
              <w:rPr>
                <w:sz w:val="14"/>
                <w:szCs w:val="14"/>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2"/>
                <w:szCs w:val="12"/>
                <w:color w:val="auto"/>
              </w:rPr>
              <w:t>288</w:t>
            </w:r>
          </w:p>
        </w:tc>
        <w:tc>
          <w:tcPr>
            <w:tcW w:w="0" w:type="dxa"/>
            <w:vAlign w:val="bottom"/>
          </w:tcPr>
          <w:p>
            <w:pPr>
              <w:spacing w:after="0"/>
              <w:rPr>
                <w:sz w:val="1"/>
                <w:szCs w:val="1"/>
                <w:color w:val="auto"/>
              </w:rPr>
            </w:pPr>
          </w:p>
        </w:tc>
      </w:tr>
      <w:tr>
        <w:trPr>
          <w:trHeight w:val="140"/>
        </w:trPr>
        <w:tc>
          <w:tcPr>
            <w:tcW w:w="7920" w:type="dxa"/>
            <w:vAlign w:val="bottom"/>
          </w:tcPr>
          <w:p>
            <w:pPr>
              <w:ind w:left="260"/>
              <w:spacing w:after="0"/>
              <w:rPr>
                <w:sz w:val="20"/>
                <w:szCs w:val="20"/>
                <w:color w:val="auto"/>
              </w:rPr>
            </w:pPr>
            <w:r>
              <w:rPr>
                <w:rFonts w:ascii="Arial" w:cs="Arial" w:eastAsia="Arial" w:hAnsi="Arial"/>
                <w:sz w:val="12"/>
                <w:szCs w:val="12"/>
                <w:color w:val="auto"/>
              </w:rPr>
              <w:t>Class B, convertible, $0.01 par value. Authorized 60,000,000 shares; issued and outstanding</w:t>
            </w:r>
          </w:p>
        </w:tc>
        <w:tc>
          <w:tcPr>
            <w:tcW w:w="280" w:type="dxa"/>
            <w:vAlign w:val="bottom"/>
          </w:tcPr>
          <w:p>
            <w:pPr>
              <w:spacing w:after="0"/>
              <w:rPr>
                <w:sz w:val="12"/>
                <w:szCs w:val="12"/>
                <w:color w:val="auto"/>
              </w:rPr>
            </w:pPr>
          </w:p>
        </w:tc>
        <w:tc>
          <w:tcPr>
            <w:tcW w:w="1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7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8"/>
        </w:trPr>
        <w:tc>
          <w:tcPr>
            <w:tcW w:w="7920" w:type="dxa"/>
            <w:vAlign w:val="bottom"/>
          </w:tcPr>
          <w:p>
            <w:pPr>
              <w:ind w:left="260"/>
              <w:spacing w:after="0"/>
              <w:rPr>
                <w:sz w:val="20"/>
                <w:szCs w:val="20"/>
                <w:color w:val="auto"/>
              </w:rPr>
            </w:pPr>
            <w:r>
              <w:rPr>
                <w:rFonts w:ascii="Arial" w:cs="Arial" w:eastAsia="Arial" w:hAnsi="Arial"/>
                <w:sz w:val="12"/>
                <w:szCs w:val="12"/>
                <w:color w:val="auto"/>
              </w:rPr>
              <w:t>11,459,641 shares</w:t>
            </w:r>
          </w:p>
        </w:tc>
        <w:tc>
          <w:tcPr>
            <w:tcW w:w="280" w:type="dxa"/>
            <w:vAlign w:val="bottom"/>
          </w:tcPr>
          <w:p>
            <w:pPr>
              <w:spacing w:after="0"/>
              <w:rPr>
                <w:sz w:val="13"/>
                <w:szCs w:val="13"/>
                <w:color w:val="auto"/>
              </w:rPr>
            </w:pPr>
          </w:p>
        </w:tc>
        <w:tc>
          <w:tcPr>
            <w:tcW w:w="1440" w:type="dxa"/>
            <w:vAlign w:val="bottom"/>
          </w:tcPr>
          <w:p>
            <w:pPr>
              <w:jc w:val="right"/>
              <w:spacing w:after="0"/>
              <w:rPr>
                <w:sz w:val="20"/>
                <w:szCs w:val="20"/>
                <w:color w:val="auto"/>
              </w:rPr>
            </w:pPr>
            <w:r>
              <w:rPr>
                <w:rFonts w:ascii="Arial" w:cs="Arial" w:eastAsia="Arial" w:hAnsi="Arial"/>
                <w:sz w:val="12"/>
                <w:szCs w:val="12"/>
                <w:color w:val="auto"/>
              </w:rPr>
              <w:t>115</w:t>
            </w:r>
          </w:p>
        </w:tc>
        <w:tc>
          <w:tcPr>
            <w:tcW w:w="100" w:type="dxa"/>
            <w:vAlign w:val="bottom"/>
          </w:tcPr>
          <w:p>
            <w:pPr>
              <w:spacing w:after="0"/>
              <w:rPr>
                <w:sz w:val="13"/>
                <w:szCs w:val="13"/>
                <w:color w:val="auto"/>
              </w:rPr>
            </w:pPr>
          </w:p>
        </w:tc>
        <w:tc>
          <w:tcPr>
            <w:tcW w:w="1700" w:type="dxa"/>
            <w:vAlign w:val="bottom"/>
          </w:tcPr>
          <w:p>
            <w:pPr>
              <w:jc w:val="right"/>
              <w:spacing w:after="0"/>
              <w:rPr>
                <w:sz w:val="20"/>
                <w:szCs w:val="20"/>
                <w:color w:val="auto"/>
              </w:rPr>
            </w:pPr>
            <w:r>
              <w:rPr>
                <w:rFonts w:ascii="Arial" w:cs="Arial" w:eastAsia="Arial" w:hAnsi="Arial"/>
                <w:sz w:val="12"/>
                <w:szCs w:val="12"/>
                <w:color w:val="auto"/>
              </w:rPr>
              <w:t>115</w:t>
            </w:r>
          </w:p>
        </w:tc>
        <w:tc>
          <w:tcPr>
            <w:tcW w:w="0" w:type="dxa"/>
            <w:vAlign w:val="bottom"/>
          </w:tcPr>
          <w:p>
            <w:pPr>
              <w:spacing w:after="0"/>
              <w:rPr>
                <w:sz w:val="1"/>
                <w:szCs w:val="1"/>
                <w:color w:val="auto"/>
              </w:rPr>
            </w:pPr>
          </w:p>
        </w:tc>
      </w:tr>
      <w:tr>
        <w:trPr>
          <w:trHeight w:val="176"/>
        </w:trPr>
        <w:tc>
          <w:tcPr>
            <w:tcW w:w="7920" w:type="dxa"/>
            <w:vAlign w:val="bottom"/>
            <w:shd w:val="clear" w:color="auto" w:fill="CCEEFF"/>
          </w:tcPr>
          <w:p>
            <w:pPr>
              <w:ind w:left="180"/>
              <w:spacing w:after="0"/>
              <w:rPr>
                <w:sz w:val="20"/>
                <w:szCs w:val="20"/>
                <w:color w:val="auto"/>
              </w:rPr>
            </w:pPr>
            <w:r>
              <w:rPr>
                <w:rFonts w:ascii="Arial" w:cs="Arial" w:eastAsia="Arial" w:hAnsi="Arial"/>
                <w:sz w:val="12"/>
                <w:szCs w:val="12"/>
                <w:color w:val="auto"/>
              </w:rPr>
              <w:t>Additional paid-in capital</w:t>
            </w:r>
          </w:p>
        </w:tc>
        <w:tc>
          <w:tcPr>
            <w:tcW w:w="280" w:type="dxa"/>
            <w:vAlign w:val="bottom"/>
            <w:shd w:val="clear" w:color="auto" w:fill="CCEEFF"/>
          </w:tcPr>
          <w:p>
            <w:pPr>
              <w:spacing w:after="0"/>
              <w:rPr>
                <w:sz w:val="15"/>
                <w:szCs w:val="15"/>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2"/>
                <w:szCs w:val="12"/>
                <w:color w:val="auto"/>
              </w:rPr>
              <w:t>636</w:t>
            </w:r>
          </w:p>
        </w:tc>
        <w:tc>
          <w:tcPr>
            <w:tcW w:w="100" w:type="dxa"/>
            <w:vAlign w:val="bottom"/>
            <w:shd w:val="clear" w:color="auto" w:fill="CCEEFF"/>
          </w:tcPr>
          <w:p>
            <w:pPr>
              <w:spacing w:after="0"/>
              <w:rPr>
                <w:sz w:val="15"/>
                <w:szCs w:val="15"/>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2"/>
                <w:szCs w:val="12"/>
                <w:color w:val="auto"/>
              </w:rPr>
              <w:t>622</w:t>
            </w:r>
          </w:p>
        </w:tc>
        <w:tc>
          <w:tcPr>
            <w:tcW w:w="0" w:type="dxa"/>
            <w:vAlign w:val="bottom"/>
          </w:tcPr>
          <w:p>
            <w:pPr>
              <w:spacing w:after="0"/>
              <w:rPr>
                <w:sz w:val="1"/>
                <w:szCs w:val="1"/>
                <w:color w:val="auto"/>
              </w:rPr>
            </w:pPr>
          </w:p>
        </w:tc>
      </w:tr>
      <w:tr>
        <w:trPr>
          <w:trHeight w:val="169"/>
        </w:trPr>
        <w:tc>
          <w:tcPr>
            <w:tcW w:w="7920" w:type="dxa"/>
            <w:vAlign w:val="bottom"/>
          </w:tcPr>
          <w:p>
            <w:pPr>
              <w:ind w:left="180"/>
              <w:spacing w:after="0"/>
              <w:rPr>
                <w:sz w:val="20"/>
                <w:szCs w:val="20"/>
                <w:color w:val="auto"/>
              </w:rPr>
            </w:pPr>
            <w:r>
              <w:rPr>
                <w:rFonts w:ascii="Arial" w:cs="Arial" w:eastAsia="Arial" w:hAnsi="Arial"/>
                <w:sz w:val="12"/>
                <w:szCs w:val="12"/>
                <w:color w:val="auto"/>
              </w:rPr>
              <w:t>Retained earnings</w:t>
            </w:r>
          </w:p>
        </w:tc>
        <w:tc>
          <w:tcPr>
            <w:tcW w:w="280" w:type="dxa"/>
            <w:vAlign w:val="bottom"/>
          </w:tcPr>
          <w:p>
            <w:pPr>
              <w:spacing w:after="0"/>
              <w:rPr>
                <w:sz w:val="14"/>
                <w:szCs w:val="14"/>
                <w:color w:val="auto"/>
              </w:rPr>
            </w:pPr>
          </w:p>
        </w:tc>
        <w:tc>
          <w:tcPr>
            <w:tcW w:w="1440" w:type="dxa"/>
            <w:vAlign w:val="bottom"/>
          </w:tcPr>
          <w:p>
            <w:pPr>
              <w:jc w:val="right"/>
              <w:spacing w:after="0"/>
              <w:rPr>
                <w:sz w:val="20"/>
                <w:szCs w:val="20"/>
                <w:color w:val="auto"/>
              </w:rPr>
            </w:pPr>
            <w:r>
              <w:rPr>
                <w:rFonts w:ascii="Arial" w:cs="Arial" w:eastAsia="Arial" w:hAnsi="Arial"/>
                <w:sz w:val="12"/>
                <w:szCs w:val="12"/>
                <w:color w:val="auto"/>
              </w:rPr>
              <w:t>2,321,407</w:t>
            </w:r>
          </w:p>
        </w:tc>
        <w:tc>
          <w:tcPr>
            <w:tcW w:w="100" w:type="dxa"/>
            <w:vAlign w:val="bottom"/>
          </w:tcPr>
          <w:p>
            <w:pPr>
              <w:spacing w:after="0"/>
              <w:rPr>
                <w:sz w:val="14"/>
                <w:szCs w:val="14"/>
                <w:color w:val="auto"/>
              </w:rPr>
            </w:pPr>
          </w:p>
        </w:tc>
        <w:tc>
          <w:tcPr>
            <w:tcW w:w="1700" w:type="dxa"/>
            <w:vAlign w:val="bottom"/>
          </w:tcPr>
          <w:p>
            <w:pPr>
              <w:jc w:val="right"/>
              <w:spacing w:after="0"/>
              <w:rPr>
                <w:sz w:val="20"/>
                <w:szCs w:val="20"/>
                <w:color w:val="auto"/>
              </w:rPr>
            </w:pPr>
            <w:r>
              <w:rPr>
                <w:rFonts w:ascii="Arial" w:cs="Arial" w:eastAsia="Arial" w:hAnsi="Arial"/>
                <w:sz w:val="12"/>
                <w:szCs w:val="12"/>
                <w:color w:val="auto"/>
              </w:rPr>
              <w:t>2,299,556</w:t>
            </w:r>
          </w:p>
        </w:tc>
        <w:tc>
          <w:tcPr>
            <w:tcW w:w="0" w:type="dxa"/>
            <w:vAlign w:val="bottom"/>
          </w:tcPr>
          <w:p>
            <w:pPr>
              <w:spacing w:after="0"/>
              <w:rPr>
                <w:sz w:val="1"/>
                <w:szCs w:val="1"/>
                <w:color w:val="auto"/>
              </w:rPr>
            </w:pPr>
          </w:p>
        </w:tc>
      </w:tr>
      <w:tr>
        <w:trPr>
          <w:trHeight w:val="172"/>
        </w:trPr>
        <w:tc>
          <w:tcPr>
            <w:tcW w:w="7920" w:type="dxa"/>
            <w:vAlign w:val="bottom"/>
            <w:shd w:val="clear" w:color="auto" w:fill="CCEEFF"/>
          </w:tcPr>
          <w:p>
            <w:pPr>
              <w:ind w:left="180"/>
              <w:spacing w:after="0"/>
              <w:rPr>
                <w:sz w:val="20"/>
                <w:szCs w:val="20"/>
                <w:color w:val="auto"/>
              </w:rPr>
            </w:pPr>
            <w:r>
              <w:rPr>
                <w:rFonts w:ascii="Arial" w:cs="Arial" w:eastAsia="Arial" w:hAnsi="Arial"/>
                <w:sz w:val="12"/>
                <w:szCs w:val="12"/>
                <w:color w:val="auto"/>
              </w:rPr>
              <w:t>Accumulated other comprehensive earnings</w:t>
            </w:r>
          </w:p>
        </w:tc>
        <w:tc>
          <w:tcPr>
            <w:tcW w:w="280" w:type="dxa"/>
            <w:vAlign w:val="bottom"/>
            <w:tcBorders>
              <w:bottom w:val="single" w:sz="8" w:color="auto"/>
            </w:tcBorders>
            <w:shd w:val="clear" w:color="auto" w:fill="CCEEFF"/>
          </w:tcPr>
          <w:p>
            <w:pPr>
              <w:spacing w:after="0"/>
              <w:rPr>
                <w:sz w:val="14"/>
                <w:szCs w:val="14"/>
                <w:color w:val="auto"/>
              </w:rPr>
            </w:pPr>
          </w:p>
        </w:tc>
        <w:tc>
          <w:tcPr>
            <w:tcW w:w="1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2"/>
                <w:szCs w:val="12"/>
                <w:color w:val="auto"/>
              </w:rPr>
              <w:t>3,552</w:t>
            </w:r>
          </w:p>
        </w:tc>
        <w:tc>
          <w:tcPr>
            <w:tcW w:w="100" w:type="dxa"/>
            <w:vAlign w:val="bottom"/>
            <w:shd w:val="clear" w:color="auto" w:fill="CCEEFF"/>
          </w:tcPr>
          <w:p>
            <w:pPr>
              <w:spacing w:after="0"/>
              <w:rPr>
                <w:sz w:val="14"/>
                <w:szCs w:val="14"/>
                <w:color w:val="auto"/>
              </w:rPr>
            </w:pP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2"/>
                <w:szCs w:val="12"/>
                <w:color w:val="auto"/>
              </w:rPr>
              <w:t>3,883</w:t>
            </w:r>
          </w:p>
        </w:tc>
        <w:tc>
          <w:tcPr>
            <w:tcW w:w="0" w:type="dxa"/>
            <w:vAlign w:val="bottom"/>
          </w:tcPr>
          <w:p>
            <w:pPr>
              <w:spacing w:after="0"/>
              <w:rPr>
                <w:sz w:val="1"/>
                <w:szCs w:val="1"/>
                <w:color w:val="auto"/>
              </w:rPr>
            </w:pPr>
          </w:p>
        </w:tc>
      </w:tr>
      <w:tr>
        <w:trPr>
          <w:trHeight w:val="163"/>
        </w:trPr>
        <w:tc>
          <w:tcPr>
            <w:tcW w:w="7920" w:type="dxa"/>
            <w:vAlign w:val="bottom"/>
          </w:tcPr>
          <w:p>
            <w:pPr>
              <w:ind w:left="260"/>
              <w:spacing w:after="0"/>
              <w:rPr>
                <w:sz w:val="20"/>
                <w:szCs w:val="20"/>
                <w:color w:val="auto"/>
              </w:rPr>
            </w:pPr>
            <w:r>
              <w:rPr>
                <w:rFonts w:ascii="Arial" w:cs="Arial" w:eastAsia="Arial" w:hAnsi="Arial"/>
                <w:sz w:val="12"/>
                <w:szCs w:val="12"/>
                <w:color w:val="auto"/>
              </w:rPr>
              <w:t>Total Nelnet, Inc. shareholders' equity</w:t>
            </w:r>
          </w:p>
        </w:tc>
        <w:tc>
          <w:tcPr>
            <w:tcW w:w="280" w:type="dxa"/>
            <w:vAlign w:val="bottom"/>
          </w:tcPr>
          <w:p>
            <w:pPr>
              <w:spacing w:after="0"/>
              <w:rPr>
                <w:sz w:val="14"/>
                <w:szCs w:val="14"/>
                <w:color w:val="auto"/>
              </w:rPr>
            </w:pPr>
          </w:p>
        </w:tc>
        <w:tc>
          <w:tcPr>
            <w:tcW w:w="1440" w:type="dxa"/>
            <w:vAlign w:val="bottom"/>
          </w:tcPr>
          <w:p>
            <w:pPr>
              <w:jc w:val="right"/>
              <w:spacing w:after="0"/>
              <w:rPr>
                <w:sz w:val="20"/>
                <w:szCs w:val="20"/>
                <w:color w:val="auto"/>
              </w:rPr>
            </w:pPr>
            <w:r>
              <w:rPr>
                <w:rFonts w:ascii="Arial" w:cs="Arial" w:eastAsia="Arial" w:hAnsi="Arial"/>
                <w:sz w:val="12"/>
                <w:szCs w:val="12"/>
                <w:color w:val="auto"/>
              </w:rPr>
              <w:t>2,325,996</w:t>
            </w:r>
          </w:p>
        </w:tc>
        <w:tc>
          <w:tcPr>
            <w:tcW w:w="100" w:type="dxa"/>
            <w:vAlign w:val="bottom"/>
          </w:tcPr>
          <w:p>
            <w:pPr>
              <w:spacing w:after="0"/>
              <w:rPr>
                <w:sz w:val="14"/>
                <w:szCs w:val="14"/>
                <w:color w:val="auto"/>
              </w:rPr>
            </w:pPr>
          </w:p>
        </w:tc>
        <w:tc>
          <w:tcPr>
            <w:tcW w:w="1700" w:type="dxa"/>
            <w:vAlign w:val="bottom"/>
          </w:tcPr>
          <w:p>
            <w:pPr>
              <w:jc w:val="right"/>
              <w:spacing w:after="0"/>
              <w:rPr>
                <w:sz w:val="20"/>
                <w:szCs w:val="20"/>
                <w:color w:val="auto"/>
              </w:rPr>
            </w:pPr>
            <w:r>
              <w:rPr>
                <w:rFonts w:ascii="Arial" w:cs="Arial" w:eastAsia="Arial" w:hAnsi="Arial"/>
                <w:sz w:val="12"/>
                <w:szCs w:val="12"/>
                <w:color w:val="auto"/>
              </w:rPr>
              <w:t>2,304,464</w:t>
            </w:r>
          </w:p>
        </w:tc>
        <w:tc>
          <w:tcPr>
            <w:tcW w:w="0" w:type="dxa"/>
            <w:vAlign w:val="bottom"/>
          </w:tcPr>
          <w:p>
            <w:pPr>
              <w:spacing w:after="0"/>
              <w:rPr>
                <w:sz w:val="1"/>
                <w:szCs w:val="1"/>
                <w:color w:val="auto"/>
              </w:rPr>
            </w:pPr>
          </w:p>
        </w:tc>
      </w:tr>
      <w:tr>
        <w:trPr>
          <w:trHeight w:val="172"/>
        </w:trPr>
        <w:tc>
          <w:tcPr>
            <w:tcW w:w="7920" w:type="dxa"/>
            <w:vAlign w:val="bottom"/>
            <w:shd w:val="clear" w:color="auto" w:fill="CCEEFF"/>
          </w:tcPr>
          <w:p>
            <w:pPr>
              <w:ind w:left="100"/>
              <w:spacing w:after="0"/>
              <w:rPr>
                <w:sz w:val="20"/>
                <w:szCs w:val="20"/>
                <w:color w:val="auto"/>
              </w:rPr>
            </w:pPr>
            <w:r>
              <w:rPr>
                <w:rFonts w:ascii="Arial" w:cs="Arial" w:eastAsia="Arial" w:hAnsi="Arial"/>
                <w:sz w:val="12"/>
                <w:szCs w:val="12"/>
                <w:color w:val="auto"/>
              </w:rPr>
              <w:t>Noncontrolling interests</w:t>
            </w:r>
          </w:p>
        </w:tc>
        <w:tc>
          <w:tcPr>
            <w:tcW w:w="280" w:type="dxa"/>
            <w:vAlign w:val="bottom"/>
            <w:tcBorders>
              <w:bottom w:val="single" w:sz="8" w:color="auto"/>
            </w:tcBorders>
            <w:shd w:val="clear" w:color="auto" w:fill="CCEEFF"/>
          </w:tcPr>
          <w:p>
            <w:pPr>
              <w:spacing w:after="0"/>
              <w:rPr>
                <w:sz w:val="14"/>
                <w:szCs w:val="14"/>
                <w:color w:val="auto"/>
              </w:rPr>
            </w:pPr>
          </w:p>
        </w:tc>
        <w:tc>
          <w:tcPr>
            <w:tcW w:w="1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2"/>
                <w:szCs w:val="12"/>
                <w:color w:val="auto"/>
              </w:rPr>
              <w:t>4,298</w:t>
            </w:r>
          </w:p>
        </w:tc>
        <w:tc>
          <w:tcPr>
            <w:tcW w:w="100" w:type="dxa"/>
            <w:vAlign w:val="bottom"/>
            <w:shd w:val="clear" w:color="auto" w:fill="CCEEFF"/>
          </w:tcPr>
          <w:p>
            <w:pPr>
              <w:spacing w:after="0"/>
              <w:rPr>
                <w:sz w:val="14"/>
                <w:szCs w:val="14"/>
                <w:color w:val="auto"/>
              </w:rPr>
            </w:pP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2"/>
                <w:szCs w:val="12"/>
                <w:color w:val="auto"/>
              </w:rPr>
              <w:t>10,315</w:t>
            </w:r>
          </w:p>
        </w:tc>
        <w:tc>
          <w:tcPr>
            <w:tcW w:w="0" w:type="dxa"/>
            <w:vAlign w:val="bottom"/>
          </w:tcPr>
          <w:p>
            <w:pPr>
              <w:spacing w:after="0"/>
              <w:rPr>
                <w:sz w:val="1"/>
                <w:szCs w:val="1"/>
                <w:color w:val="auto"/>
              </w:rPr>
            </w:pPr>
          </w:p>
        </w:tc>
      </w:tr>
      <w:tr>
        <w:trPr>
          <w:trHeight w:val="163"/>
        </w:trPr>
        <w:tc>
          <w:tcPr>
            <w:tcW w:w="7920" w:type="dxa"/>
            <w:vAlign w:val="bottom"/>
            <w:tcBorders>
              <w:bottom w:val="single" w:sz="8" w:color="CCEEFF"/>
            </w:tcBorders>
          </w:tcPr>
          <w:p>
            <w:pPr>
              <w:ind w:left="260"/>
              <w:spacing w:after="0"/>
              <w:rPr>
                <w:sz w:val="20"/>
                <w:szCs w:val="20"/>
                <w:color w:val="auto"/>
              </w:rPr>
            </w:pPr>
            <w:r>
              <w:rPr>
                <w:rFonts w:ascii="Arial" w:cs="Arial" w:eastAsia="Arial" w:hAnsi="Arial"/>
                <w:sz w:val="12"/>
                <w:szCs w:val="12"/>
                <w:color w:val="auto"/>
              </w:rPr>
              <w:t>Total equity</w:t>
            </w:r>
          </w:p>
        </w:tc>
        <w:tc>
          <w:tcPr>
            <w:tcW w:w="280" w:type="dxa"/>
            <w:vAlign w:val="bottom"/>
            <w:tcBorders>
              <w:bottom w:val="single" w:sz="8" w:color="auto"/>
            </w:tcBorders>
          </w:tcPr>
          <w:p>
            <w:pPr>
              <w:spacing w:after="0"/>
              <w:rPr>
                <w:sz w:val="14"/>
                <w:szCs w:val="14"/>
                <w:color w:val="auto"/>
              </w:rPr>
            </w:pP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2,330,294</w:t>
            </w:r>
          </w:p>
        </w:tc>
        <w:tc>
          <w:tcPr>
            <w:tcW w:w="100" w:type="dxa"/>
            <w:vAlign w:val="bottom"/>
            <w:tcBorders>
              <w:bottom w:val="single" w:sz="8" w:color="CCEEFF"/>
            </w:tcBorders>
          </w:tcPr>
          <w:p>
            <w:pPr>
              <w:spacing w:after="0"/>
              <w:rPr>
                <w:sz w:val="14"/>
                <w:szCs w:val="14"/>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2,314,779</w:t>
            </w:r>
          </w:p>
        </w:tc>
        <w:tc>
          <w:tcPr>
            <w:tcW w:w="0" w:type="dxa"/>
            <w:vAlign w:val="bottom"/>
          </w:tcPr>
          <w:p>
            <w:pPr>
              <w:spacing w:after="0"/>
              <w:rPr>
                <w:sz w:val="1"/>
                <w:szCs w:val="1"/>
                <w:color w:val="auto"/>
              </w:rPr>
            </w:pPr>
          </w:p>
        </w:tc>
      </w:tr>
      <w:tr>
        <w:trPr>
          <w:trHeight w:val="192"/>
        </w:trPr>
        <w:tc>
          <w:tcPr>
            <w:tcW w:w="79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2"/>
                <w:szCs w:val="12"/>
                <w:color w:val="auto"/>
              </w:rPr>
              <w:t>Total liabilities and equity</w:t>
            </w:r>
          </w:p>
        </w:tc>
        <w:tc>
          <w:tcPr>
            <w:tcW w:w="280" w:type="dxa"/>
            <w:vAlign w:val="bottom"/>
            <w:tcBorders>
              <w:bottom w:val="single" w:sz="8" w:color="auto"/>
            </w:tcBorders>
            <w:shd w:val="clear" w:color="auto" w:fill="CCEEFF"/>
          </w:tcPr>
          <w:p>
            <w:pPr>
              <w:jc w:val="right"/>
              <w:ind w:right="139"/>
              <w:spacing w:after="0"/>
              <w:rPr>
                <w:sz w:val="20"/>
                <w:szCs w:val="20"/>
                <w:color w:val="auto"/>
              </w:rPr>
            </w:pPr>
            <w:r>
              <w:rPr>
                <w:rFonts w:ascii="Arial" w:cs="Arial" w:eastAsia="Arial" w:hAnsi="Arial"/>
                <w:sz w:val="12"/>
                <w:szCs w:val="12"/>
                <w:color w:val="auto"/>
                <w:w w:val="89"/>
              </w:rPr>
              <w:t>$</w:t>
            </w:r>
          </w:p>
        </w:tc>
        <w:tc>
          <w:tcPr>
            <w:tcW w:w="1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2"/>
                <w:szCs w:val="12"/>
                <w:color w:val="auto"/>
              </w:rPr>
              <w:t>24,721,927</w:t>
            </w:r>
          </w:p>
        </w:tc>
        <w:tc>
          <w:tcPr>
            <w:tcW w:w="100" w:type="dxa"/>
            <w:vAlign w:val="bottom"/>
            <w:tcBorders>
              <w:bottom w:val="single" w:sz="8" w:color="CCEEFF"/>
            </w:tcBorders>
            <w:shd w:val="clear" w:color="auto" w:fill="CCEEFF"/>
          </w:tcPr>
          <w:p>
            <w:pPr>
              <w:spacing w:after="0"/>
              <w:rPr>
                <w:sz w:val="16"/>
                <w:szCs w:val="16"/>
                <w:color w:val="auto"/>
              </w:rPr>
            </w:pP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2"/>
                <w:szCs w:val="12"/>
                <w:color w:val="auto"/>
              </w:rPr>
              <w:t>25,220,968</w:t>
            </w:r>
          </w:p>
        </w:tc>
        <w:tc>
          <w:tcPr>
            <w:tcW w:w="0" w:type="dxa"/>
            <w:vAlign w:val="bottom"/>
          </w:tcPr>
          <w:p>
            <w:pPr>
              <w:spacing w:after="0"/>
              <w:rPr>
                <w:sz w:val="1"/>
                <w:szCs w:val="1"/>
                <w:color w:val="auto"/>
              </w:rPr>
            </w:pPr>
          </w:p>
        </w:tc>
      </w:tr>
      <w:tr>
        <w:trPr>
          <w:trHeight w:val="20"/>
        </w:trPr>
        <w:tc>
          <w:tcPr>
            <w:tcW w:w="79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4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7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8"/>
        </w:trPr>
        <w:tc>
          <w:tcPr>
            <w:tcW w:w="79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7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62"/>
        </w:trPr>
        <w:tc>
          <w:tcPr>
            <w:tcW w:w="7920" w:type="dxa"/>
            <w:vAlign w:val="bottom"/>
            <w:shd w:val="clear" w:color="auto" w:fill="CCEEFF"/>
          </w:tcPr>
          <w:p>
            <w:pPr>
              <w:ind w:left="20"/>
              <w:spacing w:after="0"/>
              <w:rPr>
                <w:sz w:val="20"/>
                <w:szCs w:val="20"/>
                <w:color w:val="auto"/>
              </w:rPr>
            </w:pPr>
            <w:r>
              <w:rPr>
                <w:rFonts w:ascii="Arial" w:cs="Arial" w:eastAsia="Arial" w:hAnsi="Arial"/>
                <w:sz w:val="12"/>
                <w:szCs w:val="12"/>
                <w:b w:val="1"/>
                <w:bCs w:val="1"/>
                <w:color w:val="auto"/>
              </w:rPr>
              <w:t>Supplemental information - assets and liabilities of consolidated education lending variable interest entities:</w:t>
            </w:r>
          </w:p>
        </w:tc>
        <w:tc>
          <w:tcPr>
            <w:tcW w:w="280" w:type="dxa"/>
            <w:vAlign w:val="bottom"/>
            <w:shd w:val="clear" w:color="auto" w:fill="CCEEFF"/>
          </w:tcPr>
          <w:p>
            <w:pPr>
              <w:spacing w:after="0"/>
              <w:rPr>
                <w:sz w:val="14"/>
                <w:szCs w:val="14"/>
                <w:color w:val="auto"/>
              </w:rPr>
            </w:pPr>
          </w:p>
        </w:tc>
        <w:tc>
          <w:tcPr>
            <w:tcW w:w="14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7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9"/>
        </w:trPr>
        <w:tc>
          <w:tcPr>
            <w:tcW w:w="7920" w:type="dxa"/>
            <w:vAlign w:val="bottom"/>
          </w:tcPr>
          <w:p>
            <w:pPr>
              <w:ind w:left="180"/>
              <w:spacing w:after="0"/>
              <w:rPr>
                <w:sz w:val="20"/>
                <w:szCs w:val="20"/>
                <w:color w:val="auto"/>
              </w:rPr>
            </w:pPr>
            <w:r>
              <w:rPr>
                <w:rFonts w:ascii="Arial" w:cs="Arial" w:eastAsia="Arial" w:hAnsi="Arial"/>
                <w:sz w:val="12"/>
                <w:szCs w:val="12"/>
                <w:color w:val="auto"/>
              </w:rPr>
              <w:t>Student loans receivable</w:t>
            </w:r>
          </w:p>
        </w:tc>
        <w:tc>
          <w:tcPr>
            <w:tcW w:w="280" w:type="dxa"/>
            <w:vAlign w:val="bottom"/>
          </w:tcPr>
          <w:p>
            <w:pPr>
              <w:jc w:val="right"/>
              <w:ind w:right="139"/>
              <w:spacing w:after="0"/>
              <w:rPr>
                <w:sz w:val="20"/>
                <w:szCs w:val="20"/>
                <w:color w:val="auto"/>
              </w:rPr>
            </w:pPr>
            <w:r>
              <w:rPr>
                <w:rFonts w:ascii="Arial" w:cs="Arial" w:eastAsia="Arial" w:hAnsi="Arial"/>
                <w:sz w:val="12"/>
                <w:szCs w:val="12"/>
                <w:color w:val="auto"/>
                <w:w w:val="89"/>
              </w:rPr>
              <w:t>$</w:t>
            </w:r>
          </w:p>
        </w:tc>
        <w:tc>
          <w:tcPr>
            <w:tcW w:w="1440" w:type="dxa"/>
            <w:vAlign w:val="bottom"/>
          </w:tcPr>
          <w:p>
            <w:pPr>
              <w:jc w:val="right"/>
              <w:spacing w:after="0"/>
              <w:rPr>
                <w:sz w:val="20"/>
                <w:szCs w:val="20"/>
                <w:color w:val="auto"/>
              </w:rPr>
            </w:pPr>
            <w:r>
              <w:rPr>
                <w:rFonts w:ascii="Arial" w:cs="Arial" w:eastAsia="Arial" w:hAnsi="Arial"/>
                <w:sz w:val="12"/>
                <w:szCs w:val="12"/>
                <w:color w:val="auto"/>
              </w:rPr>
              <w:t>21,962,743</w:t>
            </w:r>
          </w:p>
        </w:tc>
        <w:tc>
          <w:tcPr>
            <w:tcW w:w="100" w:type="dxa"/>
            <w:vAlign w:val="bottom"/>
          </w:tcPr>
          <w:p>
            <w:pPr>
              <w:spacing w:after="0"/>
              <w:rPr>
                <w:sz w:val="14"/>
                <w:szCs w:val="14"/>
                <w:color w:val="auto"/>
              </w:rPr>
            </w:pPr>
          </w:p>
        </w:tc>
        <w:tc>
          <w:tcPr>
            <w:tcW w:w="1700" w:type="dxa"/>
            <w:vAlign w:val="bottom"/>
          </w:tcPr>
          <w:p>
            <w:pPr>
              <w:jc w:val="right"/>
              <w:spacing w:after="0"/>
              <w:rPr>
                <w:sz w:val="20"/>
                <w:szCs w:val="20"/>
                <w:color w:val="auto"/>
              </w:rPr>
            </w:pPr>
            <w:r>
              <w:rPr>
                <w:rFonts w:ascii="Arial" w:cs="Arial" w:eastAsia="Arial" w:hAnsi="Arial"/>
                <w:sz w:val="12"/>
                <w:szCs w:val="12"/>
                <w:color w:val="auto"/>
              </w:rPr>
              <w:t>22,359,655</w:t>
            </w:r>
          </w:p>
        </w:tc>
        <w:tc>
          <w:tcPr>
            <w:tcW w:w="0" w:type="dxa"/>
            <w:vAlign w:val="bottom"/>
          </w:tcPr>
          <w:p>
            <w:pPr>
              <w:spacing w:after="0"/>
              <w:rPr>
                <w:sz w:val="1"/>
                <w:szCs w:val="1"/>
                <w:color w:val="auto"/>
              </w:rPr>
            </w:pPr>
          </w:p>
        </w:tc>
      </w:tr>
      <w:tr>
        <w:trPr>
          <w:trHeight w:val="176"/>
        </w:trPr>
        <w:tc>
          <w:tcPr>
            <w:tcW w:w="7920" w:type="dxa"/>
            <w:vAlign w:val="bottom"/>
            <w:shd w:val="clear" w:color="auto" w:fill="CCEEFF"/>
          </w:tcPr>
          <w:p>
            <w:pPr>
              <w:ind w:left="180"/>
              <w:spacing w:after="0"/>
              <w:rPr>
                <w:sz w:val="20"/>
                <w:szCs w:val="20"/>
                <w:color w:val="auto"/>
              </w:rPr>
            </w:pPr>
            <w:r>
              <w:rPr>
                <w:rFonts w:ascii="Arial" w:cs="Arial" w:eastAsia="Arial" w:hAnsi="Arial"/>
                <w:sz w:val="12"/>
                <w:szCs w:val="12"/>
                <w:color w:val="auto"/>
              </w:rPr>
              <w:t>Restricted cash</w:t>
            </w:r>
          </w:p>
        </w:tc>
        <w:tc>
          <w:tcPr>
            <w:tcW w:w="280" w:type="dxa"/>
            <w:vAlign w:val="bottom"/>
            <w:shd w:val="clear" w:color="auto" w:fill="CCEEFF"/>
          </w:tcPr>
          <w:p>
            <w:pPr>
              <w:spacing w:after="0"/>
              <w:rPr>
                <w:sz w:val="15"/>
                <w:szCs w:val="15"/>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2"/>
                <w:szCs w:val="12"/>
                <w:color w:val="auto"/>
              </w:rPr>
              <w:t>732,335</w:t>
            </w:r>
          </w:p>
        </w:tc>
        <w:tc>
          <w:tcPr>
            <w:tcW w:w="100" w:type="dxa"/>
            <w:vAlign w:val="bottom"/>
            <w:shd w:val="clear" w:color="auto" w:fill="CCEEFF"/>
          </w:tcPr>
          <w:p>
            <w:pPr>
              <w:spacing w:after="0"/>
              <w:rPr>
                <w:sz w:val="15"/>
                <w:szCs w:val="15"/>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2"/>
                <w:szCs w:val="12"/>
                <w:color w:val="auto"/>
              </w:rPr>
              <w:t>677,611</w:t>
            </w:r>
          </w:p>
        </w:tc>
        <w:tc>
          <w:tcPr>
            <w:tcW w:w="0" w:type="dxa"/>
            <w:vAlign w:val="bottom"/>
          </w:tcPr>
          <w:p>
            <w:pPr>
              <w:spacing w:after="0"/>
              <w:rPr>
                <w:sz w:val="1"/>
                <w:szCs w:val="1"/>
                <w:color w:val="auto"/>
              </w:rPr>
            </w:pPr>
          </w:p>
        </w:tc>
      </w:tr>
      <w:tr>
        <w:trPr>
          <w:trHeight w:val="169"/>
        </w:trPr>
        <w:tc>
          <w:tcPr>
            <w:tcW w:w="7920" w:type="dxa"/>
            <w:vAlign w:val="bottom"/>
          </w:tcPr>
          <w:p>
            <w:pPr>
              <w:ind w:left="180"/>
              <w:spacing w:after="0"/>
              <w:rPr>
                <w:sz w:val="20"/>
                <w:szCs w:val="20"/>
                <w:color w:val="auto"/>
              </w:rPr>
            </w:pPr>
            <w:r>
              <w:rPr>
                <w:rFonts w:ascii="Arial" w:cs="Arial" w:eastAsia="Arial" w:hAnsi="Arial"/>
                <w:sz w:val="12"/>
                <w:szCs w:val="12"/>
                <w:color w:val="auto"/>
              </w:rPr>
              <w:t>Loan accrued interest receivable and other assets</w:t>
            </w:r>
          </w:p>
        </w:tc>
        <w:tc>
          <w:tcPr>
            <w:tcW w:w="280" w:type="dxa"/>
            <w:vAlign w:val="bottom"/>
          </w:tcPr>
          <w:p>
            <w:pPr>
              <w:spacing w:after="0"/>
              <w:rPr>
                <w:sz w:val="14"/>
                <w:szCs w:val="14"/>
                <w:color w:val="auto"/>
              </w:rPr>
            </w:pPr>
          </w:p>
        </w:tc>
        <w:tc>
          <w:tcPr>
            <w:tcW w:w="1440" w:type="dxa"/>
            <w:vAlign w:val="bottom"/>
          </w:tcPr>
          <w:p>
            <w:pPr>
              <w:jc w:val="right"/>
              <w:spacing w:after="0"/>
              <w:rPr>
                <w:sz w:val="20"/>
                <w:szCs w:val="20"/>
                <w:color w:val="auto"/>
              </w:rPr>
            </w:pPr>
            <w:r>
              <w:rPr>
                <w:rFonts w:ascii="Arial" w:cs="Arial" w:eastAsia="Arial" w:hAnsi="Arial"/>
                <w:sz w:val="12"/>
                <w:szCs w:val="12"/>
                <w:color w:val="auto"/>
              </w:rPr>
              <w:t>716,820</w:t>
            </w:r>
          </w:p>
        </w:tc>
        <w:tc>
          <w:tcPr>
            <w:tcW w:w="100" w:type="dxa"/>
            <w:vAlign w:val="bottom"/>
          </w:tcPr>
          <w:p>
            <w:pPr>
              <w:spacing w:after="0"/>
              <w:rPr>
                <w:sz w:val="14"/>
                <w:szCs w:val="14"/>
                <w:color w:val="auto"/>
              </w:rPr>
            </w:pPr>
          </w:p>
        </w:tc>
        <w:tc>
          <w:tcPr>
            <w:tcW w:w="1700" w:type="dxa"/>
            <w:vAlign w:val="bottom"/>
          </w:tcPr>
          <w:p>
            <w:pPr>
              <w:jc w:val="right"/>
              <w:spacing w:after="0"/>
              <w:rPr>
                <w:sz w:val="20"/>
                <w:szCs w:val="20"/>
                <w:color w:val="auto"/>
              </w:rPr>
            </w:pPr>
            <w:r>
              <w:rPr>
                <w:rFonts w:ascii="Arial" w:cs="Arial" w:eastAsia="Arial" w:hAnsi="Arial"/>
                <w:sz w:val="12"/>
                <w:szCs w:val="12"/>
                <w:color w:val="auto"/>
              </w:rPr>
              <w:t>679,735</w:t>
            </w:r>
          </w:p>
        </w:tc>
        <w:tc>
          <w:tcPr>
            <w:tcW w:w="0" w:type="dxa"/>
            <w:vAlign w:val="bottom"/>
          </w:tcPr>
          <w:p>
            <w:pPr>
              <w:spacing w:after="0"/>
              <w:rPr>
                <w:sz w:val="1"/>
                <w:szCs w:val="1"/>
                <w:color w:val="auto"/>
              </w:rPr>
            </w:pPr>
          </w:p>
        </w:tc>
      </w:tr>
      <w:tr>
        <w:trPr>
          <w:trHeight w:val="176"/>
        </w:trPr>
        <w:tc>
          <w:tcPr>
            <w:tcW w:w="7920" w:type="dxa"/>
            <w:vAlign w:val="bottom"/>
            <w:shd w:val="clear" w:color="auto" w:fill="CCEEFF"/>
          </w:tcPr>
          <w:p>
            <w:pPr>
              <w:ind w:left="180"/>
              <w:spacing w:after="0"/>
              <w:rPr>
                <w:sz w:val="20"/>
                <w:szCs w:val="20"/>
                <w:color w:val="auto"/>
              </w:rPr>
            </w:pPr>
            <w:r>
              <w:rPr>
                <w:rFonts w:ascii="Arial" w:cs="Arial" w:eastAsia="Arial" w:hAnsi="Arial"/>
                <w:sz w:val="12"/>
                <w:szCs w:val="12"/>
                <w:color w:val="auto"/>
              </w:rPr>
              <w:t>Bonds and notes payable</w:t>
            </w:r>
          </w:p>
        </w:tc>
        <w:tc>
          <w:tcPr>
            <w:tcW w:w="280" w:type="dxa"/>
            <w:vAlign w:val="bottom"/>
            <w:shd w:val="clear" w:color="auto" w:fill="CCEEFF"/>
          </w:tcPr>
          <w:p>
            <w:pPr>
              <w:spacing w:after="0"/>
              <w:rPr>
                <w:sz w:val="15"/>
                <w:szCs w:val="15"/>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2"/>
                <w:szCs w:val="12"/>
                <w:color w:val="auto"/>
              </w:rPr>
              <w:t>(21,775,724)</w:t>
            </w:r>
          </w:p>
        </w:tc>
        <w:tc>
          <w:tcPr>
            <w:tcW w:w="100" w:type="dxa"/>
            <w:vAlign w:val="bottom"/>
            <w:shd w:val="clear" w:color="auto" w:fill="CCEEFF"/>
          </w:tcPr>
          <w:p>
            <w:pPr>
              <w:spacing w:after="0"/>
              <w:rPr>
                <w:sz w:val="15"/>
                <w:szCs w:val="15"/>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2"/>
                <w:szCs w:val="12"/>
                <w:color w:val="auto"/>
              </w:rPr>
              <w:t>(22,146,374)</w:t>
            </w:r>
          </w:p>
        </w:tc>
        <w:tc>
          <w:tcPr>
            <w:tcW w:w="0" w:type="dxa"/>
            <w:vAlign w:val="bottom"/>
          </w:tcPr>
          <w:p>
            <w:pPr>
              <w:spacing w:after="0"/>
              <w:rPr>
                <w:sz w:val="1"/>
                <w:szCs w:val="1"/>
                <w:color w:val="auto"/>
              </w:rPr>
            </w:pPr>
          </w:p>
        </w:tc>
      </w:tr>
      <w:tr>
        <w:trPr>
          <w:trHeight w:val="169"/>
        </w:trPr>
        <w:tc>
          <w:tcPr>
            <w:tcW w:w="7920" w:type="dxa"/>
            <w:vAlign w:val="bottom"/>
            <w:tcBorders>
              <w:bottom w:val="single" w:sz="8" w:color="CCEEFF"/>
            </w:tcBorders>
          </w:tcPr>
          <w:p>
            <w:pPr>
              <w:ind w:left="180"/>
              <w:spacing w:after="0"/>
              <w:rPr>
                <w:sz w:val="20"/>
                <w:szCs w:val="20"/>
                <w:color w:val="auto"/>
              </w:rPr>
            </w:pPr>
            <w:r>
              <w:rPr>
                <w:rFonts w:ascii="Arial" w:cs="Arial" w:eastAsia="Arial" w:hAnsi="Arial"/>
                <w:sz w:val="12"/>
                <w:szCs w:val="12"/>
                <w:color w:val="auto"/>
              </w:rPr>
              <w:t>Accrued interest payable and other liabilities</w:t>
            </w:r>
          </w:p>
        </w:tc>
        <w:tc>
          <w:tcPr>
            <w:tcW w:w="280" w:type="dxa"/>
            <w:vAlign w:val="bottom"/>
            <w:tcBorders>
              <w:bottom w:val="single" w:sz="8" w:color="auto"/>
            </w:tcBorders>
          </w:tcPr>
          <w:p>
            <w:pPr>
              <w:spacing w:after="0"/>
              <w:rPr>
                <w:sz w:val="14"/>
                <w:szCs w:val="14"/>
                <w:color w:val="auto"/>
              </w:rPr>
            </w:pP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(189,112)</w:t>
            </w:r>
          </w:p>
        </w:tc>
        <w:tc>
          <w:tcPr>
            <w:tcW w:w="100" w:type="dxa"/>
            <w:vAlign w:val="bottom"/>
            <w:tcBorders>
              <w:bottom w:val="single" w:sz="8" w:color="CCEEFF"/>
            </w:tcBorders>
          </w:tcPr>
          <w:p>
            <w:pPr>
              <w:spacing w:after="0"/>
              <w:rPr>
                <w:sz w:val="14"/>
                <w:szCs w:val="14"/>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(163,327)</w:t>
            </w:r>
          </w:p>
        </w:tc>
        <w:tc>
          <w:tcPr>
            <w:tcW w:w="0" w:type="dxa"/>
            <w:vAlign w:val="bottom"/>
          </w:tcPr>
          <w:p>
            <w:pPr>
              <w:spacing w:after="0"/>
              <w:rPr>
                <w:sz w:val="1"/>
                <w:szCs w:val="1"/>
                <w:color w:val="auto"/>
              </w:rPr>
            </w:pPr>
          </w:p>
        </w:tc>
      </w:tr>
      <w:tr>
        <w:trPr>
          <w:trHeight w:val="192"/>
        </w:trPr>
        <w:tc>
          <w:tcPr>
            <w:tcW w:w="79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2"/>
                <w:szCs w:val="12"/>
                <w:color w:val="auto"/>
              </w:rPr>
              <w:t>Net assets of consolidated education lending variable interest entities</w:t>
            </w:r>
          </w:p>
        </w:tc>
        <w:tc>
          <w:tcPr>
            <w:tcW w:w="280" w:type="dxa"/>
            <w:vAlign w:val="bottom"/>
            <w:tcBorders>
              <w:bottom w:val="single" w:sz="8" w:color="auto"/>
            </w:tcBorders>
            <w:shd w:val="clear" w:color="auto" w:fill="CCEEFF"/>
          </w:tcPr>
          <w:p>
            <w:pPr>
              <w:jc w:val="right"/>
              <w:ind w:right="139"/>
              <w:spacing w:after="0"/>
              <w:rPr>
                <w:sz w:val="20"/>
                <w:szCs w:val="20"/>
                <w:color w:val="auto"/>
              </w:rPr>
            </w:pPr>
            <w:r>
              <w:rPr>
                <w:rFonts w:ascii="Arial" w:cs="Arial" w:eastAsia="Arial" w:hAnsi="Arial"/>
                <w:sz w:val="12"/>
                <w:szCs w:val="12"/>
                <w:color w:val="auto"/>
                <w:w w:val="89"/>
              </w:rPr>
              <w:t>$</w:t>
            </w:r>
          </w:p>
        </w:tc>
        <w:tc>
          <w:tcPr>
            <w:tcW w:w="1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2"/>
                <w:szCs w:val="12"/>
                <w:color w:val="auto"/>
              </w:rPr>
              <w:t>1,447,062</w:t>
            </w:r>
          </w:p>
        </w:tc>
        <w:tc>
          <w:tcPr>
            <w:tcW w:w="100" w:type="dxa"/>
            <w:vAlign w:val="bottom"/>
            <w:tcBorders>
              <w:bottom w:val="single" w:sz="8" w:color="CCEEFF"/>
            </w:tcBorders>
            <w:shd w:val="clear" w:color="auto" w:fill="CCEEFF"/>
          </w:tcPr>
          <w:p>
            <w:pPr>
              <w:spacing w:after="0"/>
              <w:rPr>
                <w:sz w:val="16"/>
                <w:szCs w:val="16"/>
                <w:color w:val="auto"/>
              </w:rPr>
            </w:pP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2"/>
                <w:szCs w:val="12"/>
                <w:color w:val="auto"/>
              </w:rPr>
              <w:t>1,407,300</w:t>
            </w:r>
          </w:p>
        </w:tc>
        <w:tc>
          <w:tcPr>
            <w:tcW w:w="0" w:type="dxa"/>
            <w:vAlign w:val="bottom"/>
          </w:tcPr>
          <w:p>
            <w:pPr>
              <w:spacing w:after="0"/>
              <w:rPr>
                <w:sz w:val="1"/>
                <w:szCs w:val="1"/>
                <w:color w:val="auto"/>
              </w:rPr>
            </w:pPr>
          </w:p>
        </w:tc>
      </w:tr>
      <w:tr>
        <w:trPr>
          <w:trHeight w:val="20"/>
        </w:trPr>
        <w:tc>
          <w:tcPr>
            <w:tcW w:w="79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4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7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80" w:lineRule="exact"/>
        <w:rPr>
          <w:sz w:val="20"/>
          <w:szCs w:val="20"/>
          <w:color w:val="auto"/>
        </w:rPr>
      </w:pPr>
    </w:p>
    <w:p>
      <w:pPr>
        <w:spacing w:after="0"/>
        <w:rPr>
          <w:sz w:val="20"/>
          <w:szCs w:val="20"/>
          <w:color w:val="auto"/>
        </w:rPr>
      </w:pPr>
      <w:r>
        <w:rPr>
          <w:rFonts w:ascii="Arial" w:cs="Arial" w:eastAsia="Arial" w:hAnsi="Arial"/>
          <w:sz w:val="13"/>
          <w:szCs w:val="13"/>
          <w:color w:val="auto"/>
        </w:rPr>
        <w:t>See accompanying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jc w:val="center"/>
        <w:ind w:right="-19"/>
        <w:spacing w:after="0"/>
        <w:rPr>
          <w:sz w:val="20"/>
          <w:szCs w:val="20"/>
          <w:color w:val="auto"/>
        </w:rPr>
      </w:pPr>
      <w:r>
        <w:rPr>
          <w:rFonts w:ascii="Arial" w:cs="Arial" w:eastAsia="Arial" w:hAnsi="Arial"/>
          <w:sz w:val="14"/>
          <w:szCs w:val="14"/>
          <w:color w:val="auto"/>
        </w:rPr>
        <w:t>2</w:t>
      </w:r>
    </w:p>
    <w:p>
      <w:pPr>
        <w:sectPr>
          <w:pgSz w:w="11900" w:h="16838" w:orient="portrait"/>
          <w:cols w:equalWidth="0" w:num="1">
            <w:col w:w="11440"/>
          </w:cols>
          <w:pgMar w:left="220" w:top="739" w:right="239" w:bottom="1440" w:gutter="0" w:footer="0" w:header="0"/>
        </w:sectPr>
      </w:pPr>
    </w:p>
    <w:bookmarkStart w:id="3" w:name="page4"/>
    <w:bookmarkEnd w:id="3"/>
    <w:p>
      <w:pPr>
        <w:jc w:val="center"/>
        <w:spacing w:after="0"/>
        <w:rPr>
          <w:sz w:val="20"/>
          <w:szCs w:val="20"/>
          <w:color w:val="auto"/>
        </w:rPr>
      </w:pPr>
      <w:r>
        <w:rPr>
          <w:rFonts w:ascii="Arial" w:cs="Arial" w:eastAsia="Arial" w:hAnsi="Arial"/>
          <w:sz w:val="14"/>
          <w:szCs w:val="14"/>
          <w:b w:val="1"/>
          <w:bCs w:val="1"/>
          <w:color w:val="auto"/>
        </w:rPr>
        <w:t>NELNET, INC. AND SUBSIDIARIES</w:t>
      </w:r>
    </w:p>
    <w:p>
      <w:pPr>
        <w:spacing w:after="0" w:line="55"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CONSOLIDATED STATEMENTS OF INCOME</w:t>
      </w:r>
    </w:p>
    <w:p>
      <w:pPr>
        <w:spacing w:after="0" w:line="55"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(Dollars in thousands, except share data)</w:t>
      </w:r>
    </w:p>
    <w:p>
      <w:pPr>
        <w:spacing w:after="0" w:line="55"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(unaudited)</w:t>
      </w:r>
    </w:p>
    <w:p>
      <w:pPr>
        <w:spacing w:after="0" w:line="59" w:lineRule="exact"/>
        <w:rPr>
          <w:sz w:val="20"/>
          <w:szCs w:val="20"/>
          <w:color w:val="auto"/>
        </w:rPr>
      </w:pPr>
    </w:p>
    <w:tbl>
      <w:tblPr>
        <w:tblLayout w:type="fixed"/>
        <w:tblInd w:w="20" w:type="dxa"/>
        <w:tblCellMar>
          <w:top w:w="0" w:type="dxa"/>
          <w:left w:w="0" w:type="dxa"/>
          <w:bottom w:w="0" w:type="dxa"/>
          <w:right w:w="0" w:type="dxa"/>
        </w:tblCellMar>
      </w:tblPr>
      <w:tr>
        <w:trPr>
          <w:trHeight w:val="167"/>
        </w:trPr>
        <w:tc>
          <w:tcPr>
            <w:tcW w:w="79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380" w:type="dxa"/>
            <w:vAlign w:val="bottom"/>
            <w:gridSpan w:val="3"/>
          </w:tcPr>
          <w:p>
            <w:pPr>
              <w:jc w:val="center"/>
              <w:spacing w:after="0"/>
              <w:rPr>
                <w:sz w:val="20"/>
                <w:szCs w:val="20"/>
                <w:color w:val="auto"/>
              </w:rPr>
            </w:pPr>
            <w:r>
              <w:rPr>
                <w:rFonts w:ascii="Arial" w:cs="Arial" w:eastAsia="Arial" w:hAnsi="Arial"/>
                <w:sz w:val="13"/>
                <w:szCs w:val="13"/>
                <w:b w:val="1"/>
                <w:bCs w:val="1"/>
                <w:color w:val="auto"/>
                <w:w w:val="89"/>
              </w:rPr>
              <w:t>Three months ended</w:t>
            </w:r>
          </w:p>
        </w:tc>
        <w:tc>
          <w:tcPr>
            <w:tcW w:w="1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5"/>
        </w:trPr>
        <w:tc>
          <w:tcPr>
            <w:tcW w:w="79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380" w:type="dxa"/>
            <w:vAlign w:val="bottom"/>
            <w:gridSpan w:val="3"/>
          </w:tcPr>
          <w:p>
            <w:pPr>
              <w:jc w:val="center"/>
              <w:spacing w:after="0"/>
              <w:rPr>
                <w:sz w:val="20"/>
                <w:szCs w:val="20"/>
                <w:color w:val="auto"/>
              </w:rPr>
            </w:pPr>
            <w:r>
              <w:rPr>
                <w:rFonts w:ascii="Arial" w:cs="Arial" w:eastAsia="Arial" w:hAnsi="Arial"/>
                <w:sz w:val="13"/>
                <w:szCs w:val="13"/>
                <w:b w:val="1"/>
                <w:bCs w:val="1"/>
                <w:color w:val="auto"/>
                <w:w w:val="93"/>
              </w:rPr>
              <w:t>March 31,</w:t>
            </w:r>
          </w:p>
        </w:tc>
        <w:tc>
          <w:tcPr>
            <w:tcW w:w="1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
        </w:trPr>
        <w:tc>
          <w:tcPr>
            <w:tcW w:w="7920" w:type="dxa"/>
            <w:vAlign w:val="bottom"/>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69"/>
        </w:trPr>
        <w:tc>
          <w:tcPr>
            <w:tcW w:w="7920" w:type="dxa"/>
            <w:vAlign w:val="bottom"/>
          </w:tcPr>
          <w:p>
            <w:pPr>
              <w:spacing w:after="0"/>
              <w:rPr>
                <w:sz w:val="14"/>
                <w:szCs w:val="14"/>
                <w:color w:val="auto"/>
              </w:rPr>
            </w:pPr>
          </w:p>
        </w:tc>
        <w:tc>
          <w:tcPr>
            <w:tcW w:w="1040" w:type="dxa"/>
            <w:vAlign w:val="bottom"/>
          </w:tcPr>
          <w:p>
            <w:pPr>
              <w:jc w:val="right"/>
              <w:spacing w:after="0"/>
              <w:rPr>
                <w:sz w:val="20"/>
                <w:szCs w:val="20"/>
                <w:color w:val="auto"/>
              </w:rPr>
            </w:pPr>
            <w:r>
              <w:rPr>
                <w:rFonts w:ascii="Arial" w:cs="Arial" w:eastAsia="Arial" w:hAnsi="Arial"/>
                <w:sz w:val="13"/>
                <w:szCs w:val="13"/>
                <w:b w:val="1"/>
                <w:bCs w:val="1"/>
                <w:color w:val="auto"/>
              </w:rPr>
              <w:t>2019</w:t>
            </w:r>
          </w:p>
        </w:tc>
        <w:tc>
          <w:tcPr>
            <w:tcW w:w="6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100" w:type="dxa"/>
            <w:vAlign w:val="bottom"/>
          </w:tcPr>
          <w:p>
            <w:pPr>
              <w:jc w:val="right"/>
              <w:ind w:right="675"/>
              <w:spacing w:after="0"/>
              <w:rPr>
                <w:sz w:val="20"/>
                <w:szCs w:val="20"/>
                <w:color w:val="auto"/>
              </w:rPr>
            </w:pPr>
            <w:r>
              <w:rPr>
                <w:rFonts w:ascii="Arial" w:cs="Arial" w:eastAsia="Arial" w:hAnsi="Arial"/>
                <w:sz w:val="13"/>
                <w:szCs w:val="13"/>
                <w:b w:val="1"/>
                <w:bCs w:val="1"/>
                <w:color w:val="auto"/>
              </w:rPr>
              <w:t>2018</w:t>
            </w:r>
          </w:p>
        </w:tc>
        <w:tc>
          <w:tcPr>
            <w:tcW w:w="0" w:type="dxa"/>
            <w:vAlign w:val="bottom"/>
          </w:tcPr>
          <w:p>
            <w:pPr>
              <w:spacing w:after="0"/>
              <w:rPr>
                <w:sz w:val="1"/>
                <w:szCs w:val="1"/>
                <w:color w:val="auto"/>
              </w:rPr>
            </w:pPr>
          </w:p>
        </w:tc>
      </w:tr>
      <w:tr>
        <w:trPr>
          <w:trHeight w:val="27"/>
        </w:trPr>
        <w:tc>
          <w:tcPr>
            <w:tcW w:w="7920" w:type="dxa"/>
            <w:vAlign w:val="bottom"/>
            <w:tcBorders>
              <w:bottom w:val="single" w:sz="8" w:color="CCEEFF"/>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76"/>
        </w:trPr>
        <w:tc>
          <w:tcPr>
            <w:tcW w:w="79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Interest income:</w:t>
            </w:r>
          </w:p>
        </w:tc>
        <w:tc>
          <w:tcPr>
            <w:tcW w:w="1040" w:type="dxa"/>
            <w:vAlign w:val="bottom"/>
            <w:tcBorders>
              <w:bottom w:val="single" w:sz="8" w:color="CCEEFF"/>
            </w:tcBorders>
            <w:shd w:val="clear" w:color="auto" w:fill="CCEEFF"/>
          </w:tcPr>
          <w:p>
            <w:pPr>
              <w:spacing w:after="0"/>
              <w:rPr>
                <w:sz w:val="15"/>
                <w:szCs w:val="15"/>
                <w:color w:val="auto"/>
              </w:rPr>
            </w:pPr>
          </w:p>
        </w:tc>
        <w:tc>
          <w:tcPr>
            <w:tcW w:w="680" w:type="dxa"/>
            <w:vAlign w:val="bottom"/>
            <w:tcBorders>
              <w:bottom w:val="single" w:sz="8" w:color="CCEEFF"/>
            </w:tcBorders>
            <w:shd w:val="clear" w:color="auto" w:fill="CCEEFF"/>
          </w:tcPr>
          <w:p>
            <w:pPr>
              <w:spacing w:after="0"/>
              <w:rPr>
                <w:sz w:val="15"/>
                <w:szCs w:val="15"/>
                <w:color w:val="auto"/>
              </w:rPr>
            </w:pPr>
          </w:p>
        </w:tc>
        <w:tc>
          <w:tcPr>
            <w:tcW w:w="80" w:type="dxa"/>
            <w:vAlign w:val="bottom"/>
            <w:tcBorders>
              <w:bottom w:val="single" w:sz="8" w:color="CCEEFF"/>
            </w:tcBorders>
            <w:shd w:val="clear" w:color="auto" w:fill="CCEEFF"/>
          </w:tcPr>
          <w:p>
            <w:pPr>
              <w:spacing w:after="0"/>
              <w:rPr>
                <w:sz w:val="15"/>
                <w:szCs w:val="15"/>
                <w:color w:val="auto"/>
              </w:rPr>
            </w:pPr>
          </w:p>
        </w:tc>
        <w:tc>
          <w:tcPr>
            <w:tcW w:w="620" w:type="dxa"/>
            <w:vAlign w:val="bottom"/>
            <w:tcBorders>
              <w:bottom w:val="single" w:sz="8" w:color="CCEEFF"/>
            </w:tcBorders>
            <w:shd w:val="clear" w:color="auto" w:fill="CCEEFF"/>
          </w:tcPr>
          <w:p>
            <w:pPr>
              <w:spacing w:after="0"/>
              <w:rPr>
                <w:sz w:val="15"/>
                <w:szCs w:val="15"/>
                <w:color w:val="auto"/>
              </w:rPr>
            </w:pPr>
          </w:p>
        </w:tc>
        <w:tc>
          <w:tcPr>
            <w:tcW w:w="1100" w:type="dxa"/>
            <w:vAlign w:val="bottom"/>
            <w:tcBorders>
              <w:bottom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7920" w:type="dxa"/>
            <w:vAlign w:val="bottom"/>
          </w:tcPr>
          <w:p>
            <w:pPr>
              <w:ind w:left="80"/>
              <w:spacing w:after="0"/>
              <w:rPr>
                <w:sz w:val="20"/>
                <w:szCs w:val="20"/>
                <w:color w:val="auto"/>
              </w:rPr>
            </w:pPr>
            <w:r>
              <w:rPr>
                <w:rFonts w:ascii="Arial" w:cs="Arial" w:eastAsia="Arial" w:hAnsi="Arial"/>
                <w:sz w:val="13"/>
                <w:szCs w:val="13"/>
                <w:color w:val="auto"/>
              </w:rPr>
              <w:t>Loan interest</w:t>
            </w:r>
          </w:p>
        </w:tc>
        <w:tc>
          <w:tcPr>
            <w:tcW w:w="1040" w:type="dxa"/>
            <w:vAlign w:val="bottom"/>
          </w:tcPr>
          <w:p>
            <w:pPr>
              <w:jc w:val="right"/>
              <w:ind w:right="895"/>
              <w:spacing w:after="0"/>
              <w:rPr>
                <w:sz w:val="20"/>
                <w:szCs w:val="20"/>
                <w:color w:val="auto"/>
              </w:rPr>
            </w:pPr>
            <w:r>
              <w:rPr>
                <w:rFonts w:ascii="Arial" w:cs="Arial" w:eastAsia="Arial" w:hAnsi="Arial"/>
                <w:sz w:val="13"/>
                <w:szCs w:val="13"/>
                <w:color w:val="auto"/>
                <w:w w:val="82"/>
              </w:rPr>
              <w:t>$</w:t>
            </w:r>
          </w:p>
        </w:tc>
        <w:tc>
          <w:tcPr>
            <w:tcW w:w="680" w:type="dxa"/>
            <w:vAlign w:val="bottom"/>
          </w:tcPr>
          <w:p>
            <w:pPr>
              <w:jc w:val="right"/>
              <w:spacing w:after="0"/>
              <w:rPr>
                <w:sz w:val="20"/>
                <w:szCs w:val="20"/>
                <w:color w:val="auto"/>
              </w:rPr>
            </w:pPr>
            <w:r>
              <w:rPr>
                <w:rFonts w:ascii="Arial" w:cs="Arial" w:eastAsia="Arial" w:hAnsi="Arial"/>
                <w:sz w:val="13"/>
                <w:szCs w:val="13"/>
                <w:color w:val="auto"/>
              </w:rPr>
              <w:t>242,333</w:t>
            </w:r>
          </w:p>
        </w:tc>
        <w:tc>
          <w:tcPr>
            <w:tcW w:w="8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100" w:type="dxa"/>
            <w:vAlign w:val="bottom"/>
          </w:tcPr>
          <w:p>
            <w:pPr>
              <w:jc w:val="right"/>
              <w:spacing w:after="0"/>
              <w:rPr>
                <w:sz w:val="20"/>
                <w:szCs w:val="20"/>
                <w:color w:val="auto"/>
              </w:rPr>
            </w:pPr>
            <w:r>
              <w:rPr>
                <w:rFonts w:ascii="Arial" w:cs="Arial" w:eastAsia="Arial" w:hAnsi="Arial"/>
                <w:sz w:val="13"/>
                <w:szCs w:val="13"/>
                <w:color w:val="auto"/>
              </w:rPr>
              <w:t>197,723</w:t>
            </w:r>
          </w:p>
        </w:tc>
        <w:tc>
          <w:tcPr>
            <w:tcW w:w="0" w:type="dxa"/>
            <w:vAlign w:val="bottom"/>
          </w:tcPr>
          <w:p>
            <w:pPr>
              <w:spacing w:after="0"/>
              <w:rPr>
                <w:sz w:val="1"/>
                <w:szCs w:val="1"/>
                <w:color w:val="auto"/>
              </w:rPr>
            </w:pPr>
          </w:p>
        </w:tc>
      </w:tr>
      <w:tr>
        <w:trPr>
          <w:trHeight w:val="27"/>
        </w:trPr>
        <w:tc>
          <w:tcPr>
            <w:tcW w:w="79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680" w:type="dxa"/>
            <w:vAlign w:val="bottom"/>
          </w:tcPr>
          <w:p>
            <w:pPr>
              <w:spacing w:after="0"/>
              <w:rPr>
                <w:sz w:val="2"/>
                <w:szCs w:val="2"/>
                <w:color w:val="auto"/>
              </w:rPr>
            </w:pPr>
          </w:p>
        </w:tc>
        <w:tc>
          <w:tcPr>
            <w:tcW w:w="80" w:type="dxa"/>
            <w:vAlign w:val="bottom"/>
          </w:tcPr>
          <w:p>
            <w:pPr>
              <w:spacing w:after="0"/>
              <w:rPr>
                <w:sz w:val="2"/>
                <w:szCs w:val="2"/>
                <w:color w:val="auto"/>
              </w:rPr>
            </w:pPr>
          </w:p>
        </w:tc>
        <w:tc>
          <w:tcPr>
            <w:tcW w:w="6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5"/>
        </w:trPr>
        <w:tc>
          <w:tcPr>
            <w:tcW w:w="7920" w:type="dxa"/>
            <w:vAlign w:val="bottom"/>
            <w:tcBorders>
              <w:bottom w:val="single" w:sz="8" w:color="CCEEFF"/>
            </w:tcBorders>
            <w:shd w:val="clear" w:color="auto" w:fill="CCEEFF"/>
          </w:tcPr>
          <w:p>
            <w:pPr>
              <w:ind w:left="80"/>
              <w:spacing w:after="0"/>
              <w:rPr>
                <w:sz w:val="20"/>
                <w:szCs w:val="20"/>
                <w:color w:val="auto"/>
              </w:rPr>
            </w:pPr>
            <w:r>
              <w:rPr>
                <w:rFonts w:ascii="Arial" w:cs="Arial" w:eastAsia="Arial" w:hAnsi="Arial"/>
                <w:sz w:val="13"/>
                <w:szCs w:val="13"/>
                <w:color w:val="auto"/>
              </w:rPr>
              <w:t>Investment interest</w:t>
            </w:r>
          </w:p>
        </w:tc>
        <w:tc>
          <w:tcPr>
            <w:tcW w:w="1040" w:type="dxa"/>
            <w:vAlign w:val="bottom"/>
            <w:tcBorders>
              <w:bottom w:val="single" w:sz="8" w:color="CCEEFF"/>
            </w:tcBorders>
            <w:shd w:val="clear" w:color="auto" w:fill="CCEEFF"/>
          </w:tcPr>
          <w:p>
            <w:pPr>
              <w:spacing w:after="0"/>
              <w:rPr>
                <w:sz w:val="17"/>
                <w:szCs w:val="17"/>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8,253</w:t>
            </w:r>
          </w:p>
        </w:tc>
        <w:tc>
          <w:tcPr>
            <w:tcW w:w="80" w:type="dxa"/>
            <w:vAlign w:val="bottom"/>
            <w:tcBorders>
              <w:bottom w:val="single" w:sz="8" w:color="CCEEFF"/>
            </w:tcBorders>
            <w:shd w:val="clear" w:color="auto" w:fill="CCEEFF"/>
          </w:tcPr>
          <w:p>
            <w:pPr>
              <w:spacing w:after="0"/>
              <w:rPr>
                <w:sz w:val="17"/>
                <w:szCs w:val="17"/>
                <w:color w:val="auto"/>
              </w:rPr>
            </w:pPr>
          </w:p>
        </w:tc>
        <w:tc>
          <w:tcPr>
            <w:tcW w:w="620" w:type="dxa"/>
            <w:vAlign w:val="bottom"/>
            <w:tcBorders>
              <w:bottom w:val="single" w:sz="8" w:color="CCEEFF"/>
            </w:tcBorders>
            <w:shd w:val="clear" w:color="auto" w:fill="CCEEFF"/>
          </w:tcPr>
          <w:p>
            <w:pPr>
              <w:spacing w:after="0"/>
              <w:rPr>
                <w:sz w:val="17"/>
                <w:szCs w:val="17"/>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5,134</w:t>
            </w:r>
          </w:p>
        </w:tc>
        <w:tc>
          <w:tcPr>
            <w:tcW w:w="0" w:type="dxa"/>
            <w:vAlign w:val="bottom"/>
          </w:tcPr>
          <w:p>
            <w:pPr>
              <w:spacing w:after="0"/>
              <w:rPr>
                <w:sz w:val="1"/>
                <w:szCs w:val="1"/>
                <w:color w:val="auto"/>
              </w:rPr>
            </w:pPr>
          </w:p>
        </w:tc>
      </w:tr>
      <w:tr>
        <w:trPr>
          <w:trHeight w:val="169"/>
        </w:trPr>
        <w:tc>
          <w:tcPr>
            <w:tcW w:w="7920" w:type="dxa"/>
            <w:vAlign w:val="bottom"/>
          </w:tcPr>
          <w:p>
            <w:pPr>
              <w:ind w:left="160"/>
              <w:spacing w:after="0"/>
              <w:rPr>
                <w:sz w:val="20"/>
                <w:szCs w:val="20"/>
                <w:color w:val="auto"/>
              </w:rPr>
            </w:pPr>
            <w:r>
              <w:rPr>
                <w:rFonts w:ascii="Arial" w:cs="Arial" w:eastAsia="Arial" w:hAnsi="Arial"/>
                <w:sz w:val="13"/>
                <w:szCs w:val="13"/>
                <w:color w:val="auto"/>
              </w:rPr>
              <w:t>Total interest income</w:t>
            </w:r>
          </w:p>
        </w:tc>
        <w:tc>
          <w:tcPr>
            <w:tcW w:w="1040" w:type="dxa"/>
            <w:vAlign w:val="bottom"/>
            <w:tcBorders>
              <w:top w:val="single" w:sz="8" w:color="auto"/>
            </w:tcBorders>
          </w:tcPr>
          <w:p>
            <w:pPr>
              <w:spacing w:after="0"/>
              <w:rPr>
                <w:sz w:val="14"/>
                <w:szCs w:val="14"/>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250,586</w:t>
            </w:r>
          </w:p>
        </w:tc>
        <w:tc>
          <w:tcPr>
            <w:tcW w:w="80" w:type="dxa"/>
            <w:vAlign w:val="bottom"/>
          </w:tcPr>
          <w:p>
            <w:pPr>
              <w:spacing w:after="0"/>
              <w:rPr>
                <w:sz w:val="14"/>
                <w:szCs w:val="14"/>
                <w:color w:val="auto"/>
              </w:rPr>
            </w:pPr>
          </w:p>
        </w:tc>
        <w:tc>
          <w:tcPr>
            <w:tcW w:w="620" w:type="dxa"/>
            <w:vAlign w:val="bottom"/>
            <w:tcBorders>
              <w:top w:val="single" w:sz="8" w:color="auto"/>
            </w:tcBorders>
          </w:tcPr>
          <w:p>
            <w:pPr>
              <w:spacing w:after="0"/>
              <w:rPr>
                <w:sz w:val="14"/>
                <w:szCs w:val="14"/>
                <w:color w:val="auto"/>
              </w:rPr>
            </w:pP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202,857</w:t>
            </w:r>
          </w:p>
        </w:tc>
        <w:tc>
          <w:tcPr>
            <w:tcW w:w="0" w:type="dxa"/>
            <w:vAlign w:val="bottom"/>
          </w:tcPr>
          <w:p>
            <w:pPr>
              <w:spacing w:after="0"/>
              <w:rPr>
                <w:sz w:val="1"/>
                <w:szCs w:val="1"/>
                <w:color w:val="auto"/>
              </w:rPr>
            </w:pPr>
          </w:p>
        </w:tc>
      </w:tr>
      <w:tr>
        <w:trPr>
          <w:trHeight w:val="27"/>
        </w:trPr>
        <w:tc>
          <w:tcPr>
            <w:tcW w:w="79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680" w:type="dxa"/>
            <w:vAlign w:val="bottom"/>
          </w:tcPr>
          <w:p>
            <w:pPr>
              <w:spacing w:after="0"/>
              <w:rPr>
                <w:sz w:val="2"/>
                <w:szCs w:val="2"/>
                <w:color w:val="auto"/>
              </w:rPr>
            </w:pPr>
          </w:p>
        </w:tc>
        <w:tc>
          <w:tcPr>
            <w:tcW w:w="80" w:type="dxa"/>
            <w:vAlign w:val="bottom"/>
          </w:tcPr>
          <w:p>
            <w:pPr>
              <w:spacing w:after="0"/>
              <w:rPr>
                <w:sz w:val="2"/>
                <w:szCs w:val="2"/>
                <w:color w:val="auto"/>
              </w:rPr>
            </w:pPr>
          </w:p>
        </w:tc>
        <w:tc>
          <w:tcPr>
            <w:tcW w:w="6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5"/>
        </w:trPr>
        <w:tc>
          <w:tcPr>
            <w:tcW w:w="79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Interest expense:</w:t>
            </w:r>
          </w:p>
        </w:tc>
        <w:tc>
          <w:tcPr>
            <w:tcW w:w="1040" w:type="dxa"/>
            <w:vAlign w:val="bottom"/>
            <w:tcBorders>
              <w:bottom w:val="single" w:sz="8" w:color="CCEEFF"/>
            </w:tcBorders>
            <w:shd w:val="clear" w:color="auto" w:fill="CCEEFF"/>
          </w:tcPr>
          <w:p>
            <w:pPr>
              <w:spacing w:after="0"/>
              <w:rPr>
                <w:sz w:val="16"/>
                <w:szCs w:val="16"/>
                <w:color w:val="auto"/>
              </w:rPr>
            </w:pPr>
          </w:p>
        </w:tc>
        <w:tc>
          <w:tcPr>
            <w:tcW w:w="680" w:type="dxa"/>
            <w:vAlign w:val="bottom"/>
            <w:tcBorders>
              <w:bottom w:val="single" w:sz="8" w:color="CCEEFF"/>
            </w:tcBorders>
            <w:shd w:val="clear" w:color="auto" w:fill="CCEEFF"/>
          </w:tcPr>
          <w:p>
            <w:pPr>
              <w:spacing w:after="0"/>
              <w:rPr>
                <w:sz w:val="16"/>
                <w:szCs w:val="16"/>
                <w:color w:val="auto"/>
              </w:rPr>
            </w:pPr>
          </w:p>
        </w:tc>
        <w:tc>
          <w:tcPr>
            <w:tcW w:w="80" w:type="dxa"/>
            <w:vAlign w:val="bottom"/>
            <w:tcBorders>
              <w:bottom w:val="single" w:sz="8" w:color="CCEEFF"/>
            </w:tcBorders>
            <w:shd w:val="clear" w:color="auto" w:fill="CCEEFF"/>
          </w:tcPr>
          <w:p>
            <w:pPr>
              <w:spacing w:after="0"/>
              <w:rPr>
                <w:sz w:val="16"/>
                <w:szCs w:val="16"/>
                <w:color w:val="auto"/>
              </w:rPr>
            </w:pPr>
          </w:p>
        </w:tc>
        <w:tc>
          <w:tcPr>
            <w:tcW w:w="620" w:type="dxa"/>
            <w:vAlign w:val="bottom"/>
            <w:tcBorders>
              <w:bottom w:val="single" w:sz="8" w:color="CCEEFF"/>
            </w:tcBorders>
            <w:shd w:val="clear" w:color="auto" w:fill="CCEEFF"/>
          </w:tcPr>
          <w:p>
            <w:pPr>
              <w:spacing w:after="0"/>
              <w:rPr>
                <w:sz w:val="16"/>
                <w:szCs w:val="16"/>
                <w:color w:val="auto"/>
              </w:rPr>
            </w:pPr>
          </w:p>
        </w:tc>
        <w:tc>
          <w:tcPr>
            <w:tcW w:w="1100" w:type="dxa"/>
            <w:vAlign w:val="bottom"/>
            <w:tcBorders>
              <w:bottom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78"/>
        </w:trPr>
        <w:tc>
          <w:tcPr>
            <w:tcW w:w="7920" w:type="dxa"/>
            <w:vAlign w:val="bottom"/>
          </w:tcPr>
          <w:p>
            <w:pPr>
              <w:ind w:left="80"/>
              <w:spacing w:after="0"/>
              <w:rPr>
                <w:sz w:val="20"/>
                <w:szCs w:val="20"/>
                <w:color w:val="auto"/>
              </w:rPr>
            </w:pPr>
            <w:r>
              <w:rPr>
                <w:rFonts w:ascii="Arial" w:cs="Arial" w:eastAsia="Arial" w:hAnsi="Arial"/>
                <w:sz w:val="13"/>
                <w:szCs w:val="13"/>
                <w:color w:val="auto"/>
              </w:rPr>
              <w:t>Interest on bonds and notes payable</w:t>
            </w:r>
          </w:p>
        </w:tc>
        <w:tc>
          <w:tcPr>
            <w:tcW w:w="104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3"/>
                <w:szCs w:val="13"/>
                <w:color w:val="auto"/>
              </w:rPr>
              <w:t>191,770</w:t>
            </w:r>
          </w:p>
        </w:tc>
        <w:tc>
          <w:tcPr>
            <w:tcW w:w="8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100" w:type="dxa"/>
            <w:vAlign w:val="bottom"/>
          </w:tcPr>
          <w:p>
            <w:pPr>
              <w:jc w:val="right"/>
              <w:spacing w:after="0"/>
              <w:rPr>
                <w:sz w:val="20"/>
                <w:szCs w:val="20"/>
                <w:color w:val="auto"/>
              </w:rPr>
            </w:pPr>
            <w:r>
              <w:rPr>
                <w:rFonts w:ascii="Arial" w:cs="Arial" w:eastAsia="Arial" w:hAnsi="Arial"/>
                <w:sz w:val="13"/>
                <w:szCs w:val="13"/>
                <w:color w:val="auto"/>
              </w:rPr>
              <w:t>135,550</w:t>
            </w:r>
          </w:p>
        </w:tc>
        <w:tc>
          <w:tcPr>
            <w:tcW w:w="0" w:type="dxa"/>
            <w:vAlign w:val="bottom"/>
          </w:tcPr>
          <w:p>
            <w:pPr>
              <w:spacing w:after="0"/>
              <w:rPr>
                <w:sz w:val="1"/>
                <w:szCs w:val="1"/>
                <w:color w:val="auto"/>
              </w:rPr>
            </w:pPr>
          </w:p>
        </w:tc>
      </w:tr>
      <w:tr>
        <w:trPr>
          <w:trHeight w:val="27"/>
        </w:trPr>
        <w:tc>
          <w:tcPr>
            <w:tcW w:w="7920" w:type="dxa"/>
            <w:vAlign w:val="bottom"/>
            <w:tcBorders>
              <w:bottom w:val="single" w:sz="8" w:color="CCEEFF"/>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76"/>
        </w:trPr>
        <w:tc>
          <w:tcPr>
            <w:tcW w:w="79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3"/>
                <w:szCs w:val="13"/>
                <w:color w:val="auto"/>
              </w:rPr>
              <w:t>Net interest income</w:t>
            </w:r>
          </w:p>
        </w:tc>
        <w:tc>
          <w:tcPr>
            <w:tcW w:w="1040" w:type="dxa"/>
            <w:vAlign w:val="bottom"/>
            <w:tcBorders>
              <w:bottom w:val="single" w:sz="8" w:color="CCEEFF"/>
            </w:tcBorders>
            <w:shd w:val="clear" w:color="auto" w:fill="CCEEFF"/>
          </w:tcPr>
          <w:p>
            <w:pPr>
              <w:spacing w:after="0"/>
              <w:rPr>
                <w:sz w:val="15"/>
                <w:szCs w:val="15"/>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58,816</w:t>
            </w:r>
          </w:p>
        </w:tc>
        <w:tc>
          <w:tcPr>
            <w:tcW w:w="80" w:type="dxa"/>
            <w:vAlign w:val="bottom"/>
            <w:tcBorders>
              <w:bottom w:val="single" w:sz="8" w:color="CCEEFF"/>
            </w:tcBorders>
            <w:shd w:val="clear" w:color="auto" w:fill="CCEEFF"/>
          </w:tcPr>
          <w:p>
            <w:pPr>
              <w:spacing w:after="0"/>
              <w:rPr>
                <w:sz w:val="15"/>
                <w:szCs w:val="15"/>
                <w:color w:val="auto"/>
              </w:rPr>
            </w:pPr>
          </w:p>
        </w:tc>
        <w:tc>
          <w:tcPr>
            <w:tcW w:w="620" w:type="dxa"/>
            <w:vAlign w:val="bottom"/>
            <w:tcBorders>
              <w:bottom w:val="single" w:sz="8" w:color="CCEEFF"/>
            </w:tcBorders>
            <w:shd w:val="clear" w:color="auto" w:fill="CCEEFF"/>
          </w:tcPr>
          <w:p>
            <w:pPr>
              <w:spacing w:after="0"/>
              <w:rPr>
                <w:sz w:val="15"/>
                <w:szCs w:val="15"/>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67,307</w:t>
            </w:r>
          </w:p>
        </w:tc>
        <w:tc>
          <w:tcPr>
            <w:tcW w:w="0" w:type="dxa"/>
            <w:vAlign w:val="bottom"/>
          </w:tcPr>
          <w:p>
            <w:pPr>
              <w:spacing w:after="0"/>
              <w:rPr>
                <w:sz w:val="1"/>
                <w:szCs w:val="1"/>
                <w:color w:val="auto"/>
              </w:rPr>
            </w:pPr>
          </w:p>
        </w:tc>
      </w:tr>
      <w:tr>
        <w:trPr>
          <w:trHeight w:val="178"/>
        </w:trPr>
        <w:tc>
          <w:tcPr>
            <w:tcW w:w="7920" w:type="dxa"/>
            <w:vAlign w:val="bottom"/>
          </w:tcPr>
          <w:p>
            <w:pPr>
              <w:ind w:left="80"/>
              <w:spacing w:after="0"/>
              <w:rPr>
                <w:sz w:val="20"/>
                <w:szCs w:val="20"/>
                <w:color w:val="auto"/>
              </w:rPr>
            </w:pPr>
            <w:r>
              <w:rPr>
                <w:rFonts w:ascii="Arial" w:cs="Arial" w:eastAsia="Arial" w:hAnsi="Arial"/>
                <w:sz w:val="13"/>
                <w:szCs w:val="13"/>
                <w:color w:val="auto"/>
              </w:rPr>
              <w:t>Less provision for loan losses</w:t>
            </w:r>
          </w:p>
        </w:tc>
        <w:tc>
          <w:tcPr>
            <w:tcW w:w="104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3"/>
                <w:szCs w:val="13"/>
                <w:color w:val="auto"/>
              </w:rPr>
              <w:t>7,000</w:t>
            </w:r>
          </w:p>
        </w:tc>
        <w:tc>
          <w:tcPr>
            <w:tcW w:w="8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100" w:type="dxa"/>
            <w:vAlign w:val="bottom"/>
          </w:tcPr>
          <w:p>
            <w:pPr>
              <w:jc w:val="right"/>
              <w:spacing w:after="0"/>
              <w:rPr>
                <w:sz w:val="20"/>
                <w:szCs w:val="20"/>
                <w:color w:val="auto"/>
              </w:rPr>
            </w:pPr>
            <w:r>
              <w:rPr>
                <w:rFonts w:ascii="Arial" w:cs="Arial" w:eastAsia="Arial" w:hAnsi="Arial"/>
                <w:sz w:val="13"/>
                <w:szCs w:val="13"/>
                <w:color w:val="auto"/>
              </w:rPr>
              <w:t>4,000</w:t>
            </w:r>
          </w:p>
        </w:tc>
        <w:tc>
          <w:tcPr>
            <w:tcW w:w="0" w:type="dxa"/>
            <w:vAlign w:val="bottom"/>
          </w:tcPr>
          <w:p>
            <w:pPr>
              <w:spacing w:after="0"/>
              <w:rPr>
                <w:sz w:val="1"/>
                <w:szCs w:val="1"/>
                <w:color w:val="auto"/>
              </w:rPr>
            </w:pPr>
          </w:p>
        </w:tc>
      </w:tr>
      <w:tr>
        <w:trPr>
          <w:trHeight w:val="27"/>
        </w:trPr>
        <w:tc>
          <w:tcPr>
            <w:tcW w:w="7920" w:type="dxa"/>
            <w:vAlign w:val="bottom"/>
            <w:tcBorders>
              <w:bottom w:val="single" w:sz="8" w:color="CCEEFF"/>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6"/>
        </w:trPr>
        <w:tc>
          <w:tcPr>
            <w:tcW w:w="79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3"/>
                <w:szCs w:val="13"/>
                <w:color w:val="auto"/>
              </w:rPr>
              <w:t>Net interest income after provision for loan losses</w:t>
            </w:r>
          </w:p>
        </w:tc>
        <w:tc>
          <w:tcPr>
            <w:tcW w:w="1040" w:type="dxa"/>
            <w:vAlign w:val="bottom"/>
            <w:tcBorders>
              <w:bottom w:val="single" w:sz="8" w:color="CCEEFF"/>
            </w:tcBorders>
            <w:shd w:val="clear" w:color="auto" w:fill="CCEEFF"/>
          </w:tcPr>
          <w:p>
            <w:pPr>
              <w:spacing w:after="0"/>
              <w:rPr>
                <w:sz w:val="17"/>
                <w:szCs w:val="17"/>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51,816</w:t>
            </w:r>
          </w:p>
        </w:tc>
        <w:tc>
          <w:tcPr>
            <w:tcW w:w="80" w:type="dxa"/>
            <w:vAlign w:val="bottom"/>
            <w:tcBorders>
              <w:bottom w:val="single" w:sz="8" w:color="CCEEFF"/>
            </w:tcBorders>
            <w:shd w:val="clear" w:color="auto" w:fill="CCEEFF"/>
          </w:tcPr>
          <w:p>
            <w:pPr>
              <w:spacing w:after="0"/>
              <w:rPr>
                <w:sz w:val="17"/>
                <w:szCs w:val="17"/>
                <w:color w:val="auto"/>
              </w:rPr>
            </w:pPr>
          </w:p>
        </w:tc>
        <w:tc>
          <w:tcPr>
            <w:tcW w:w="620" w:type="dxa"/>
            <w:vAlign w:val="bottom"/>
            <w:tcBorders>
              <w:bottom w:val="single" w:sz="8" w:color="CCEEFF"/>
            </w:tcBorders>
            <w:shd w:val="clear" w:color="auto" w:fill="CCEEFF"/>
          </w:tcPr>
          <w:p>
            <w:pPr>
              <w:spacing w:after="0"/>
              <w:rPr>
                <w:sz w:val="17"/>
                <w:szCs w:val="17"/>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63,307</w:t>
            </w:r>
          </w:p>
        </w:tc>
        <w:tc>
          <w:tcPr>
            <w:tcW w:w="0" w:type="dxa"/>
            <w:vAlign w:val="bottom"/>
          </w:tcPr>
          <w:p>
            <w:pPr>
              <w:spacing w:after="0"/>
              <w:rPr>
                <w:sz w:val="1"/>
                <w:szCs w:val="1"/>
                <w:color w:val="auto"/>
              </w:rPr>
            </w:pPr>
          </w:p>
        </w:tc>
      </w:tr>
      <w:tr>
        <w:trPr>
          <w:trHeight w:val="169"/>
        </w:trPr>
        <w:tc>
          <w:tcPr>
            <w:tcW w:w="7920" w:type="dxa"/>
            <w:vAlign w:val="bottom"/>
          </w:tcPr>
          <w:p>
            <w:pPr>
              <w:ind w:left="20"/>
              <w:spacing w:after="0"/>
              <w:rPr>
                <w:sz w:val="20"/>
                <w:szCs w:val="20"/>
                <w:color w:val="auto"/>
              </w:rPr>
            </w:pPr>
            <w:r>
              <w:rPr>
                <w:rFonts w:ascii="Arial" w:cs="Arial" w:eastAsia="Arial" w:hAnsi="Arial"/>
                <w:sz w:val="13"/>
                <w:szCs w:val="13"/>
                <w:color w:val="auto"/>
              </w:rPr>
              <w:t>Other income:</w:t>
            </w:r>
          </w:p>
        </w:tc>
        <w:tc>
          <w:tcPr>
            <w:tcW w:w="1040" w:type="dxa"/>
            <w:vAlign w:val="bottom"/>
            <w:tcBorders>
              <w:top w:val="single" w:sz="8" w:color="auto"/>
            </w:tcBorders>
          </w:tcPr>
          <w:p>
            <w:pPr>
              <w:spacing w:after="0"/>
              <w:rPr>
                <w:sz w:val="14"/>
                <w:szCs w:val="14"/>
                <w:color w:val="auto"/>
              </w:rPr>
            </w:pPr>
          </w:p>
        </w:tc>
        <w:tc>
          <w:tcPr>
            <w:tcW w:w="680" w:type="dxa"/>
            <w:vAlign w:val="bottom"/>
            <w:tcBorders>
              <w:top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620" w:type="dxa"/>
            <w:vAlign w:val="bottom"/>
            <w:tcBorders>
              <w:top w:val="single" w:sz="8" w:color="auto"/>
            </w:tcBorders>
          </w:tcPr>
          <w:p>
            <w:pPr>
              <w:spacing w:after="0"/>
              <w:rPr>
                <w:sz w:val="14"/>
                <w:szCs w:val="14"/>
                <w:color w:val="auto"/>
              </w:rPr>
            </w:pPr>
          </w:p>
        </w:tc>
        <w:tc>
          <w:tcPr>
            <w:tcW w:w="1100" w:type="dxa"/>
            <w:vAlign w:val="bottom"/>
            <w:tcBorders>
              <w:top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7"/>
        </w:trPr>
        <w:tc>
          <w:tcPr>
            <w:tcW w:w="79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680" w:type="dxa"/>
            <w:vAlign w:val="bottom"/>
          </w:tcPr>
          <w:p>
            <w:pPr>
              <w:spacing w:after="0"/>
              <w:rPr>
                <w:sz w:val="2"/>
                <w:szCs w:val="2"/>
                <w:color w:val="auto"/>
              </w:rPr>
            </w:pPr>
          </w:p>
        </w:tc>
        <w:tc>
          <w:tcPr>
            <w:tcW w:w="80" w:type="dxa"/>
            <w:vAlign w:val="bottom"/>
          </w:tcPr>
          <w:p>
            <w:pPr>
              <w:spacing w:after="0"/>
              <w:rPr>
                <w:sz w:val="2"/>
                <w:szCs w:val="2"/>
                <w:color w:val="auto"/>
              </w:rPr>
            </w:pPr>
          </w:p>
        </w:tc>
        <w:tc>
          <w:tcPr>
            <w:tcW w:w="6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5"/>
        </w:trPr>
        <w:tc>
          <w:tcPr>
            <w:tcW w:w="7920" w:type="dxa"/>
            <w:vAlign w:val="bottom"/>
            <w:tcBorders>
              <w:bottom w:val="single" w:sz="8" w:color="CCEEFF"/>
            </w:tcBorders>
            <w:shd w:val="clear" w:color="auto" w:fill="CCEEFF"/>
          </w:tcPr>
          <w:p>
            <w:pPr>
              <w:ind w:left="80"/>
              <w:spacing w:after="0"/>
              <w:rPr>
                <w:sz w:val="20"/>
                <w:szCs w:val="20"/>
                <w:color w:val="auto"/>
              </w:rPr>
            </w:pPr>
            <w:r>
              <w:rPr>
                <w:rFonts w:ascii="Arial" w:cs="Arial" w:eastAsia="Arial" w:hAnsi="Arial"/>
                <w:sz w:val="13"/>
                <w:szCs w:val="13"/>
                <w:color w:val="auto"/>
              </w:rPr>
              <w:t>Loan servicing and systems revenue</w:t>
            </w:r>
          </w:p>
        </w:tc>
        <w:tc>
          <w:tcPr>
            <w:tcW w:w="1040" w:type="dxa"/>
            <w:vAlign w:val="bottom"/>
            <w:tcBorders>
              <w:bottom w:val="single" w:sz="8" w:color="CCEEFF"/>
            </w:tcBorders>
            <w:shd w:val="clear" w:color="auto" w:fill="CCEEFF"/>
          </w:tcPr>
          <w:p>
            <w:pPr>
              <w:spacing w:after="0"/>
              <w:rPr>
                <w:sz w:val="16"/>
                <w:szCs w:val="16"/>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114,898</w:t>
            </w:r>
          </w:p>
        </w:tc>
        <w:tc>
          <w:tcPr>
            <w:tcW w:w="80" w:type="dxa"/>
            <w:vAlign w:val="bottom"/>
            <w:tcBorders>
              <w:bottom w:val="single" w:sz="8" w:color="CCEEFF"/>
            </w:tcBorders>
            <w:shd w:val="clear" w:color="auto" w:fill="CCEEFF"/>
          </w:tcPr>
          <w:p>
            <w:pPr>
              <w:spacing w:after="0"/>
              <w:rPr>
                <w:sz w:val="16"/>
                <w:szCs w:val="16"/>
                <w:color w:val="auto"/>
              </w:rPr>
            </w:pPr>
          </w:p>
        </w:tc>
        <w:tc>
          <w:tcPr>
            <w:tcW w:w="620" w:type="dxa"/>
            <w:vAlign w:val="bottom"/>
            <w:tcBorders>
              <w:bottom w:val="single" w:sz="8" w:color="CCEEFF"/>
            </w:tcBorders>
            <w:shd w:val="clear" w:color="auto" w:fill="CCEEFF"/>
          </w:tcPr>
          <w:p>
            <w:pPr>
              <w:spacing w:after="0"/>
              <w:rPr>
                <w:sz w:val="16"/>
                <w:szCs w:val="16"/>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100,141</w:t>
            </w:r>
          </w:p>
        </w:tc>
        <w:tc>
          <w:tcPr>
            <w:tcW w:w="0" w:type="dxa"/>
            <w:vAlign w:val="bottom"/>
          </w:tcPr>
          <w:p>
            <w:pPr>
              <w:spacing w:after="0"/>
              <w:rPr>
                <w:sz w:val="1"/>
                <w:szCs w:val="1"/>
                <w:color w:val="auto"/>
              </w:rPr>
            </w:pPr>
          </w:p>
        </w:tc>
      </w:tr>
      <w:tr>
        <w:trPr>
          <w:trHeight w:val="202"/>
        </w:trPr>
        <w:tc>
          <w:tcPr>
            <w:tcW w:w="7920" w:type="dxa"/>
            <w:vAlign w:val="bottom"/>
          </w:tcPr>
          <w:p>
            <w:pPr>
              <w:ind w:left="100"/>
              <w:spacing w:after="0"/>
              <w:rPr>
                <w:sz w:val="20"/>
                <w:szCs w:val="20"/>
                <w:color w:val="auto"/>
              </w:rPr>
            </w:pPr>
            <w:r>
              <w:rPr>
                <w:rFonts w:ascii="Arial" w:cs="Arial" w:eastAsia="Arial" w:hAnsi="Arial"/>
                <w:sz w:val="13"/>
                <w:szCs w:val="13"/>
                <w:color w:val="auto"/>
              </w:rPr>
              <w:t>Education technology, services, and payment processing revenue</w:t>
            </w:r>
          </w:p>
        </w:tc>
        <w:tc>
          <w:tcPr>
            <w:tcW w:w="1040" w:type="dxa"/>
            <w:vAlign w:val="bottom"/>
          </w:tcPr>
          <w:p>
            <w:pPr>
              <w:spacing w:after="0"/>
              <w:rPr>
                <w:sz w:val="17"/>
                <w:szCs w:val="17"/>
                <w:color w:val="auto"/>
              </w:rPr>
            </w:pPr>
          </w:p>
        </w:tc>
        <w:tc>
          <w:tcPr>
            <w:tcW w:w="680" w:type="dxa"/>
            <w:vAlign w:val="bottom"/>
          </w:tcPr>
          <w:p>
            <w:pPr>
              <w:jc w:val="right"/>
              <w:spacing w:after="0"/>
              <w:rPr>
                <w:sz w:val="20"/>
                <w:szCs w:val="20"/>
                <w:color w:val="auto"/>
              </w:rPr>
            </w:pPr>
            <w:r>
              <w:rPr>
                <w:rFonts w:ascii="Arial" w:cs="Arial" w:eastAsia="Arial" w:hAnsi="Arial"/>
                <w:sz w:val="13"/>
                <w:szCs w:val="13"/>
                <w:color w:val="auto"/>
              </w:rPr>
              <w:t>79,159</w:t>
            </w:r>
          </w:p>
        </w:tc>
        <w:tc>
          <w:tcPr>
            <w:tcW w:w="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100" w:type="dxa"/>
            <w:vAlign w:val="bottom"/>
          </w:tcPr>
          <w:p>
            <w:pPr>
              <w:jc w:val="right"/>
              <w:spacing w:after="0"/>
              <w:rPr>
                <w:sz w:val="20"/>
                <w:szCs w:val="20"/>
                <w:color w:val="auto"/>
              </w:rPr>
            </w:pPr>
            <w:r>
              <w:rPr>
                <w:rFonts w:ascii="Arial" w:cs="Arial" w:eastAsia="Arial" w:hAnsi="Arial"/>
                <w:sz w:val="13"/>
                <w:szCs w:val="13"/>
                <w:color w:val="auto"/>
              </w:rPr>
              <w:t>60,221</w:t>
            </w:r>
          </w:p>
        </w:tc>
        <w:tc>
          <w:tcPr>
            <w:tcW w:w="0" w:type="dxa"/>
            <w:vAlign w:val="bottom"/>
          </w:tcPr>
          <w:p>
            <w:pPr>
              <w:spacing w:after="0"/>
              <w:rPr>
                <w:sz w:val="1"/>
                <w:szCs w:val="1"/>
                <w:color w:val="auto"/>
              </w:rPr>
            </w:pPr>
          </w:p>
        </w:tc>
      </w:tr>
      <w:tr>
        <w:trPr>
          <w:trHeight w:val="187"/>
        </w:trPr>
        <w:tc>
          <w:tcPr>
            <w:tcW w:w="7920" w:type="dxa"/>
            <w:vAlign w:val="bottom"/>
            <w:tcBorders>
              <w:bottom w:val="single" w:sz="8" w:color="CCEEFF"/>
            </w:tcBorders>
            <w:shd w:val="clear" w:color="auto" w:fill="CCEEFF"/>
          </w:tcPr>
          <w:p>
            <w:pPr>
              <w:ind w:left="80"/>
              <w:spacing w:after="0"/>
              <w:rPr>
                <w:sz w:val="20"/>
                <w:szCs w:val="20"/>
                <w:color w:val="auto"/>
              </w:rPr>
            </w:pPr>
            <w:r>
              <w:rPr>
                <w:rFonts w:ascii="Arial" w:cs="Arial" w:eastAsia="Arial" w:hAnsi="Arial"/>
                <w:sz w:val="13"/>
                <w:szCs w:val="13"/>
                <w:color w:val="auto"/>
              </w:rPr>
              <w:t>Communications revenue</w:t>
            </w:r>
          </w:p>
        </w:tc>
        <w:tc>
          <w:tcPr>
            <w:tcW w:w="1040" w:type="dxa"/>
            <w:vAlign w:val="bottom"/>
            <w:tcBorders>
              <w:bottom w:val="single" w:sz="8" w:color="CCEEFF"/>
            </w:tcBorders>
            <w:shd w:val="clear" w:color="auto" w:fill="CCEEFF"/>
          </w:tcPr>
          <w:p>
            <w:pPr>
              <w:spacing w:after="0"/>
              <w:rPr>
                <w:sz w:val="16"/>
                <w:szCs w:val="16"/>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14,543</w:t>
            </w:r>
          </w:p>
        </w:tc>
        <w:tc>
          <w:tcPr>
            <w:tcW w:w="80" w:type="dxa"/>
            <w:vAlign w:val="bottom"/>
            <w:tcBorders>
              <w:bottom w:val="single" w:sz="8" w:color="CCEEFF"/>
            </w:tcBorders>
            <w:shd w:val="clear" w:color="auto" w:fill="CCEEFF"/>
          </w:tcPr>
          <w:p>
            <w:pPr>
              <w:spacing w:after="0"/>
              <w:rPr>
                <w:sz w:val="16"/>
                <w:szCs w:val="16"/>
                <w:color w:val="auto"/>
              </w:rPr>
            </w:pPr>
          </w:p>
        </w:tc>
        <w:tc>
          <w:tcPr>
            <w:tcW w:w="620" w:type="dxa"/>
            <w:vAlign w:val="bottom"/>
            <w:tcBorders>
              <w:bottom w:val="single" w:sz="8" w:color="CCEEFF"/>
            </w:tcBorders>
            <w:shd w:val="clear" w:color="auto" w:fill="CCEEFF"/>
          </w:tcPr>
          <w:p>
            <w:pPr>
              <w:spacing w:after="0"/>
              <w:rPr>
                <w:sz w:val="16"/>
                <w:szCs w:val="16"/>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9,189</w:t>
            </w:r>
          </w:p>
        </w:tc>
        <w:tc>
          <w:tcPr>
            <w:tcW w:w="0" w:type="dxa"/>
            <w:vAlign w:val="bottom"/>
          </w:tcPr>
          <w:p>
            <w:pPr>
              <w:spacing w:after="0"/>
              <w:rPr>
                <w:sz w:val="1"/>
                <w:szCs w:val="1"/>
                <w:color w:val="auto"/>
              </w:rPr>
            </w:pPr>
          </w:p>
        </w:tc>
      </w:tr>
      <w:tr>
        <w:trPr>
          <w:trHeight w:val="178"/>
        </w:trPr>
        <w:tc>
          <w:tcPr>
            <w:tcW w:w="7920" w:type="dxa"/>
            <w:vAlign w:val="bottom"/>
          </w:tcPr>
          <w:p>
            <w:pPr>
              <w:ind w:left="80"/>
              <w:spacing w:after="0"/>
              <w:rPr>
                <w:sz w:val="20"/>
                <w:szCs w:val="20"/>
                <w:color w:val="auto"/>
              </w:rPr>
            </w:pPr>
            <w:r>
              <w:rPr>
                <w:rFonts w:ascii="Arial" w:cs="Arial" w:eastAsia="Arial" w:hAnsi="Arial"/>
                <w:sz w:val="13"/>
                <w:szCs w:val="13"/>
                <w:color w:val="auto"/>
              </w:rPr>
              <w:t>Other income</w:t>
            </w:r>
          </w:p>
        </w:tc>
        <w:tc>
          <w:tcPr>
            <w:tcW w:w="104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3"/>
                <w:szCs w:val="13"/>
                <w:color w:val="auto"/>
              </w:rPr>
              <w:t>9,067</w:t>
            </w:r>
          </w:p>
        </w:tc>
        <w:tc>
          <w:tcPr>
            <w:tcW w:w="8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100" w:type="dxa"/>
            <w:vAlign w:val="bottom"/>
          </w:tcPr>
          <w:p>
            <w:pPr>
              <w:jc w:val="right"/>
              <w:spacing w:after="0"/>
              <w:rPr>
                <w:sz w:val="20"/>
                <w:szCs w:val="20"/>
                <w:color w:val="auto"/>
              </w:rPr>
            </w:pPr>
            <w:r>
              <w:rPr>
                <w:rFonts w:ascii="Arial" w:cs="Arial" w:eastAsia="Arial" w:hAnsi="Arial"/>
                <w:sz w:val="13"/>
                <w:szCs w:val="13"/>
                <w:color w:val="auto"/>
              </w:rPr>
              <w:t>18,557</w:t>
            </w:r>
          </w:p>
        </w:tc>
        <w:tc>
          <w:tcPr>
            <w:tcW w:w="0" w:type="dxa"/>
            <w:vAlign w:val="bottom"/>
          </w:tcPr>
          <w:p>
            <w:pPr>
              <w:spacing w:after="0"/>
              <w:rPr>
                <w:sz w:val="1"/>
                <w:szCs w:val="1"/>
                <w:color w:val="auto"/>
              </w:rPr>
            </w:pPr>
          </w:p>
        </w:tc>
      </w:tr>
      <w:tr>
        <w:trPr>
          <w:trHeight w:val="27"/>
        </w:trPr>
        <w:tc>
          <w:tcPr>
            <w:tcW w:w="79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680" w:type="dxa"/>
            <w:vAlign w:val="bottom"/>
          </w:tcPr>
          <w:p>
            <w:pPr>
              <w:spacing w:after="0"/>
              <w:rPr>
                <w:sz w:val="2"/>
                <w:szCs w:val="2"/>
                <w:color w:val="auto"/>
              </w:rPr>
            </w:pPr>
          </w:p>
        </w:tc>
        <w:tc>
          <w:tcPr>
            <w:tcW w:w="80" w:type="dxa"/>
            <w:vAlign w:val="bottom"/>
          </w:tcPr>
          <w:p>
            <w:pPr>
              <w:spacing w:after="0"/>
              <w:rPr>
                <w:sz w:val="2"/>
                <w:szCs w:val="2"/>
                <w:color w:val="auto"/>
              </w:rPr>
            </w:pPr>
          </w:p>
        </w:tc>
        <w:tc>
          <w:tcPr>
            <w:tcW w:w="6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2"/>
        </w:trPr>
        <w:tc>
          <w:tcPr>
            <w:tcW w:w="7920" w:type="dxa"/>
            <w:vAlign w:val="bottom"/>
            <w:shd w:val="clear" w:color="auto" w:fill="CCEEFF"/>
          </w:tcPr>
          <w:p>
            <w:pPr>
              <w:ind w:left="100"/>
              <w:spacing w:after="0"/>
              <w:rPr>
                <w:sz w:val="20"/>
                <w:szCs w:val="20"/>
                <w:color w:val="auto"/>
              </w:rPr>
            </w:pPr>
            <w:r>
              <w:rPr>
                <w:rFonts w:ascii="Arial" w:cs="Arial" w:eastAsia="Arial" w:hAnsi="Arial"/>
                <w:sz w:val="13"/>
                <w:szCs w:val="13"/>
                <w:color w:val="auto"/>
              </w:rPr>
              <w:t>Derivative market value adjustments and derivative settlements, net</w:t>
            </w:r>
          </w:p>
        </w:tc>
        <w:tc>
          <w:tcPr>
            <w:tcW w:w="104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(11,539)</w:t>
            </w:r>
          </w:p>
        </w:tc>
        <w:tc>
          <w:tcPr>
            <w:tcW w:w="80" w:type="dxa"/>
            <w:vAlign w:val="bottom"/>
            <w:shd w:val="clear" w:color="auto" w:fill="CCEEFF"/>
          </w:tcPr>
          <w:p>
            <w:pPr>
              <w:spacing w:after="0"/>
              <w:rPr>
                <w:sz w:val="17"/>
                <w:szCs w:val="17"/>
                <w:color w:val="auto"/>
              </w:rPr>
            </w:pPr>
          </w:p>
        </w:tc>
        <w:tc>
          <w:tcPr>
            <w:tcW w:w="620" w:type="dxa"/>
            <w:vAlign w:val="bottom"/>
            <w:tcBorders>
              <w:bottom w:val="single" w:sz="8" w:color="auto"/>
            </w:tcBorders>
            <w:shd w:val="clear" w:color="auto" w:fill="CCEEFF"/>
          </w:tcPr>
          <w:p>
            <w:pPr>
              <w:spacing w:after="0"/>
              <w:rPr>
                <w:sz w:val="17"/>
                <w:szCs w:val="17"/>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66,799</w:t>
            </w:r>
          </w:p>
        </w:tc>
        <w:tc>
          <w:tcPr>
            <w:tcW w:w="0" w:type="dxa"/>
            <w:vAlign w:val="bottom"/>
          </w:tcPr>
          <w:p>
            <w:pPr>
              <w:spacing w:after="0"/>
              <w:rPr>
                <w:sz w:val="1"/>
                <w:szCs w:val="1"/>
                <w:color w:val="auto"/>
              </w:rPr>
            </w:pPr>
          </w:p>
        </w:tc>
      </w:tr>
      <w:tr>
        <w:trPr>
          <w:trHeight w:val="171"/>
        </w:trPr>
        <w:tc>
          <w:tcPr>
            <w:tcW w:w="7920" w:type="dxa"/>
            <w:vAlign w:val="bottom"/>
          </w:tcPr>
          <w:p>
            <w:pPr>
              <w:ind w:left="260"/>
              <w:spacing w:after="0"/>
              <w:rPr>
                <w:sz w:val="20"/>
                <w:szCs w:val="20"/>
                <w:color w:val="auto"/>
              </w:rPr>
            </w:pPr>
            <w:r>
              <w:rPr>
                <w:rFonts w:ascii="Arial" w:cs="Arial" w:eastAsia="Arial" w:hAnsi="Arial"/>
                <w:sz w:val="13"/>
                <w:szCs w:val="13"/>
                <w:color w:val="auto"/>
              </w:rPr>
              <w:t>Total other income</w:t>
            </w:r>
          </w:p>
        </w:tc>
        <w:tc>
          <w:tcPr>
            <w:tcW w:w="104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3"/>
                <w:szCs w:val="13"/>
                <w:color w:val="auto"/>
              </w:rPr>
              <w:t>206,128</w:t>
            </w:r>
          </w:p>
        </w:tc>
        <w:tc>
          <w:tcPr>
            <w:tcW w:w="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100" w:type="dxa"/>
            <w:vAlign w:val="bottom"/>
          </w:tcPr>
          <w:p>
            <w:pPr>
              <w:jc w:val="right"/>
              <w:spacing w:after="0"/>
              <w:rPr>
                <w:sz w:val="20"/>
                <w:szCs w:val="20"/>
                <w:color w:val="auto"/>
              </w:rPr>
            </w:pPr>
            <w:r>
              <w:rPr>
                <w:rFonts w:ascii="Arial" w:cs="Arial" w:eastAsia="Arial" w:hAnsi="Arial"/>
                <w:sz w:val="13"/>
                <w:szCs w:val="13"/>
                <w:color w:val="auto"/>
              </w:rPr>
              <w:t>254,907</w:t>
            </w:r>
          </w:p>
        </w:tc>
        <w:tc>
          <w:tcPr>
            <w:tcW w:w="0" w:type="dxa"/>
            <w:vAlign w:val="bottom"/>
          </w:tcPr>
          <w:p>
            <w:pPr>
              <w:spacing w:after="0"/>
              <w:rPr>
                <w:sz w:val="1"/>
                <w:szCs w:val="1"/>
                <w:color w:val="auto"/>
              </w:rPr>
            </w:pPr>
          </w:p>
        </w:tc>
      </w:tr>
      <w:tr>
        <w:trPr>
          <w:trHeight w:val="27"/>
        </w:trPr>
        <w:tc>
          <w:tcPr>
            <w:tcW w:w="7920" w:type="dxa"/>
            <w:vAlign w:val="bottom"/>
            <w:tcBorders>
              <w:bottom w:val="single" w:sz="8" w:color="CCEEFF"/>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65"/>
        </w:trPr>
        <w:tc>
          <w:tcPr>
            <w:tcW w:w="79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Cost of services:</w:t>
            </w:r>
          </w:p>
        </w:tc>
        <w:tc>
          <w:tcPr>
            <w:tcW w:w="1040" w:type="dxa"/>
            <w:vAlign w:val="bottom"/>
            <w:tcBorders>
              <w:bottom w:val="single" w:sz="8" w:color="CCEEFF"/>
            </w:tcBorders>
            <w:shd w:val="clear" w:color="auto" w:fill="CCEEFF"/>
          </w:tcPr>
          <w:p>
            <w:pPr>
              <w:spacing w:after="0"/>
              <w:rPr>
                <w:sz w:val="14"/>
                <w:szCs w:val="14"/>
                <w:color w:val="auto"/>
              </w:rPr>
            </w:pPr>
          </w:p>
        </w:tc>
        <w:tc>
          <w:tcPr>
            <w:tcW w:w="680" w:type="dxa"/>
            <w:vAlign w:val="bottom"/>
            <w:tcBorders>
              <w:bottom w:val="single" w:sz="8" w:color="CCEEFF"/>
            </w:tcBorders>
            <w:shd w:val="clear" w:color="auto" w:fill="CCEEFF"/>
          </w:tcPr>
          <w:p>
            <w:pPr>
              <w:spacing w:after="0"/>
              <w:rPr>
                <w:sz w:val="14"/>
                <w:szCs w:val="14"/>
                <w:color w:val="auto"/>
              </w:rPr>
            </w:pPr>
          </w:p>
        </w:tc>
        <w:tc>
          <w:tcPr>
            <w:tcW w:w="80" w:type="dxa"/>
            <w:vAlign w:val="bottom"/>
            <w:tcBorders>
              <w:bottom w:val="single" w:sz="8" w:color="CCEEFF"/>
            </w:tcBorders>
            <w:shd w:val="clear" w:color="auto" w:fill="CCEEFF"/>
          </w:tcPr>
          <w:p>
            <w:pPr>
              <w:spacing w:after="0"/>
              <w:rPr>
                <w:sz w:val="14"/>
                <w:szCs w:val="14"/>
                <w:color w:val="auto"/>
              </w:rPr>
            </w:pPr>
          </w:p>
        </w:tc>
        <w:tc>
          <w:tcPr>
            <w:tcW w:w="620" w:type="dxa"/>
            <w:vAlign w:val="bottom"/>
            <w:tcBorders>
              <w:bottom w:val="single" w:sz="8" w:color="CCEEFF"/>
            </w:tcBorders>
            <w:shd w:val="clear" w:color="auto" w:fill="CCEEFF"/>
          </w:tcPr>
          <w:p>
            <w:pPr>
              <w:spacing w:after="0"/>
              <w:rPr>
                <w:sz w:val="14"/>
                <w:szCs w:val="14"/>
                <w:color w:val="auto"/>
              </w:rPr>
            </w:pPr>
          </w:p>
        </w:tc>
        <w:tc>
          <w:tcPr>
            <w:tcW w:w="1100" w:type="dxa"/>
            <w:vAlign w:val="bottom"/>
            <w:tcBorders>
              <w:bottom w:val="single" w:sz="8" w:color="CCEEFF"/>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02"/>
        </w:trPr>
        <w:tc>
          <w:tcPr>
            <w:tcW w:w="7920" w:type="dxa"/>
            <w:vAlign w:val="bottom"/>
          </w:tcPr>
          <w:p>
            <w:pPr>
              <w:ind w:left="100"/>
              <w:spacing w:after="0"/>
              <w:rPr>
                <w:sz w:val="20"/>
                <w:szCs w:val="20"/>
                <w:color w:val="auto"/>
              </w:rPr>
            </w:pPr>
            <w:r>
              <w:rPr>
                <w:rFonts w:ascii="Arial" w:cs="Arial" w:eastAsia="Arial" w:hAnsi="Arial"/>
                <w:sz w:val="13"/>
                <w:szCs w:val="13"/>
                <w:color w:val="auto"/>
              </w:rPr>
              <w:t>Cost to provide education technology, services, and payment processing services</w:t>
            </w:r>
          </w:p>
        </w:tc>
        <w:tc>
          <w:tcPr>
            <w:tcW w:w="1040" w:type="dxa"/>
            <w:vAlign w:val="bottom"/>
          </w:tcPr>
          <w:p>
            <w:pPr>
              <w:spacing w:after="0"/>
              <w:rPr>
                <w:sz w:val="17"/>
                <w:szCs w:val="17"/>
                <w:color w:val="auto"/>
              </w:rPr>
            </w:pPr>
          </w:p>
        </w:tc>
        <w:tc>
          <w:tcPr>
            <w:tcW w:w="680" w:type="dxa"/>
            <w:vAlign w:val="bottom"/>
          </w:tcPr>
          <w:p>
            <w:pPr>
              <w:jc w:val="right"/>
              <w:spacing w:after="0"/>
              <w:rPr>
                <w:sz w:val="20"/>
                <w:szCs w:val="20"/>
                <w:color w:val="auto"/>
              </w:rPr>
            </w:pPr>
            <w:r>
              <w:rPr>
                <w:rFonts w:ascii="Arial" w:cs="Arial" w:eastAsia="Arial" w:hAnsi="Arial"/>
                <w:sz w:val="13"/>
                <w:szCs w:val="13"/>
                <w:color w:val="auto"/>
              </w:rPr>
              <w:t>21,059</w:t>
            </w:r>
          </w:p>
        </w:tc>
        <w:tc>
          <w:tcPr>
            <w:tcW w:w="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100" w:type="dxa"/>
            <w:vAlign w:val="bottom"/>
          </w:tcPr>
          <w:p>
            <w:pPr>
              <w:jc w:val="right"/>
              <w:spacing w:after="0"/>
              <w:rPr>
                <w:sz w:val="20"/>
                <w:szCs w:val="20"/>
                <w:color w:val="auto"/>
              </w:rPr>
            </w:pPr>
            <w:r>
              <w:rPr>
                <w:rFonts w:ascii="Arial" w:cs="Arial" w:eastAsia="Arial" w:hAnsi="Arial"/>
                <w:sz w:val="13"/>
                <w:szCs w:val="13"/>
                <w:color w:val="auto"/>
              </w:rPr>
              <w:t>13,683</w:t>
            </w:r>
          </w:p>
        </w:tc>
        <w:tc>
          <w:tcPr>
            <w:tcW w:w="0" w:type="dxa"/>
            <w:vAlign w:val="bottom"/>
          </w:tcPr>
          <w:p>
            <w:pPr>
              <w:spacing w:after="0"/>
              <w:rPr>
                <w:sz w:val="1"/>
                <w:szCs w:val="1"/>
                <w:color w:val="auto"/>
              </w:rPr>
            </w:pPr>
          </w:p>
        </w:tc>
      </w:tr>
      <w:tr>
        <w:trPr>
          <w:trHeight w:val="207"/>
        </w:trPr>
        <w:tc>
          <w:tcPr>
            <w:tcW w:w="7920" w:type="dxa"/>
            <w:vAlign w:val="bottom"/>
            <w:tcBorders>
              <w:bottom w:val="single" w:sz="8" w:color="CCEEFF"/>
            </w:tcBorders>
            <w:shd w:val="clear" w:color="auto" w:fill="CCEEFF"/>
          </w:tcPr>
          <w:p>
            <w:pPr>
              <w:ind w:left="80"/>
              <w:spacing w:after="0"/>
              <w:rPr>
                <w:sz w:val="20"/>
                <w:szCs w:val="20"/>
                <w:color w:val="auto"/>
              </w:rPr>
            </w:pPr>
            <w:r>
              <w:rPr>
                <w:rFonts w:ascii="Arial" w:cs="Arial" w:eastAsia="Arial" w:hAnsi="Arial"/>
                <w:sz w:val="13"/>
                <w:szCs w:val="13"/>
                <w:color w:val="auto"/>
              </w:rPr>
              <w:t>Cost to provide communications services</w:t>
            </w:r>
          </w:p>
        </w:tc>
        <w:tc>
          <w:tcPr>
            <w:tcW w:w="1040" w:type="dxa"/>
            <w:vAlign w:val="bottom"/>
            <w:tcBorders>
              <w:bottom w:val="single" w:sz="8" w:color="CCEEFF"/>
            </w:tcBorders>
            <w:shd w:val="clear" w:color="auto" w:fill="CCEEFF"/>
          </w:tcPr>
          <w:p>
            <w:pPr>
              <w:spacing w:after="0"/>
              <w:rPr>
                <w:sz w:val="18"/>
                <w:szCs w:val="18"/>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4,759</w:t>
            </w:r>
          </w:p>
        </w:tc>
        <w:tc>
          <w:tcPr>
            <w:tcW w:w="80" w:type="dxa"/>
            <w:vAlign w:val="bottom"/>
            <w:tcBorders>
              <w:bottom w:val="single" w:sz="8" w:color="CCEEFF"/>
            </w:tcBorders>
            <w:shd w:val="clear" w:color="auto" w:fill="CCEEFF"/>
          </w:tcPr>
          <w:p>
            <w:pPr>
              <w:spacing w:after="0"/>
              <w:rPr>
                <w:sz w:val="18"/>
                <w:szCs w:val="18"/>
                <w:color w:val="auto"/>
              </w:rPr>
            </w:pPr>
          </w:p>
        </w:tc>
        <w:tc>
          <w:tcPr>
            <w:tcW w:w="620" w:type="dxa"/>
            <w:vAlign w:val="bottom"/>
            <w:tcBorders>
              <w:bottom w:val="single" w:sz="8" w:color="CCEEFF"/>
            </w:tcBorders>
            <w:shd w:val="clear" w:color="auto" w:fill="CCEEFF"/>
          </w:tcPr>
          <w:p>
            <w:pPr>
              <w:spacing w:after="0"/>
              <w:rPr>
                <w:sz w:val="18"/>
                <w:szCs w:val="18"/>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3,717</w:t>
            </w:r>
          </w:p>
        </w:tc>
        <w:tc>
          <w:tcPr>
            <w:tcW w:w="0" w:type="dxa"/>
            <w:vAlign w:val="bottom"/>
          </w:tcPr>
          <w:p>
            <w:pPr>
              <w:spacing w:after="0"/>
              <w:rPr>
                <w:sz w:val="1"/>
                <w:szCs w:val="1"/>
                <w:color w:val="auto"/>
              </w:rPr>
            </w:pPr>
          </w:p>
        </w:tc>
      </w:tr>
      <w:tr>
        <w:trPr>
          <w:trHeight w:val="169"/>
        </w:trPr>
        <w:tc>
          <w:tcPr>
            <w:tcW w:w="7920" w:type="dxa"/>
            <w:vAlign w:val="bottom"/>
          </w:tcPr>
          <w:p>
            <w:pPr>
              <w:ind w:left="260"/>
              <w:spacing w:after="0"/>
              <w:rPr>
                <w:sz w:val="20"/>
                <w:szCs w:val="20"/>
                <w:color w:val="auto"/>
              </w:rPr>
            </w:pPr>
            <w:r>
              <w:rPr>
                <w:rFonts w:ascii="Arial" w:cs="Arial" w:eastAsia="Arial" w:hAnsi="Arial"/>
                <w:sz w:val="13"/>
                <w:szCs w:val="13"/>
                <w:color w:val="auto"/>
              </w:rPr>
              <w:t>Total cost of services</w:t>
            </w:r>
          </w:p>
        </w:tc>
        <w:tc>
          <w:tcPr>
            <w:tcW w:w="1040" w:type="dxa"/>
            <w:vAlign w:val="bottom"/>
            <w:tcBorders>
              <w:top w:val="single" w:sz="8" w:color="auto"/>
            </w:tcBorders>
          </w:tcPr>
          <w:p>
            <w:pPr>
              <w:spacing w:after="0"/>
              <w:rPr>
                <w:sz w:val="14"/>
                <w:szCs w:val="14"/>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25,818</w:t>
            </w:r>
          </w:p>
        </w:tc>
        <w:tc>
          <w:tcPr>
            <w:tcW w:w="80" w:type="dxa"/>
            <w:vAlign w:val="bottom"/>
          </w:tcPr>
          <w:p>
            <w:pPr>
              <w:spacing w:after="0"/>
              <w:rPr>
                <w:sz w:val="14"/>
                <w:szCs w:val="14"/>
                <w:color w:val="auto"/>
              </w:rPr>
            </w:pPr>
          </w:p>
        </w:tc>
        <w:tc>
          <w:tcPr>
            <w:tcW w:w="620" w:type="dxa"/>
            <w:vAlign w:val="bottom"/>
            <w:tcBorders>
              <w:top w:val="single" w:sz="8" w:color="auto"/>
            </w:tcBorders>
          </w:tcPr>
          <w:p>
            <w:pPr>
              <w:spacing w:after="0"/>
              <w:rPr>
                <w:sz w:val="14"/>
                <w:szCs w:val="14"/>
                <w:color w:val="auto"/>
              </w:rPr>
            </w:pP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17,400</w:t>
            </w:r>
          </w:p>
        </w:tc>
        <w:tc>
          <w:tcPr>
            <w:tcW w:w="0" w:type="dxa"/>
            <w:vAlign w:val="bottom"/>
          </w:tcPr>
          <w:p>
            <w:pPr>
              <w:spacing w:after="0"/>
              <w:rPr>
                <w:sz w:val="1"/>
                <w:szCs w:val="1"/>
                <w:color w:val="auto"/>
              </w:rPr>
            </w:pPr>
          </w:p>
        </w:tc>
      </w:tr>
      <w:tr>
        <w:trPr>
          <w:trHeight w:val="27"/>
        </w:trPr>
        <w:tc>
          <w:tcPr>
            <w:tcW w:w="7920" w:type="dxa"/>
            <w:vAlign w:val="bottom"/>
            <w:tcBorders>
              <w:bottom w:val="single" w:sz="8" w:color="CCEEFF"/>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76"/>
        </w:trPr>
        <w:tc>
          <w:tcPr>
            <w:tcW w:w="79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Operating expenses:</w:t>
            </w:r>
          </w:p>
        </w:tc>
        <w:tc>
          <w:tcPr>
            <w:tcW w:w="1040" w:type="dxa"/>
            <w:vAlign w:val="bottom"/>
            <w:tcBorders>
              <w:bottom w:val="single" w:sz="8" w:color="CCEEFF"/>
            </w:tcBorders>
            <w:shd w:val="clear" w:color="auto" w:fill="CCEEFF"/>
          </w:tcPr>
          <w:p>
            <w:pPr>
              <w:spacing w:after="0"/>
              <w:rPr>
                <w:sz w:val="15"/>
                <w:szCs w:val="15"/>
                <w:color w:val="auto"/>
              </w:rPr>
            </w:pPr>
          </w:p>
        </w:tc>
        <w:tc>
          <w:tcPr>
            <w:tcW w:w="680" w:type="dxa"/>
            <w:vAlign w:val="bottom"/>
            <w:tcBorders>
              <w:bottom w:val="single" w:sz="8" w:color="CCEEFF"/>
            </w:tcBorders>
            <w:shd w:val="clear" w:color="auto" w:fill="CCEEFF"/>
          </w:tcPr>
          <w:p>
            <w:pPr>
              <w:spacing w:after="0"/>
              <w:rPr>
                <w:sz w:val="15"/>
                <w:szCs w:val="15"/>
                <w:color w:val="auto"/>
              </w:rPr>
            </w:pPr>
          </w:p>
        </w:tc>
        <w:tc>
          <w:tcPr>
            <w:tcW w:w="80" w:type="dxa"/>
            <w:vAlign w:val="bottom"/>
            <w:tcBorders>
              <w:bottom w:val="single" w:sz="8" w:color="CCEEFF"/>
            </w:tcBorders>
            <w:shd w:val="clear" w:color="auto" w:fill="CCEEFF"/>
          </w:tcPr>
          <w:p>
            <w:pPr>
              <w:spacing w:after="0"/>
              <w:rPr>
                <w:sz w:val="15"/>
                <w:szCs w:val="15"/>
                <w:color w:val="auto"/>
              </w:rPr>
            </w:pPr>
          </w:p>
        </w:tc>
        <w:tc>
          <w:tcPr>
            <w:tcW w:w="620" w:type="dxa"/>
            <w:vAlign w:val="bottom"/>
            <w:tcBorders>
              <w:bottom w:val="single" w:sz="8" w:color="CCEEFF"/>
            </w:tcBorders>
            <w:shd w:val="clear" w:color="auto" w:fill="CCEEFF"/>
          </w:tcPr>
          <w:p>
            <w:pPr>
              <w:spacing w:after="0"/>
              <w:rPr>
                <w:sz w:val="15"/>
                <w:szCs w:val="15"/>
                <w:color w:val="auto"/>
              </w:rPr>
            </w:pPr>
          </w:p>
        </w:tc>
        <w:tc>
          <w:tcPr>
            <w:tcW w:w="1100" w:type="dxa"/>
            <w:vAlign w:val="bottom"/>
            <w:tcBorders>
              <w:bottom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7920" w:type="dxa"/>
            <w:vAlign w:val="bottom"/>
          </w:tcPr>
          <w:p>
            <w:pPr>
              <w:ind w:left="80"/>
              <w:spacing w:after="0"/>
              <w:rPr>
                <w:sz w:val="20"/>
                <w:szCs w:val="20"/>
                <w:color w:val="auto"/>
              </w:rPr>
            </w:pPr>
            <w:r>
              <w:rPr>
                <w:rFonts w:ascii="Arial" w:cs="Arial" w:eastAsia="Arial" w:hAnsi="Arial"/>
                <w:sz w:val="13"/>
                <w:szCs w:val="13"/>
                <w:color w:val="auto"/>
              </w:rPr>
              <w:t>Salaries and benefits</w:t>
            </w:r>
          </w:p>
        </w:tc>
        <w:tc>
          <w:tcPr>
            <w:tcW w:w="104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3"/>
                <w:szCs w:val="13"/>
                <w:color w:val="auto"/>
              </w:rPr>
              <w:t>111,059</w:t>
            </w:r>
          </w:p>
        </w:tc>
        <w:tc>
          <w:tcPr>
            <w:tcW w:w="8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100" w:type="dxa"/>
            <w:vAlign w:val="bottom"/>
          </w:tcPr>
          <w:p>
            <w:pPr>
              <w:jc w:val="right"/>
              <w:spacing w:after="0"/>
              <w:rPr>
                <w:sz w:val="20"/>
                <w:szCs w:val="20"/>
                <w:color w:val="auto"/>
              </w:rPr>
            </w:pPr>
            <w:r>
              <w:rPr>
                <w:rFonts w:ascii="Arial" w:cs="Arial" w:eastAsia="Arial" w:hAnsi="Arial"/>
                <w:sz w:val="13"/>
                <w:szCs w:val="13"/>
                <w:color w:val="auto"/>
              </w:rPr>
              <w:t>96,643</w:t>
            </w:r>
          </w:p>
        </w:tc>
        <w:tc>
          <w:tcPr>
            <w:tcW w:w="0" w:type="dxa"/>
            <w:vAlign w:val="bottom"/>
          </w:tcPr>
          <w:p>
            <w:pPr>
              <w:spacing w:after="0"/>
              <w:rPr>
                <w:sz w:val="1"/>
                <w:szCs w:val="1"/>
                <w:color w:val="auto"/>
              </w:rPr>
            </w:pPr>
          </w:p>
        </w:tc>
      </w:tr>
      <w:tr>
        <w:trPr>
          <w:trHeight w:val="27"/>
        </w:trPr>
        <w:tc>
          <w:tcPr>
            <w:tcW w:w="79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680" w:type="dxa"/>
            <w:vAlign w:val="bottom"/>
          </w:tcPr>
          <w:p>
            <w:pPr>
              <w:spacing w:after="0"/>
              <w:rPr>
                <w:sz w:val="2"/>
                <w:szCs w:val="2"/>
                <w:color w:val="auto"/>
              </w:rPr>
            </w:pPr>
          </w:p>
        </w:tc>
        <w:tc>
          <w:tcPr>
            <w:tcW w:w="80" w:type="dxa"/>
            <w:vAlign w:val="bottom"/>
          </w:tcPr>
          <w:p>
            <w:pPr>
              <w:spacing w:after="0"/>
              <w:rPr>
                <w:sz w:val="2"/>
                <w:szCs w:val="2"/>
                <w:color w:val="auto"/>
              </w:rPr>
            </w:pPr>
          </w:p>
        </w:tc>
        <w:tc>
          <w:tcPr>
            <w:tcW w:w="6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5"/>
        </w:trPr>
        <w:tc>
          <w:tcPr>
            <w:tcW w:w="7920" w:type="dxa"/>
            <w:vAlign w:val="bottom"/>
            <w:tcBorders>
              <w:bottom w:val="single" w:sz="8" w:color="CCEEFF"/>
            </w:tcBorders>
            <w:shd w:val="clear" w:color="auto" w:fill="CCEEFF"/>
          </w:tcPr>
          <w:p>
            <w:pPr>
              <w:ind w:left="80"/>
              <w:spacing w:after="0"/>
              <w:rPr>
                <w:sz w:val="20"/>
                <w:szCs w:val="20"/>
                <w:color w:val="auto"/>
              </w:rPr>
            </w:pPr>
            <w:r>
              <w:rPr>
                <w:rFonts w:ascii="Arial" w:cs="Arial" w:eastAsia="Arial" w:hAnsi="Arial"/>
                <w:sz w:val="13"/>
                <w:szCs w:val="13"/>
                <w:color w:val="auto"/>
              </w:rPr>
              <w:t>Depreciation and amortization</w:t>
            </w:r>
          </w:p>
        </w:tc>
        <w:tc>
          <w:tcPr>
            <w:tcW w:w="1040" w:type="dxa"/>
            <w:vAlign w:val="bottom"/>
            <w:tcBorders>
              <w:bottom w:val="single" w:sz="8" w:color="CCEEFF"/>
            </w:tcBorders>
            <w:shd w:val="clear" w:color="auto" w:fill="CCEEFF"/>
          </w:tcPr>
          <w:p>
            <w:pPr>
              <w:spacing w:after="0"/>
              <w:rPr>
                <w:sz w:val="16"/>
                <w:szCs w:val="16"/>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24,213</w:t>
            </w:r>
          </w:p>
        </w:tc>
        <w:tc>
          <w:tcPr>
            <w:tcW w:w="80" w:type="dxa"/>
            <w:vAlign w:val="bottom"/>
            <w:tcBorders>
              <w:bottom w:val="single" w:sz="8" w:color="CCEEFF"/>
            </w:tcBorders>
            <w:shd w:val="clear" w:color="auto" w:fill="CCEEFF"/>
          </w:tcPr>
          <w:p>
            <w:pPr>
              <w:spacing w:after="0"/>
              <w:rPr>
                <w:sz w:val="16"/>
                <w:szCs w:val="16"/>
                <w:color w:val="auto"/>
              </w:rPr>
            </w:pPr>
          </w:p>
        </w:tc>
        <w:tc>
          <w:tcPr>
            <w:tcW w:w="620" w:type="dxa"/>
            <w:vAlign w:val="bottom"/>
            <w:tcBorders>
              <w:bottom w:val="single" w:sz="8" w:color="CCEEFF"/>
            </w:tcBorders>
            <w:shd w:val="clear" w:color="auto" w:fill="CCEEFF"/>
          </w:tcPr>
          <w:p>
            <w:pPr>
              <w:spacing w:after="0"/>
              <w:rPr>
                <w:sz w:val="16"/>
                <w:szCs w:val="16"/>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18,457</w:t>
            </w:r>
          </w:p>
        </w:tc>
        <w:tc>
          <w:tcPr>
            <w:tcW w:w="0" w:type="dxa"/>
            <w:vAlign w:val="bottom"/>
          </w:tcPr>
          <w:p>
            <w:pPr>
              <w:spacing w:after="0"/>
              <w:rPr>
                <w:sz w:val="1"/>
                <w:szCs w:val="1"/>
                <w:color w:val="auto"/>
              </w:rPr>
            </w:pPr>
          </w:p>
        </w:tc>
      </w:tr>
      <w:tr>
        <w:trPr>
          <w:trHeight w:val="178"/>
        </w:trPr>
        <w:tc>
          <w:tcPr>
            <w:tcW w:w="7920" w:type="dxa"/>
            <w:vAlign w:val="bottom"/>
          </w:tcPr>
          <w:p>
            <w:pPr>
              <w:ind w:left="80"/>
              <w:spacing w:after="0"/>
              <w:rPr>
                <w:sz w:val="20"/>
                <w:szCs w:val="20"/>
                <w:color w:val="auto"/>
              </w:rPr>
            </w:pPr>
            <w:r>
              <w:rPr>
                <w:rFonts w:ascii="Arial" w:cs="Arial" w:eastAsia="Arial" w:hAnsi="Arial"/>
                <w:sz w:val="13"/>
                <w:szCs w:val="13"/>
                <w:color w:val="auto"/>
              </w:rPr>
              <w:t>Loan servicing fees to third parties</w:t>
            </w:r>
          </w:p>
        </w:tc>
        <w:tc>
          <w:tcPr>
            <w:tcW w:w="104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3"/>
                <w:szCs w:val="13"/>
                <w:color w:val="auto"/>
              </w:rPr>
              <w:t>2,893</w:t>
            </w:r>
          </w:p>
        </w:tc>
        <w:tc>
          <w:tcPr>
            <w:tcW w:w="8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100" w:type="dxa"/>
            <w:vAlign w:val="bottom"/>
          </w:tcPr>
          <w:p>
            <w:pPr>
              <w:jc w:val="right"/>
              <w:spacing w:after="0"/>
              <w:rPr>
                <w:sz w:val="20"/>
                <w:szCs w:val="20"/>
                <w:color w:val="auto"/>
              </w:rPr>
            </w:pPr>
            <w:r>
              <w:rPr>
                <w:rFonts w:ascii="Arial" w:cs="Arial" w:eastAsia="Arial" w:hAnsi="Arial"/>
                <w:sz w:val="13"/>
                <w:szCs w:val="13"/>
                <w:color w:val="auto"/>
              </w:rPr>
              <w:t>3,136</w:t>
            </w:r>
          </w:p>
        </w:tc>
        <w:tc>
          <w:tcPr>
            <w:tcW w:w="0" w:type="dxa"/>
            <w:vAlign w:val="bottom"/>
          </w:tcPr>
          <w:p>
            <w:pPr>
              <w:spacing w:after="0"/>
              <w:rPr>
                <w:sz w:val="1"/>
                <w:szCs w:val="1"/>
                <w:color w:val="auto"/>
              </w:rPr>
            </w:pPr>
          </w:p>
        </w:tc>
      </w:tr>
      <w:tr>
        <w:trPr>
          <w:trHeight w:val="27"/>
        </w:trPr>
        <w:tc>
          <w:tcPr>
            <w:tcW w:w="79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680" w:type="dxa"/>
            <w:vAlign w:val="bottom"/>
          </w:tcPr>
          <w:p>
            <w:pPr>
              <w:spacing w:after="0"/>
              <w:rPr>
                <w:sz w:val="2"/>
                <w:szCs w:val="2"/>
                <w:color w:val="auto"/>
              </w:rPr>
            </w:pPr>
          </w:p>
        </w:tc>
        <w:tc>
          <w:tcPr>
            <w:tcW w:w="80" w:type="dxa"/>
            <w:vAlign w:val="bottom"/>
          </w:tcPr>
          <w:p>
            <w:pPr>
              <w:spacing w:after="0"/>
              <w:rPr>
                <w:sz w:val="2"/>
                <w:szCs w:val="2"/>
                <w:color w:val="auto"/>
              </w:rPr>
            </w:pPr>
          </w:p>
        </w:tc>
        <w:tc>
          <w:tcPr>
            <w:tcW w:w="6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5"/>
        </w:trPr>
        <w:tc>
          <w:tcPr>
            <w:tcW w:w="7920" w:type="dxa"/>
            <w:vAlign w:val="bottom"/>
            <w:tcBorders>
              <w:bottom w:val="single" w:sz="8" w:color="CCEEFF"/>
            </w:tcBorders>
            <w:shd w:val="clear" w:color="auto" w:fill="CCEEFF"/>
          </w:tcPr>
          <w:p>
            <w:pPr>
              <w:ind w:left="80"/>
              <w:spacing w:after="0"/>
              <w:rPr>
                <w:sz w:val="20"/>
                <w:szCs w:val="20"/>
                <w:color w:val="auto"/>
              </w:rPr>
            </w:pPr>
            <w:r>
              <w:rPr>
                <w:rFonts w:ascii="Arial" w:cs="Arial" w:eastAsia="Arial" w:hAnsi="Arial"/>
                <w:sz w:val="13"/>
                <w:szCs w:val="13"/>
                <w:color w:val="auto"/>
              </w:rPr>
              <w:t>Other expenses</w:t>
            </w:r>
          </w:p>
        </w:tc>
        <w:tc>
          <w:tcPr>
            <w:tcW w:w="1040" w:type="dxa"/>
            <w:vAlign w:val="bottom"/>
            <w:tcBorders>
              <w:bottom w:val="single" w:sz="8" w:color="CCEEFF"/>
            </w:tcBorders>
            <w:shd w:val="clear" w:color="auto" w:fill="CCEEFF"/>
          </w:tcPr>
          <w:p>
            <w:pPr>
              <w:spacing w:after="0"/>
              <w:rPr>
                <w:sz w:val="17"/>
                <w:szCs w:val="17"/>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40,923</w:t>
            </w:r>
          </w:p>
        </w:tc>
        <w:tc>
          <w:tcPr>
            <w:tcW w:w="80" w:type="dxa"/>
            <w:vAlign w:val="bottom"/>
            <w:tcBorders>
              <w:bottom w:val="single" w:sz="8" w:color="CCEEFF"/>
            </w:tcBorders>
            <w:shd w:val="clear" w:color="auto" w:fill="CCEEFF"/>
          </w:tcPr>
          <w:p>
            <w:pPr>
              <w:spacing w:after="0"/>
              <w:rPr>
                <w:sz w:val="17"/>
                <w:szCs w:val="17"/>
                <w:color w:val="auto"/>
              </w:rPr>
            </w:pPr>
          </w:p>
        </w:tc>
        <w:tc>
          <w:tcPr>
            <w:tcW w:w="620" w:type="dxa"/>
            <w:vAlign w:val="bottom"/>
            <w:tcBorders>
              <w:bottom w:val="single" w:sz="8" w:color="CCEEFF"/>
            </w:tcBorders>
            <w:shd w:val="clear" w:color="auto" w:fill="CCEEFF"/>
          </w:tcPr>
          <w:p>
            <w:pPr>
              <w:spacing w:after="0"/>
              <w:rPr>
                <w:sz w:val="17"/>
                <w:szCs w:val="17"/>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33,417</w:t>
            </w:r>
          </w:p>
        </w:tc>
        <w:tc>
          <w:tcPr>
            <w:tcW w:w="0" w:type="dxa"/>
            <w:vAlign w:val="bottom"/>
          </w:tcPr>
          <w:p>
            <w:pPr>
              <w:spacing w:after="0"/>
              <w:rPr>
                <w:sz w:val="1"/>
                <w:szCs w:val="1"/>
                <w:color w:val="auto"/>
              </w:rPr>
            </w:pPr>
          </w:p>
        </w:tc>
      </w:tr>
      <w:tr>
        <w:trPr>
          <w:trHeight w:val="169"/>
        </w:trPr>
        <w:tc>
          <w:tcPr>
            <w:tcW w:w="7920" w:type="dxa"/>
            <w:vAlign w:val="bottom"/>
          </w:tcPr>
          <w:p>
            <w:pPr>
              <w:ind w:left="160"/>
              <w:spacing w:after="0"/>
              <w:rPr>
                <w:sz w:val="20"/>
                <w:szCs w:val="20"/>
                <w:color w:val="auto"/>
              </w:rPr>
            </w:pPr>
            <w:r>
              <w:rPr>
                <w:rFonts w:ascii="Arial" w:cs="Arial" w:eastAsia="Arial" w:hAnsi="Arial"/>
                <w:sz w:val="13"/>
                <w:szCs w:val="13"/>
                <w:color w:val="auto"/>
              </w:rPr>
              <w:t>Total operating expenses</w:t>
            </w:r>
          </w:p>
        </w:tc>
        <w:tc>
          <w:tcPr>
            <w:tcW w:w="1040" w:type="dxa"/>
            <w:vAlign w:val="bottom"/>
            <w:tcBorders>
              <w:top w:val="single" w:sz="8" w:color="auto"/>
            </w:tcBorders>
          </w:tcPr>
          <w:p>
            <w:pPr>
              <w:spacing w:after="0"/>
              <w:rPr>
                <w:sz w:val="14"/>
                <w:szCs w:val="14"/>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179,088</w:t>
            </w:r>
          </w:p>
        </w:tc>
        <w:tc>
          <w:tcPr>
            <w:tcW w:w="80" w:type="dxa"/>
            <w:vAlign w:val="bottom"/>
          </w:tcPr>
          <w:p>
            <w:pPr>
              <w:spacing w:after="0"/>
              <w:rPr>
                <w:sz w:val="14"/>
                <w:szCs w:val="14"/>
                <w:color w:val="auto"/>
              </w:rPr>
            </w:pPr>
          </w:p>
        </w:tc>
        <w:tc>
          <w:tcPr>
            <w:tcW w:w="620" w:type="dxa"/>
            <w:vAlign w:val="bottom"/>
            <w:tcBorders>
              <w:top w:val="single" w:sz="8" w:color="auto"/>
            </w:tcBorders>
          </w:tcPr>
          <w:p>
            <w:pPr>
              <w:spacing w:after="0"/>
              <w:rPr>
                <w:sz w:val="14"/>
                <w:szCs w:val="14"/>
                <w:color w:val="auto"/>
              </w:rPr>
            </w:pP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151,653</w:t>
            </w:r>
          </w:p>
        </w:tc>
        <w:tc>
          <w:tcPr>
            <w:tcW w:w="0" w:type="dxa"/>
            <w:vAlign w:val="bottom"/>
          </w:tcPr>
          <w:p>
            <w:pPr>
              <w:spacing w:after="0"/>
              <w:rPr>
                <w:sz w:val="1"/>
                <w:szCs w:val="1"/>
                <w:color w:val="auto"/>
              </w:rPr>
            </w:pPr>
          </w:p>
        </w:tc>
      </w:tr>
      <w:tr>
        <w:trPr>
          <w:trHeight w:val="27"/>
        </w:trPr>
        <w:tc>
          <w:tcPr>
            <w:tcW w:w="7920" w:type="dxa"/>
            <w:vAlign w:val="bottom"/>
            <w:tcBorders>
              <w:bottom w:val="single" w:sz="8" w:color="CCEEFF"/>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76"/>
        </w:trPr>
        <w:tc>
          <w:tcPr>
            <w:tcW w:w="79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3"/>
                <w:szCs w:val="13"/>
                <w:color w:val="auto"/>
              </w:rPr>
              <w:t>Income before income taxes</w:t>
            </w:r>
          </w:p>
        </w:tc>
        <w:tc>
          <w:tcPr>
            <w:tcW w:w="1040" w:type="dxa"/>
            <w:vAlign w:val="bottom"/>
            <w:tcBorders>
              <w:bottom w:val="single" w:sz="8" w:color="CCEEFF"/>
            </w:tcBorders>
            <w:shd w:val="clear" w:color="auto" w:fill="CCEEFF"/>
          </w:tcPr>
          <w:p>
            <w:pPr>
              <w:spacing w:after="0"/>
              <w:rPr>
                <w:sz w:val="15"/>
                <w:szCs w:val="15"/>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53,038</w:t>
            </w:r>
          </w:p>
        </w:tc>
        <w:tc>
          <w:tcPr>
            <w:tcW w:w="80" w:type="dxa"/>
            <w:vAlign w:val="bottom"/>
            <w:tcBorders>
              <w:bottom w:val="single" w:sz="8" w:color="CCEEFF"/>
            </w:tcBorders>
            <w:shd w:val="clear" w:color="auto" w:fill="CCEEFF"/>
          </w:tcPr>
          <w:p>
            <w:pPr>
              <w:spacing w:after="0"/>
              <w:rPr>
                <w:sz w:val="15"/>
                <w:szCs w:val="15"/>
                <w:color w:val="auto"/>
              </w:rPr>
            </w:pPr>
          </w:p>
        </w:tc>
        <w:tc>
          <w:tcPr>
            <w:tcW w:w="620" w:type="dxa"/>
            <w:vAlign w:val="bottom"/>
            <w:tcBorders>
              <w:bottom w:val="single" w:sz="8" w:color="CCEEFF"/>
            </w:tcBorders>
            <w:shd w:val="clear" w:color="auto" w:fill="CCEEFF"/>
          </w:tcPr>
          <w:p>
            <w:pPr>
              <w:spacing w:after="0"/>
              <w:rPr>
                <w:sz w:val="15"/>
                <w:szCs w:val="15"/>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149,161</w:t>
            </w:r>
          </w:p>
        </w:tc>
        <w:tc>
          <w:tcPr>
            <w:tcW w:w="0" w:type="dxa"/>
            <w:vAlign w:val="bottom"/>
          </w:tcPr>
          <w:p>
            <w:pPr>
              <w:spacing w:after="0"/>
              <w:rPr>
                <w:sz w:val="1"/>
                <w:szCs w:val="1"/>
                <w:color w:val="auto"/>
              </w:rPr>
            </w:pPr>
          </w:p>
        </w:tc>
      </w:tr>
      <w:tr>
        <w:trPr>
          <w:trHeight w:val="178"/>
        </w:trPr>
        <w:tc>
          <w:tcPr>
            <w:tcW w:w="7920" w:type="dxa"/>
            <w:vAlign w:val="bottom"/>
          </w:tcPr>
          <w:p>
            <w:pPr>
              <w:ind w:left="80"/>
              <w:spacing w:after="0"/>
              <w:rPr>
                <w:sz w:val="20"/>
                <w:szCs w:val="20"/>
                <w:color w:val="auto"/>
              </w:rPr>
            </w:pPr>
            <w:r>
              <w:rPr>
                <w:rFonts w:ascii="Arial" w:cs="Arial" w:eastAsia="Arial" w:hAnsi="Arial"/>
                <w:sz w:val="13"/>
                <w:szCs w:val="13"/>
                <w:color w:val="auto"/>
              </w:rPr>
              <w:t>Income tax expense</w:t>
            </w:r>
          </w:p>
        </w:tc>
        <w:tc>
          <w:tcPr>
            <w:tcW w:w="104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3"/>
                <w:szCs w:val="13"/>
                <w:color w:val="auto"/>
              </w:rPr>
              <w:t>11,391</w:t>
            </w:r>
          </w:p>
        </w:tc>
        <w:tc>
          <w:tcPr>
            <w:tcW w:w="8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100" w:type="dxa"/>
            <w:vAlign w:val="bottom"/>
          </w:tcPr>
          <w:p>
            <w:pPr>
              <w:jc w:val="right"/>
              <w:spacing w:after="0"/>
              <w:rPr>
                <w:sz w:val="20"/>
                <w:szCs w:val="20"/>
                <w:color w:val="auto"/>
              </w:rPr>
            </w:pPr>
            <w:r>
              <w:rPr>
                <w:rFonts w:ascii="Arial" w:cs="Arial" w:eastAsia="Arial" w:hAnsi="Arial"/>
                <w:sz w:val="13"/>
                <w:szCs w:val="13"/>
                <w:color w:val="auto"/>
              </w:rPr>
              <w:t>35,976</w:t>
            </w:r>
          </w:p>
        </w:tc>
        <w:tc>
          <w:tcPr>
            <w:tcW w:w="0" w:type="dxa"/>
            <w:vAlign w:val="bottom"/>
          </w:tcPr>
          <w:p>
            <w:pPr>
              <w:spacing w:after="0"/>
              <w:rPr>
                <w:sz w:val="1"/>
                <w:szCs w:val="1"/>
                <w:color w:val="auto"/>
              </w:rPr>
            </w:pPr>
          </w:p>
        </w:tc>
      </w:tr>
      <w:tr>
        <w:trPr>
          <w:trHeight w:val="27"/>
        </w:trPr>
        <w:tc>
          <w:tcPr>
            <w:tcW w:w="7920" w:type="dxa"/>
            <w:vAlign w:val="bottom"/>
            <w:tcBorders>
              <w:bottom w:val="single" w:sz="8" w:color="CCEEFF"/>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76"/>
        </w:trPr>
        <w:tc>
          <w:tcPr>
            <w:tcW w:w="79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3"/>
                <w:szCs w:val="13"/>
                <w:color w:val="auto"/>
              </w:rPr>
              <w:t>Net income</w:t>
            </w:r>
          </w:p>
        </w:tc>
        <w:tc>
          <w:tcPr>
            <w:tcW w:w="1040" w:type="dxa"/>
            <w:vAlign w:val="bottom"/>
            <w:tcBorders>
              <w:bottom w:val="single" w:sz="8" w:color="CCEEFF"/>
            </w:tcBorders>
            <w:shd w:val="clear" w:color="auto" w:fill="CCEEFF"/>
          </w:tcPr>
          <w:p>
            <w:pPr>
              <w:spacing w:after="0"/>
              <w:rPr>
                <w:sz w:val="15"/>
                <w:szCs w:val="15"/>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41,647</w:t>
            </w:r>
          </w:p>
        </w:tc>
        <w:tc>
          <w:tcPr>
            <w:tcW w:w="80" w:type="dxa"/>
            <w:vAlign w:val="bottom"/>
            <w:tcBorders>
              <w:bottom w:val="single" w:sz="8" w:color="CCEEFF"/>
            </w:tcBorders>
            <w:shd w:val="clear" w:color="auto" w:fill="CCEEFF"/>
          </w:tcPr>
          <w:p>
            <w:pPr>
              <w:spacing w:after="0"/>
              <w:rPr>
                <w:sz w:val="15"/>
                <w:szCs w:val="15"/>
                <w:color w:val="auto"/>
              </w:rPr>
            </w:pPr>
          </w:p>
        </w:tc>
        <w:tc>
          <w:tcPr>
            <w:tcW w:w="620" w:type="dxa"/>
            <w:vAlign w:val="bottom"/>
            <w:tcBorders>
              <w:bottom w:val="single" w:sz="8" w:color="CCEEFF"/>
            </w:tcBorders>
            <w:shd w:val="clear" w:color="auto" w:fill="CCEEFF"/>
          </w:tcPr>
          <w:p>
            <w:pPr>
              <w:spacing w:after="0"/>
              <w:rPr>
                <w:sz w:val="15"/>
                <w:szCs w:val="15"/>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113,185</w:t>
            </w:r>
          </w:p>
        </w:tc>
        <w:tc>
          <w:tcPr>
            <w:tcW w:w="0" w:type="dxa"/>
            <w:vAlign w:val="bottom"/>
          </w:tcPr>
          <w:p>
            <w:pPr>
              <w:spacing w:after="0"/>
              <w:rPr>
                <w:sz w:val="1"/>
                <w:szCs w:val="1"/>
                <w:color w:val="auto"/>
              </w:rPr>
            </w:pPr>
          </w:p>
        </w:tc>
      </w:tr>
      <w:tr>
        <w:trPr>
          <w:trHeight w:val="202"/>
        </w:trPr>
        <w:tc>
          <w:tcPr>
            <w:tcW w:w="7920" w:type="dxa"/>
            <w:vAlign w:val="bottom"/>
            <w:tcBorders>
              <w:bottom w:val="single" w:sz="8" w:color="CCEEFF"/>
            </w:tcBorders>
          </w:tcPr>
          <w:p>
            <w:pPr>
              <w:ind w:left="420"/>
              <w:spacing w:after="0"/>
              <w:rPr>
                <w:sz w:val="20"/>
                <w:szCs w:val="20"/>
                <w:color w:val="auto"/>
              </w:rPr>
            </w:pPr>
            <w:r>
              <w:rPr>
                <w:rFonts w:ascii="Arial" w:cs="Arial" w:eastAsia="Arial" w:hAnsi="Arial"/>
                <w:sz w:val="13"/>
                <w:szCs w:val="13"/>
                <w:color w:val="auto"/>
              </w:rPr>
              <w:t>Net (income) loss attributable to noncontrolling interests</w:t>
            </w:r>
          </w:p>
        </w:tc>
        <w:tc>
          <w:tcPr>
            <w:tcW w:w="104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(56)</w:t>
            </w:r>
          </w:p>
        </w:tc>
        <w:tc>
          <w:tcPr>
            <w:tcW w:w="80" w:type="dxa"/>
            <w:vAlign w:val="bottom"/>
            <w:tcBorders>
              <w:bottom w:val="single" w:sz="8" w:color="CCEEFF"/>
            </w:tcBorders>
          </w:tcPr>
          <w:p>
            <w:pPr>
              <w:spacing w:after="0"/>
              <w:rPr>
                <w:sz w:val="17"/>
                <w:szCs w:val="17"/>
                <w:color w:val="auto"/>
              </w:rPr>
            </w:pPr>
          </w:p>
        </w:tc>
        <w:tc>
          <w:tcPr>
            <w:tcW w:w="62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740</w:t>
            </w:r>
          </w:p>
        </w:tc>
        <w:tc>
          <w:tcPr>
            <w:tcW w:w="0" w:type="dxa"/>
            <w:vAlign w:val="bottom"/>
          </w:tcPr>
          <w:p>
            <w:pPr>
              <w:spacing w:after="0"/>
              <w:rPr>
                <w:sz w:val="1"/>
                <w:szCs w:val="1"/>
                <w:color w:val="auto"/>
              </w:rPr>
            </w:pPr>
          </w:p>
        </w:tc>
      </w:tr>
      <w:tr>
        <w:trPr>
          <w:trHeight w:val="223"/>
        </w:trPr>
        <w:tc>
          <w:tcPr>
            <w:tcW w:w="7920" w:type="dxa"/>
            <w:vAlign w:val="bottom"/>
            <w:tcBorders>
              <w:bottom w:val="single" w:sz="8" w:color="CCEEFF"/>
            </w:tcBorders>
            <w:shd w:val="clear" w:color="auto" w:fill="CCEEFF"/>
          </w:tcPr>
          <w:p>
            <w:pPr>
              <w:ind w:left="300"/>
              <w:spacing w:after="0"/>
              <w:rPr>
                <w:sz w:val="20"/>
                <w:szCs w:val="20"/>
                <w:color w:val="auto"/>
              </w:rPr>
            </w:pPr>
            <w:r>
              <w:rPr>
                <w:rFonts w:ascii="Arial" w:cs="Arial" w:eastAsia="Arial" w:hAnsi="Arial"/>
                <w:sz w:val="13"/>
                <w:szCs w:val="13"/>
                <w:color w:val="auto"/>
              </w:rPr>
              <w:t>Net income attributable to Nelnet, Inc.</w:t>
            </w:r>
          </w:p>
        </w:tc>
        <w:tc>
          <w:tcPr>
            <w:tcW w:w="1040" w:type="dxa"/>
            <w:vAlign w:val="bottom"/>
            <w:tcBorders>
              <w:bottom w:val="single" w:sz="8" w:color="CCEEFF"/>
            </w:tcBorders>
            <w:shd w:val="clear" w:color="auto" w:fill="CCEEFF"/>
          </w:tcPr>
          <w:p>
            <w:pPr>
              <w:jc w:val="right"/>
              <w:ind w:right="895"/>
              <w:spacing w:after="0"/>
              <w:rPr>
                <w:sz w:val="20"/>
                <w:szCs w:val="20"/>
                <w:color w:val="auto"/>
              </w:rPr>
            </w:pPr>
            <w:r>
              <w:rPr>
                <w:rFonts w:ascii="Arial" w:cs="Arial" w:eastAsia="Arial" w:hAnsi="Arial"/>
                <w:sz w:val="13"/>
                <w:szCs w:val="13"/>
                <w:color w:val="auto"/>
                <w:w w:val="82"/>
              </w:rPr>
              <w:t>$</w:t>
            </w: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41,591</w:t>
            </w:r>
          </w:p>
        </w:tc>
        <w:tc>
          <w:tcPr>
            <w:tcW w:w="80" w:type="dxa"/>
            <w:vAlign w:val="bottom"/>
            <w:tcBorders>
              <w:bottom w:val="single" w:sz="8" w:color="CCEEFF"/>
            </w:tcBorders>
            <w:shd w:val="clear" w:color="auto" w:fill="CCEEFF"/>
          </w:tcPr>
          <w:p>
            <w:pPr>
              <w:spacing w:after="0"/>
              <w:rPr>
                <w:sz w:val="18"/>
                <w:szCs w:val="18"/>
                <w:color w:val="auto"/>
              </w:rPr>
            </w:pPr>
          </w:p>
        </w:tc>
        <w:tc>
          <w:tcPr>
            <w:tcW w:w="620" w:type="dxa"/>
            <w:vAlign w:val="bottom"/>
            <w:tcBorders>
              <w:bottom w:val="single" w:sz="8" w:color="CCEEFF"/>
            </w:tcBorders>
            <w:shd w:val="clear" w:color="auto" w:fill="CCEEFF"/>
          </w:tcPr>
          <w:p>
            <w:pPr>
              <w:spacing w:after="0"/>
              <w:rPr>
                <w:sz w:val="18"/>
                <w:szCs w:val="18"/>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113,925</w:t>
            </w:r>
          </w:p>
        </w:tc>
        <w:tc>
          <w:tcPr>
            <w:tcW w:w="0" w:type="dxa"/>
            <w:vAlign w:val="bottom"/>
          </w:tcPr>
          <w:p>
            <w:pPr>
              <w:spacing w:after="0"/>
              <w:rPr>
                <w:sz w:val="1"/>
                <w:szCs w:val="1"/>
                <w:color w:val="auto"/>
              </w:rPr>
            </w:pPr>
          </w:p>
        </w:tc>
      </w:tr>
      <w:tr>
        <w:trPr>
          <w:trHeight w:val="20"/>
        </w:trPr>
        <w:tc>
          <w:tcPr>
            <w:tcW w:w="7920" w:type="dxa"/>
            <w:vAlign w:val="bottom"/>
            <w:tcBorders>
              <w:top w:val="single" w:sz="8" w:color="CCEEFF"/>
              <w:bottom w:val="single" w:sz="8" w:color="CCEEFF"/>
            </w:tcBorders>
            <w:vMerge w:val="restart"/>
          </w:tcPr>
          <w:p>
            <w:pPr>
              <w:ind w:left="80"/>
              <w:spacing w:after="0"/>
              <w:rPr>
                <w:sz w:val="20"/>
                <w:szCs w:val="20"/>
                <w:color w:val="auto"/>
              </w:rPr>
            </w:pPr>
            <w:r>
              <w:rPr>
                <w:rFonts w:ascii="Arial" w:cs="Arial" w:eastAsia="Arial" w:hAnsi="Arial"/>
                <w:sz w:val="13"/>
                <w:szCs w:val="13"/>
                <w:color w:val="auto"/>
              </w:rPr>
              <w:t>Earnings per common share:</w:t>
            </w:r>
          </w:p>
        </w:tc>
        <w:tc>
          <w:tcPr>
            <w:tcW w:w="104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0"/>
        </w:trPr>
        <w:tc>
          <w:tcPr>
            <w:tcW w:w="7920" w:type="dxa"/>
            <w:vAlign w:val="bottom"/>
            <w:vMerge w:val="continue"/>
          </w:tcPr>
          <w:p>
            <w:pPr>
              <w:spacing w:after="0"/>
              <w:rPr>
                <w:sz w:val="10"/>
                <w:szCs w:val="10"/>
                <w:color w:val="auto"/>
              </w:rPr>
            </w:pPr>
          </w:p>
        </w:tc>
        <w:tc>
          <w:tcPr>
            <w:tcW w:w="104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7"/>
        </w:trPr>
        <w:tc>
          <w:tcPr>
            <w:tcW w:w="79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680" w:type="dxa"/>
            <w:vAlign w:val="bottom"/>
          </w:tcPr>
          <w:p>
            <w:pPr>
              <w:spacing w:after="0"/>
              <w:rPr>
                <w:sz w:val="2"/>
                <w:szCs w:val="2"/>
                <w:color w:val="auto"/>
              </w:rPr>
            </w:pPr>
          </w:p>
        </w:tc>
        <w:tc>
          <w:tcPr>
            <w:tcW w:w="80" w:type="dxa"/>
            <w:vAlign w:val="bottom"/>
          </w:tcPr>
          <w:p>
            <w:pPr>
              <w:spacing w:after="0"/>
              <w:rPr>
                <w:sz w:val="2"/>
                <w:szCs w:val="2"/>
                <w:color w:val="auto"/>
              </w:rPr>
            </w:pPr>
          </w:p>
        </w:tc>
        <w:tc>
          <w:tcPr>
            <w:tcW w:w="6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0"/>
        </w:trPr>
        <w:tc>
          <w:tcPr>
            <w:tcW w:w="79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3"/>
                <w:szCs w:val="13"/>
                <w:color w:val="auto"/>
              </w:rPr>
              <w:t>Net income attributable to Nelnet, Inc. shareholders - basic and diluted</w:t>
            </w:r>
          </w:p>
        </w:tc>
        <w:tc>
          <w:tcPr>
            <w:tcW w:w="1040" w:type="dxa"/>
            <w:vAlign w:val="bottom"/>
            <w:tcBorders>
              <w:bottom w:val="single" w:sz="8" w:color="CCEEFF"/>
            </w:tcBorders>
            <w:shd w:val="clear" w:color="auto" w:fill="CCEEFF"/>
          </w:tcPr>
          <w:p>
            <w:pPr>
              <w:jc w:val="right"/>
              <w:ind w:right="895"/>
              <w:spacing w:after="0"/>
              <w:rPr>
                <w:sz w:val="20"/>
                <w:szCs w:val="20"/>
                <w:color w:val="auto"/>
              </w:rPr>
            </w:pPr>
            <w:r>
              <w:rPr>
                <w:rFonts w:ascii="Arial" w:cs="Arial" w:eastAsia="Arial" w:hAnsi="Arial"/>
                <w:sz w:val="13"/>
                <w:szCs w:val="13"/>
                <w:color w:val="auto"/>
                <w:w w:val="82"/>
              </w:rPr>
              <w:t>$</w:t>
            </w: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1.03</w:t>
            </w:r>
          </w:p>
        </w:tc>
        <w:tc>
          <w:tcPr>
            <w:tcW w:w="80" w:type="dxa"/>
            <w:vAlign w:val="bottom"/>
            <w:tcBorders>
              <w:bottom w:val="single" w:sz="8" w:color="CCEEFF"/>
            </w:tcBorders>
            <w:shd w:val="clear" w:color="auto" w:fill="CCEEFF"/>
          </w:tcPr>
          <w:p>
            <w:pPr>
              <w:spacing w:after="0"/>
              <w:rPr>
                <w:sz w:val="19"/>
                <w:szCs w:val="19"/>
                <w:color w:val="auto"/>
              </w:rPr>
            </w:pPr>
          </w:p>
        </w:tc>
        <w:tc>
          <w:tcPr>
            <w:tcW w:w="620" w:type="dxa"/>
            <w:vAlign w:val="bottom"/>
            <w:tcBorders>
              <w:bottom w:val="single" w:sz="8" w:color="CCEEFF"/>
            </w:tcBorders>
            <w:shd w:val="clear" w:color="auto" w:fill="CCEEFF"/>
          </w:tcPr>
          <w:p>
            <w:pPr>
              <w:spacing w:after="0"/>
              <w:rPr>
                <w:sz w:val="19"/>
                <w:szCs w:val="19"/>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2.78</w:t>
            </w:r>
          </w:p>
        </w:tc>
        <w:tc>
          <w:tcPr>
            <w:tcW w:w="0" w:type="dxa"/>
            <w:vAlign w:val="bottom"/>
          </w:tcPr>
          <w:p>
            <w:pPr>
              <w:spacing w:after="0"/>
              <w:rPr>
                <w:sz w:val="1"/>
                <w:szCs w:val="1"/>
                <w:color w:val="auto"/>
              </w:rPr>
            </w:pPr>
          </w:p>
        </w:tc>
      </w:tr>
      <w:tr>
        <w:trPr>
          <w:trHeight w:val="20"/>
        </w:trPr>
        <w:tc>
          <w:tcPr>
            <w:tcW w:w="792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3"/>
        </w:trPr>
        <w:tc>
          <w:tcPr>
            <w:tcW w:w="7920" w:type="dxa"/>
            <w:vAlign w:val="bottom"/>
          </w:tcPr>
          <w:p>
            <w:pPr>
              <w:ind w:left="280"/>
              <w:spacing w:after="0"/>
              <w:rPr>
                <w:sz w:val="20"/>
                <w:szCs w:val="20"/>
                <w:color w:val="auto"/>
              </w:rPr>
            </w:pPr>
            <w:r>
              <w:rPr>
                <w:rFonts w:ascii="Arial" w:cs="Arial" w:eastAsia="Arial" w:hAnsi="Arial"/>
                <w:sz w:val="13"/>
                <w:szCs w:val="13"/>
                <w:color w:val="auto"/>
              </w:rPr>
              <w:t>Weighted average common shares outstanding - basic and diluted</w:t>
            </w:r>
          </w:p>
        </w:tc>
        <w:tc>
          <w:tcPr>
            <w:tcW w:w="104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3"/>
                <w:szCs w:val="13"/>
                <w:color w:val="auto"/>
                <w:w w:val="92"/>
              </w:rPr>
              <w:t>40,373,295</w:t>
            </w:r>
          </w:p>
        </w:tc>
        <w:tc>
          <w:tcPr>
            <w:tcW w:w="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100" w:type="dxa"/>
            <w:vAlign w:val="bottom"/>
          </w:tcPr>
          <w:p>
            <w:pPr>
              <w:jc w:val="right"/>
              <w:spacing w:after="0"/>
              <w:rPr>
                <w:sz w:val="20"/>
                <w:szCs w:val="20"/>
                <w:color w:val="auto"/>
              </w:rPr>
            </w:pPr>
            <w:r>
              <w:rPr>
                <w:rFonts w:ascii="Arial" w:cs="Arial" w:eastAsia="Arial" w:hAnsi="Arial"/>
                <w:sz w:val="13"/>
                <w:szCs w:val="13"/>
                <w:color w:val="auto"/>
              </w:rPr>
              <w:t>40,950,528</w:t>
            </w:r>
          </w:p>
        </w:tc>
        <w:tc>
          <w:tcPr>
            <w:tcW w:w="0" w:type="dxa"/>
            <w:vAlign w:val="bottom"/>
          </w:tcPr>
          <w:p>
            <w:pPr>
              <w:spacing w:after="0"/>
              <w:rPr>
                <w:sz w:val="1"/>
                <w:szCs w:val="1"/>
                <w:color w:val="auto"/>
              </w:rPr>
            </w:pPr>
          </w:p>
        </w:tc>
      </w:tr>
    </w:tbl>
    <w:p>
      <w:pPr>
        <w:spacing w:after="0" w:line="279" w:lineRule="exact"/>
        <w:rPr>
          <w:sz w:val="20"/>
          <w:szCs w:val="20"/>
          <w:color w:val="auto"/>
        </w:rPr>
      </w:pPr>
    </w:p>
    <w:p>
      <w:pPr>
        <w:spacing w:after="0"/>
        <w:rPr>
          <w:sz w:val="20"/>
          <w:szCs w:val="20"/>
          <w:color w:val="auto"/>
        </w:rPr>
      </w:pPr>
      <w:r>
        <w:rPr>
          <w:rFonts w:ascii="Arial" w:cs="Arial" w:eastAsia="Arial" w:hAnsi="Arial"/>
          <w:sz w:val="13"/>
          <w:szCs w:val="13"/>
          <w:color w:val="auto"/>
        </w:rPr>
        <w:t>See accompanying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3</w:t>
      </w:r>
    </w:p>
    <w:p>
      <w:pPr>
        <w:sectPr>
          <w:pgSz w:w="11900" w:h="16838" w:orient="portrait"/>
          <w:cols w:equalWidth="0" w:num="1">
            <w:col w:w="11460"/>
          </w:cols>
          <w:pgMar w:left="220" w:top="782" w:right="219" w:bottom="1440" w:gutter="0" w:footer="0" w:header="0"/>
        </w:sectPr>
      </w:pPr>
    </w:p>
    <w:bookmarkStart w:id="4" w:name="page5"/>
    <w:bookmarkEnd w:id="4"/>
    <w:p>
      <w:pPr>
        <w:jc w:val="center"/>
        <w:ind w:right="-379"/>
        <w:spacing w:after="0"/>
        <w:rPr>
          <w:sz w:val="20"/>
          <w:szCs w:val="20"/>
          <w:color w:val="auto"/>
        </w:rPr>
      </w:pPr>
      <w:r>
        <w:rPr>
          <w:rFonts w:ascii="Arial" w:cs="Arial" w:eastAsia="Arial" w:hAnsi="Arial"/>
          <w:sz w:val="14"/>
          <w:szCs w:val="14"/>
          <w:b w:val="1"/>
          <w:bCs w:val="1"/>
          <w:color w:val="auto"/>
        </w:rPr>
        <w:t>NELNET, INC. AND SUBSIDIARIES</w:t>
      </w:r>
    </w:p>
    <w:p>
      <w:pPr>
        <w:spacing w:after="0" w:line="55" w:lineRule="exact"/>
        <w:rPr>
          <w:sz w:val="20"/>
          <w:szCs w:val="20"/>
          <w:color w:val="auto"/>
        </w:rPr>
      </w:pPr>
    </w:p>
    <w:p>
      <w:pPr>
        <w:jc w:val="center"/>
        <w:ind w:right="-379"/>
        <w:spacing w:after="0"/>
        <w:rPr>
          <w:sz w:val="20"/>
          <w:szCs w:val="20"/>
          <w:color w:val="auto"/>
        </w:rPr>
      </w:pPr>
      <w:r>
        <w:rPr>
          <w:rFonts w:ascii="Arial" w:cs="Arial" w:eastAsia="Arial" w:hAnsi="Arial"/>
          <w:sz w:val="14"/>
          <w:szCs w:val="14"/>
          <w:b w:val="1"/>
          <w:bCs w:val="1"/>
          <w:color w:val="auto"/>
        </w:rPr>
        <w:t>CONSOLIDATED STATEMENTS OF COMPREHENSIVE INCOME</w:t>
      </w:r>
    </w:p>
    <w:p>
      <w:pPr>
        <w:spacing w:after="0" w:line="55" w:lineRule="exact"/>
        <w:rPr>
          <w:sz w:val="20"/>
          <w:szCs w:val="20"/>
          <w:color w:val="auto"/>
        </w:rPr>
      </w:pPr>
    </w:p>
    <w:p>
      <w:pPr>
        <w:jc w:val="center"/>
        <w:ind w:right="-379"/>
        <w:spacing w:after="0"/>
        <w:rPr>
          <w:sz w:val="20"/>
          <w:szCs w:val="20"/>
          <w:color w:val="auto"/>
        </w:rPr>
      </w:pPr>
      <w:r>
        <w:rPr>
          <w:rFonts w:ascii="Arial" w:cs="Arial" w:eastAsia="Arial" w:hAnsi="Arial"/>
          <w:sz w:val="14"/>
          <w:szCs w:val="14"/>
          <w:b w:val="1"/>
          <w:bCs w:val="1"/>
          <w:color w:val="auto"/>
        </w:rPr>
        <w:t>(Dollars in thousands)</w:t>
      </w:r>
    </w:p>
    <w:p>
      <w:pPr>
        <w:spacing w:after="0" w:line="55" w:lineRule="exact"/>
        <w:rPr>
          <w:sz w:val="20"/>
          <w:szCs w:val="20"/>
          <w:color w:val="auto"/>
        </w:rPr>
      </w:pPr>
    </w:p>
    <w:p>
      <w:pPr>
        <w:jc w:val="center"/>
        <w:ind w:right="-379"/>
        <w:spacing w:after="0"/>
        <w:rPr>
          <w:sz w:val="20"/>
          <w:szCs w:val="20"/>
          <w:color w:val="auto"/>
        </w:rPr>
      </w:pPr>
      <w:r>
        <w:rPr>
          <w:rFonts w:ascii="Arial" w:cs="Arial" w:eastAsia="Arial" w:hAnsi="Arial"/>
          <w:sz w:val="14"/>
          <w:szCs w:val="14"/>
          <w:b w:val="1"/>
          <w:bCs w:val="1"/>
          <w:color w:val="auto"/>
        </w:rPr>
        <w:t>(unaudited)</w:t>
      </w:r>
    </w:p>
    <w:p>
      <w:pPr>
        <w:spacing w:after="0" w:line="59" w:lineRule="exact"/>
        <w:rPr>
          <w:sz w:val="20"/>
          <w:szCs w:val="20"/>
          <w:color w:val="auto"/>
        </w:rPr>
      </w:pPr>
    </w:p>
    <w:tbl>
      <w:tblPr>
        <w:tblLayout w:type="fixed"/>
        <w:tblInd w:w="380" w:type="dxa"/>
        <w:tblCellMar>
          <w:top w:w="0" w:type="dxa"/>
          <w:left w:w="0" w:type="dxa"/>
          <w:bottom w:w="0" w:type="dxa"/>
          <w:right w:w="0" w:type="dxa"/>
        </w:tblCellMar>
      </w:tblPr>
      <w:tr>
        <w:trPr>
          <w:trHeight w:val="167"/>
        </w:trPr>
        <w:tc>
          <w:tcPr>
            <w:tcW w:w="79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40" w:type="dxa"/>
            <w:vAlign w:val="bottom"/>
            <w:gridSpan w:val="3"/>
          </w:tcPr>
          <w:p>
            <w:pPr>
              <w:jc w:val="center"/>
              <w:ind w:right="20"/>
              <w:spacing w:after="0"/>
              <w:rPr>
                <w:sz w:val="20"/>
                <w:szCs w:val="20"/>
                <w:color w:val="auto"/>
              </w:rPr>
            </w:pPr>
            <w:r>
              <w:rPr>
                <w:rFonts w:ascii="Arial" w:cs="Arial" w:eastAsia="Arial" w:hAnsi="Arial"/>
                <w:sz w:val="13"/>
                <w:szCs w:val="13"/>
                <w:b w:val="1"/>
                <w:bCs w:val="1"/>
                <w:color w:val="auto"/>
                <w:w w:val="87"/>
              </w:rPr>
              <w:t>Three months ended</w:t>
            </w:r>
          </w:p>
        </w:tc>
        <w:tc>
          <w:tcPr>
            <w:tcW w:w="780" w:type="dxa"/>
            <w:vAlign w:val="bottom"/>
          </w:tcPr>
          <w:p>
            <w:pPr>
              <w:spacing w:after="0"/>
              <w:rPr>
                <w:sz w:val="14"/>
                <w:szCs w:val="14"/>
                <w:color w:val="auto"/>
              </w:rPr>
            </w:pPr>
          </w:p>
        </w:tc>
      </w:tr>
      <w:tr>
        <w:trPr>
          <w:trHeight w:val="205"/>
        </w:trPr>
        <w:tc>
          <w:tcPr>
            <w:tcW w:w="79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140" w:type="dxa"/>
            <w:vAlign w:val="bottom"/>
            <w:gridSpan w:val="3"/>
          </w:tcPr>
          <w:p>
            <w:pPr>
              <w:jc w:val="center"/>
              <w:ind w:right="20"/>
              <w:spacing w:after="0"/>
              <w:rPr>
                <w:sz w:val="20"/>
                <w:szCs w:val="20"/>
                <w:color w:val="auto"/>
              </w:rPr>
            </w:pPr>
            <w:r>
              <w:rPr>
                <w:rFonts w:ascii="Arial" w:cs="Arial" w:eastAsia="Arial" w:hAnsi="Arial"/>
                <w:sz w:val="13"/>
                <w:szCs w:val="13"/>
                <w:b w:val="1"/>
                <w:bCs w:val="1"/>
                <w:color w:val="auto"/>
                <w:w w:val="93"/>
              </w:rPr>
              <w:t>March 31,</w:t>
            </w:r>
          </w:p>
        </w:tc>
        <w:tc>
          <w:tcPr>
            <w:tcW w:w="780" w:type="dxa"/>
            <w:vAlign w:val="bottom"/>
          </w:tcPr>
          <w:p>
            <w:pPr>
              <w:spacing w:after="0"/>
              <w:rPr>
                <w:sz w:val="17"/>
                <w:szCs w:val="17"/>
                <w:color w:val="auto"/>
              </w:rPr>
            </w:pPr>
          </w:p>
        </w:tc>
      </w:tr>
      <w:tr>
        <w:trPr>
          <w:trHeight w:val="27"/>
        </w:trPr>
        <w:tc>
          <w:tcPr>
            <w:tcW w:w="7980" w:type="dxa"/>
            <w:vAlign w:val="bottom"/>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r>
      <w:tr>
        <w:trPr>
          <w:trHeight w:val="169"/>
        </w:trPr>
        <w:tc>
          <w:tcPr>
            <w:tcW w:w="798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3"/>
                <w:szCs w:val="13"/>
                <w:b w:val="1"/>
                <w:bCs w:val="1"/>
                <w:color w:val="auto"/>
              </w:rPr>
              <w:t>2019</w:t>
            </w:r>
          </w:p>
        </w:tc>
        <w:tc>
          <w:tcPr>
            <w:tcW w:w="5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780" w:type="dxa"/>
            <w:vAlign w:val="bottom"/>
          </w:tcPr>
          <w:p>
            <w:pPr>
              <w:jc w:val="right"/>
              <w:ind w:right="455"/>
              <w:spacing w:after="0"/>
              <w:rPr>
                <w:sz w:val="20"/>
                <w:szCs w:val="20"/>
                <w:color w:val="auto"/>
              </w:rPr>
            </w:pPr>
            <w:r>
              <w:rPr>
                <w:rFonts w:ascii="Arial" w:cs="Arial" w:eastAsia="Arial" w:hAnsi="Arial"/>
                <w:sz w:val="13"/>
                <w:szCs w:val="13"/>
                <w:b w:val="1"/>
                <w:bCs w:val="1"/>
                <w:color w:val="auto"/>
                <w:w w:val="82"/>
              </w:rPr>
              <w:t>2018</w:t>
            </w:r>
          </w:p>
        </w:tc>
      </w:tr>
      <w:tr>
        <w:trPr>
          <w:trHeight w:val="27"/>
        </w:trPr>
        <w:tc>
          <w:tcPr>
            <w:tcW w:w="7980" w:type="dxa"/>
            <w:vAlign w:val="bottom"/>
            <w:tcBorders>
              <w:bottom w:val="single" w:sz="8" w:color="CCEEFF"/>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r>
      <w:tr>
        <w:trPr>
          <w:trHeight w:val="176"/>
        </w:trPr>
        <w:tc>
          <w:tcPr>
            <w:tcW w:w="7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Net income</w:t>
            </w:r>
          </w:p>
        </w:tc>
        <w:tc>
          <w:tcPr>
            <w:tcW w:w="800" w:type="dxa"/>
            <w:vAlign w:val="bottom"/>
            <w:tcBorders>
              <w:bottom w:val="single" w:sz="8" w:color="CCEEFF"/>
            </w:tcBorders>
            <w:shd w:val="clear" w:color="auto" w:fill="CCEEFF"/>
          </w:tcPr>
          <w:p>
            <w:pPr>
              <w:jc w:val="right"/>
              <w:ind w:right="655"/>
              <w:spacing w:after="0"/>
              <w:rPr>
                <w:sz w:val="20"/>
                <w:szCs w:val="20"/>
                <w:color w:val="auto"/>
              </w:rPr>
            </w:pPr>
            <w:r>
              <w:rPr>
                <w:rFonts w:ascii="Arial" w:cs="Arial" w:eastAsia="Arial" w:hAnsi="Arial"/>
                <w:sz w:val="13"/>
                <w:szCs w:val="13"/>
                <w:color w:val="auto"/>
                <w:w w:val="82"/>
              </w:rPr>
              <w:t>$</w:t>
            </w:r>
          </w:p>
        </w:tc>
        <w:tc>
          <w:tcPr>
            <w:tcW w:w="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41,647</w:t>
            </w:r>
          </w:p>
        </w:tc>
        <w:tc>
          <w:tcPr>
            <w:tcW w:w="120" w:type="dxa"/>
            <w:vAlign w:val="bottom"/>
            <w:tcBorders>
              <w:bottom w:val="single" w:sz="8" w:color="CCEEFF"/>
            </w:tcBorders>
            <w:shd w:val="clear" w:color="auto" w:fill="CCEEFF"/>
          </w:tcPr>
          <w:p>
            <w:pPr>
              <w:spacing w:after="0"/>
              <w:rPr>
                <w:sz w:val="15"/>
                <w:szCs w:val="15"/>
                <w:color w:val="auto"/>
              </w:rPr>
            </w:pPr>
          </w:p>
        </w:tc>
        <w:tc>
          <w:tcPr>
            <w:tcW w:w="500" w:type="dxa"/>
            <w:vAlign w:val="bottom"/>
            <w:tcBorders>
              <w:bottom w:val="single" w:sz="8" w:color="CCEEFF"/>
            </w:tcBorders>
            <w:shd w:val="clear" w:color="auto" w:fill="CCEEFF"/>
          </w:tcPr>
          <w:p>
            <w:pPr>
              <w:spacing w:after="0"/>
              <w:rPr>
                <w:sz w:val="15"/>
                <w:szCs w:val="15"/>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113,185</w:t>
            </w:r>
          </w:p>
        </w:tc>
      </w:tr>
      <w:tr>
        <w:trPr>
          <w:trHeight w:val="178"/>
        </w:trPr>
        <w:tc>
          <w:tcPr>
            <w:tcW w:w="7980" w:type="dxa"/>
            <w:vAlign w:val="bottom"/>
          </w:tcPr>
          <w:p>
            <w:pPr>
              <w:ind w:left="20"/>
              <w:spacing w:after="0"/>
              <w:rPr>
                <w:sz w:val="20"/>
                <w:szCs w:val="20"/>
                <w:color w:val="auto"/>
              </w:rPr>
            </w:pPr>
            <w:r>
              <w:rPr>
                <w:rFonts w:ascii="Arial" w:cs="Arial" w:eastAsia="Arial" w:hAnsi="Arial"/>
                <w:sz w:val="13"/>
                <w:szCs w:val="13"/>
                <w:color w:val="auto"/>
              </w:rPr>
              <w:t>Other comprehensive loss:</w:t>
            </w:r>
          </w:p>
        </w:tc>
        <w:tc>
          <w:tcPr>
            <w:tcW w:w="8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780" w:type="dxa"/>
            <w:vAlign w:val="bottom"/>
          </w:tcPr>
          <w:p>
            <w:pPr>
              <w:spacing w:after="0"/>
              <w:rPr>
                <w:sz w:val="15"/>
                <w:szCs w:val="15"/>
                <w:color w:val="auto"/>
              </w:rPr>
            </w:pPr>
          </w:p>
        </w:tc>
      </w:tr>
      <w:tr>
        <w:trPr>
          <w:trHeight w:val="27"/>
        </w:trPr>
        <w:tc>
          <w:tcPr>
            <w:tcW w:w="7980" w:type="dxa"/>
            <w:vAlign w:val="bottom"/>
          </w:tcPr>
          <w:p>
            <w:pPr>
              <w:spacing w:after="0"/>
              <w:rPr>
                <w:sz w:val="2"/>
                <w:szCs w:val="2"/>
                <w:color w:val="auto"/>
              </w:rPr>
            </w:pPr>
          </w:p>
        </w:tc>
        <w:tc>
          <w:tcPr>
            <w:tcW w:w="800" w:type="dxa"/>
            <w:vAlign w:val="bottom"/>
          </w:tcPr>
          <w:p>
            <w:pPr>
              <w:spacing w:after="0"/>
              <w:rPr>
                <w:sz w:val="2"/>
                <w:szCs w:val="2"/>
                <w:color w:val="auto"/>
              </w:rPr>
            </w:pPr>
          </w:p>
        </w:tc>
        <w:tc>
          <w:tcPr>
            <w:tcW w:w="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tcPr>
          <w:p>
            <w:pPr>
              <w:spacing w:after="0"/>
              <w:rPr>
                <w:sz w:val="2"/>
                <w:szCs w:val="2"/>
                <w:color w:val="auto"/>
              </w:rPr>
            </w:pPr>
          </w:p>
        </w:tc>
        <w:tc>
          <w:tcPr>
            <w:tcW w:w="780" w:type="dxa"/>
            <w:vAlign w:val="bottom"/>
          </w:tcPr>
          <w:p>
            <w:pPr>
              <w:spacing w:after="0"/>
              <w:rPr>
                <w:sz w:val="2"/>
                <w:szCs w:val="2"/>
                <w:color w:val="auto"/>
              </w:rPr>
            </w:pPr>
          </w:p>
        </w:tc>
      </w:tr>
      <w:tr>
        <w:trPr>
          <w:trHeight w:val="185"/>
        </w:trPr>
        <w:tc>
          <w:tcPr>
            <w:tcW w:w="7980" w:type="dxa"/>
            <w:vAlign w:val="bottom"/>
            <w:tcBorders>
              <w:bottom w:val="single" w:sz="8" w:color="CCEEFF"/>
            </w:tcBorders>
            <w:shd w:val="clear" w:color="auto" w:fill="CCEEFF"/>
          </w:tcPr>
          <w:p>
            <w:pPr>
              <w:ind w:left="80"/>
              <w:spacing w:after="0"/>
              <w:rPr>
                <w:sz w:val="20"/>
                <w:szCs w:val="20"/>
                <w:color w:val="auto"/>
              </w:rPr>
            </w:pPr>
            <w:r>
              <w:rPr>
                <w:rFonts w:ascii="Arial" w:cs="Arial" w:eastAsia="Arial" w:hAnsi="Arial"/>
                <w:sz w:val="13"/>
                <w:szCs w:val="13"/>
                <w:color w:val="auto"/>
              </w:rPr>
              <w:t>Available-for-sale securities:</w:t>
            </w:r>
          </w:p>
        </w:tc>
        <w:tc>
          <w:tcPr>
            <w:tcW w:w="800" w:type="dxa"/>
            <w:vAlign w:val="bottom"/>
            <w:tcBorders>
              <w:bottom w:val="single" w:sz="8" w:color="CCEEFF"/>
            </w:tcBorders>
            <w:shd w:val="clear" w:color="auto" w:fill="CCEEFF"/>
          </w:tcPr>
          <w:p>
            <w:pPr>
              <w:spacing w:after="0"/>
              <w:rPr>
                <w:sz w:val="16"/>
                <w:szCs w:val="16"/>
                <w:color w:val="auto"/>
              </w:rPr>
            </w:pPr>
          </w:p>
        </w:tc>
        <w:tc>
          <w:tcPr>
            <w:tcW w:w="520" w:type="dxa"/>
            <w:vAlign w:val="bottom"/>
            <w:tcBorders>
              <w:bottom w:val="single" w:sz="8" w:color="CCEEFF"/>
            </w:tcBorders>
            <w:shd w:val="clear" w:color="auto" w:fill="CCEEFF"/>
          </w:tcPr>
          <w:p>
            <w:pPr>
              <w:spacing w:after="0"/>
              <w:rPr>
                <w:sz w:val="16"/>
                <w:szCs w:val="16"/>
                <w:color w:val="auto"/>
              </w:rPr>
            </w:pPr>
          </w:p>
        </w:tc>
        <w:tc>
          <w:tcPr>
            <w:tcW w:w="120" w:type="dxa"/>
            <w:vAlign w:val="bottom"/>
            <w:tcBorders>
              <w:bottom w:val="single" w:sz="8" w:color="CCEEFF"/>
            </w:tcBorders>
            <w:shd w:val="clear" w:color="auto" w:fill="CCEEFF"/>
          </w:tcPr>
          <w:p>
            <w:pPr>
              <w:spacing w:after="0"/>
              <w:rPr>
                <w:sz w:val="16"/>
                <w:szCs w:val="16"/>
                <w:color w:val="auto"/>
              </w:rPr>
            </w:pPr>
          </w:p>
        </w:tc>
        <w:tc>
          <w:tcPr>
            <w:tcW w:w="500" w:type="dxa"/>
            <w:vAlign w:val="bottom"/>
            <w:tcBorders>
              <w:bottom w:val="single" w:sz="8" w:color="CCEEFF"/>
            </w:tcBorders>
            <w:shd w:val="clear" w:color="auto" w:fill="CCEEFF"/>
          </w:tcPr>
          <w:p>
            <w:pPr>
              <w:spacing w:after="0"/>
              <w:rPr>
                <w:sz w:val="16"/>
                <w:szCs w:val="16"/>
                <w:color w:val="auto"/>
              </w:rPr>
            </w:pPr>
          </w:p>
        </w:tc>
        <w:tc>
          <w:tcPr>
            <w:tcW w:w="780" w:type="dxa"/>
            <w:vAlign w:val="bottom"/>
            <w:tcBorders>
              <w:bottom w:val="single" w:sz="8" w:color="CCEEFF"/>
            </w:tcBorders>
            <w:shd w:val="clear" w:color="auto" w:fill="CCEEFF"/>
          </w:tcPr>
          <w:p>
            <w:pPr>
              <w:spacing w:after="0"/>
              <w:rPr>
                <w:sz w:val="16"/>
                <w:szCs w:val="16"/>
                <w:color w:val="auto"/>
              </w:rPr>
            </w:pPr>
          </w:p>
        </w:tc>
      </w:tr>
      <w:tr>
        <w:trPr>
          <w:trHeight w:val="178"/>
        </w:trPr>
        <w:tc>
          <w:tcPr>
            <w:tcW w:w="7980" w:type="dxa"/>
            <w:vAlign w:val="bottom"/>
          </w:tcPr>
          <w:p>
            <w:pPr>
              <w:ind w:left="180"/>
              <w:spacing w:after="0"/>
              <w:rPr>
                <w:sz w:val="20"/>
                <w:szCs w:val="20"/>
                <w:color w:val="auto"/>
              </w:rPr>
            </w:pPr>
            <w:r>
              <w:rPr>
                <w:rFonts w:ascii="Arial" w:cs="Arial" w:eastAsia="Arial" w:hAnsi="Arial"/>
                <w:sz w:val="13"/>
                <w:szCs w:val="13"/>
                <w:color w:val="auto"/>
              </w:rPr>
              <w:t>Unrealized holding losses arising during period, net of gains</w:t>
            </w:r>
          </w:p>
        </w:tc>
        <w:tc>
          <w:tcPr>
            <w:tcW w:w="800" w:type="dxa"/>
            <w:vAlign w:val="bottom"/>
          </w:tcPr>
          <w:p>
            <w:pPr>
              <w:spacing w:after="0"/>
              <w:rPr>
                <w:sz w:val="15"/>
                <w:szCs w:val="15"/>
                <w:color w:val="auto"/>
              </w:rPr>
            </w:pPr>
          </w:p>
        </w:tc>
        <w:tc>
          <w:tcPr>
            <w:tcW w:w="520" w:type="dxa"/>
            <w:vAlign w:val="bottom"/>
          </w:tcPr>
          <w:p>
            <w:pPr>
              <w:jc w:val="right"/>
              <w:spacing w:after="0"/>
              <w:rPr>
                <w:sz w:val="20"/>
                <w:szCs w:val="20"/>
                <w:color w:val="auto"/>
              </w:rPr>
            </w:pPr>
            <w:r>
              <w:rPr>
                <w:rFonts w:ascii="Arial" w:cs="Arial" w:eastAsia="Arial" w:hAnsi="Arial"/>
                <w:sz w:val="13"/>
                <w:szCs w:val="13"/>
                <w:color w:val="auto"/>
              </w:rPr>
              <w:t>(436)</w:t>
            </w:r>
          </w:p>
        </w:tc>
        <w:tc>
          <w:tcPr>
            <w:tcW w:w="12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780" w:type="dxa"/>
            <w:vAlign w:val="bottom"/>
          </w:tcPr>
          <w:p>
            <w:pPr>
              <w:jc w:val="right"/>
              <w:spacing w:after="0"/>
              <w:rPr>
                <w:sz w:val="20"/>
                <w:szCs w:val="20"/>
                <w:color w:val="auto"/>
              </w:rPr>
            </w:pPr>
            <w:r>
              <w:rPr>
                <w:rFonts w:ascii="Arial" w:cs="Arial" w:eastAsia="Arial" w:hAnsi="Arial"/>
                <w:sz w:val="13"/>
                <w:szCs w:val="13"/>
                <w:color w:val="auto"/>
              </w:rPr>
              <w:t>(1,061)</w:t>
            </w:r>
          </w:p>
        </w:tc>
      </w:tr>
      <w:tr>
        <w:trPr>
          <w:trHeight w:val="27"/>
        </w:trPr>
        <w:tc>
          <w:tcPr>
            <w:tcW w:w="7980" w:type="dxa"/>
            <w:vAlign w:val="bottom"/>
          </w:tcPr>
          <w:p>
            <w:pPr>
              <w:spacing w:after="0"/>
              <w:rPr>
                <w:sz w:val="2"/>
                <w:szCs w:val="2"/>
                <w:color w:val="auto"/>
              </w:rPr>
            </w:pPr>
          </w:p>
        </w:tc>
        <w:tc>
          <w:tcPr>
            <w:tcW w:w="800" w:type="dxa"/>
            <w:vAlign w:val="bottom"/>
          </w:tcPr>
          <w:p>
            <w:pPr>
              <w:spacing w:after="0"/>
              <w:rPr>
                <w:sz w:val="2"/>
                <w:szCs w:val="2"/>
                <w:color w:val="auto"/>
              </w:rPr>
            </w:pPr>
          </w:p>
        </w:tc>
        <w:tc>
          <w:tcPr>
            <w:tcW w:w="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tcPr>
          <w:p>
            <w:pPr>
              <w:spacing w:after="0"/>
              <w:rPr>
                <w:sz w:val="2"/>
                <w:szCs w:val="2"/>
                <w:color w:val="auto"/>
              </w:rPr>
            </w:pPr>
          </w:p>
        </w:tc>
        <w:tc>
          <w:tcPr>
            <w:tcW w:w="780" w:type="dxa"/>
            <w:vAlign w:val="bottom"/>
          </w:tcPr>
          <w:p>
            <w:pPr>
              <w:spacing w:after="0"/>
              <w:rPr>
                <w:sz w:val="2"/>
                <w:szCs w:val="2"/>
                <w:color w:val="auto"/>
              </w:rPr>
            </w:pPr>
          </w:p>
        </w:tc>
      </w:tr>
      <w:tr>
        <w:trPr>
          <w:trHeight w:val="205"/>
        </w:trPr>
        <w:tc>
          <w:tcPr>
            <w:tcW w:w="7980" w:type="dxa"/>
            <w:vAlign w:val="bottom"/>
            <w:shd w:val="clear" w:color="auto" w:fill="CCEEFF"/>
          </w:tcPr>
          <w:p>
            <w:pPr>
              <w:ind w:left="200"/>
              <w:spacing w:after="0"/>
              <w:rPr>
                <w:sz w:val="20"/>
                <w:szCs w:val="20"/>
                <w:color w:val="auto"/>
              </w:rPr>
            </w:pPr>
            <w:r>
              <w:rPr>
                <w:rFonts w:ascii="Arial" w:cs="Arial" w:eastAsia="Arial" w:hAnsi="Arial"/>
                <w:sz w:val="13"/>
                <w:szCs w:val="13"/>
                <w:color w:val="auto"/>
              </w:rPr>
              <w:t>Reclassification adjustment for gains recognized in net income, net of losses</w:t>
            </w:r>
          </w:p>
        </w:tc>
        <w:tc>
          <w:tcPr>
            <w:tcW w:w="800" w:type="dxa"/>
            <w:vAlign w:val="bottom"/>
            <w:shd w:val="clear" w:color="auto" w:fill="CCEEFF"/>
          </w:tcPr>
          <w:p>
            <w:pPr>
              <w:spacing w:after="0"/>
              <w:rPr>
                <w:sz w:val="17"/>
                <w:szCs w:val="17"/>
                <w:color w:val="auto"/>
              </w:rPr>
            </w:pPr>
          </w:p>
        </w:tc>
        <w:tc>
          <w:tcPr>
            <w:tcW w:w="1140" w:type="dxa"/>
            <w:vAlign w:val="bottom"/>
            <w:gridSpan w:val="3"/>
            <w:shd w:val="clear" w:color="auto" w:fill="CCEEFF"/>
          </w:tcPr>
          <w:p>
            <w:pPr>
              <w:jc w:val="right"/>
              <w:ind w:right="660"/>
              <w:spacing w:after="0"/>
              <w:rPr>
                <w:sz w:val="20"/>
                <w:szCs w:val="20"/>
                <w:color w:val="auto"/>
              </w:rPr>
            </w:pPr>
            <w:r>
              <w:rPr>
                <w:rFonts w:ascii="Arial" w:cs="Arial" w:eastAsia="Arial" w:hAnsi="Arial"/>
                <w:sz w:val="13"/>
                <w:szCs w:val="13"/>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(47)</w:t>
            </w:r>
          </w:p>
        </w:tc>
      </w:tr>
      <w:tr>
        <w:trPr>
          <w:trHeight w:val="178"/>
        </w:trPr>
        <w:tc>
          <w:tcPr>
            <w:tcW w:w="7980" w:type="dxa"/>
            <w:vAlign w:val="bottom"/>
          </w:tcPr>
          <w:p>
            <w:pPr>
              <w:ind w:left="180"/>
              <w:spacing w:after="0"/>
              <w:rPr>
                <w:sz w:val="20"/>
                <w:szCs w:val="20"/>
                <w:color w:val="auto"/>
              </w:rPr>
            </w:pPr>
            <w:r>
              <w:rPr>
                <w:rFonts w:ascii="Arial" w:cs="Arial" w:eastAsia="Arial" w:hAnsi="Arial"/>
                <w:sz w:val="13"/>
                <w:szCs w:val="13"/>
                <w:color w:val="auto"/>
              </w:rPr>
              <w:t>Income tax effect</w:t>
            </w:r>
          </w:p>
        </w:tc>
        <w:tc>
          <w:tcPr>
            <w:tcW w:w="800" w:type="dxa"/>
            <w:vAlign w:val="bottom"/>
          </w:tcPr>
          <w:p>
            <w:pPr>
              <w:spacing w:after="0"/>
              <w:rPr>
                <w:sz w:val="15"/>
                <w:szCs w:val="15"/>
                <w:color w:val="auto"/>
              </w:rPr>
            </w:pPr>
          </w:p>
        </w:tc>
        <w:tc>
          <w:tcPr>
            <w:tcW w:w="520" w:type="dxa"/>
            <w:vAlign w:val="bottom"/>
          </w:tcPr>
          <w:p>
            <w:pPr>
              <w:jc w:val="right"/>
              <w:spacing w:after="0"/>
              <w:rPr>
                <w:sz w:val="20"/>
                <w:szCs w:val="20"/>
                <w:color w:val="auto"/>
              </w:rPr>
            </w:pPr>
            <w:r>
              <w:rPr>
                <w:rFonts w:ascii="Arial" w:cs="Arial" w:eastAsia="Arial" w:hAnsi="Arial"/>
                <w:sz w:val="13"/>
                <w:szCs w:val="13"/>
                <w:color w:val="auto"/>
              </w:rPr>
              <w:t>105</w:t>
            </w:r>
          </w:p>
        </w:tc>
        <w:tc>
          <w:tcPr>
            <w:tcW w:w="12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780" w:type="dxa"/>
            <w:vAlign w:val="bottom"/>
          </w:tcPr>
          <w:p>
            <w:pPr>
              <w:jc w:val="right"/>
              <w:spacing w:after="0"/>
              <w:rPr>
                <w:sz w:val="20"/>
                <w:szCs w:val="20"/>
                <w:color w:val="auto"/>
              </w:rPr>
            </w:pPr>
            <w:r>
              <w:rPr>
                <w:rFonts w:ascii="Arial" w:cs="Arial" w:eastAsia="Arial" w:hAnsi="Arial"/>
                <w:sz w:val="13"/>
                <w:szCs w:val="13"/>
                <w:color w:val="auto"/>
              </w:rPr>
              <w:t>256</w:t>
            </w:r>
          </w:p>
        </w:tc>
      </w:tr>
      <w:tr>
        <w:trPr>
          <w:trHeight w:val="27"/>
        </w:trPr>
        <w:tc>
          <w:tcPr>
            <w:tcW w:w="7980" w:type="dxa"/>
            <w:vAlign w:val="bottom"/>
            <w:tcBorders>
              <w:bottom w:val="single" w:sz="8" w:color="CCEEFF"/>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r>
      <w:tr>
        <w:trPr>
          <w:trHeight w:val="196"/>
        </w:trPr>
        <w:tc>
          <w:tcPr>
            <w:tcW w:w="798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3"/>
                <w:szCs w:val="13"/>
                <w:color w:val="auto"/>
              </w:rPr>
              <w:t>Total other comprehensive loss</w:t>
            </w:r>
          </w:p>
        </w:tc>
        <w:tc>
          <w:tcPr>
            <w:tcW w:w="800" w:type="dxa"/>
            <w:vAlign w:val="bottom"/>
            <w:tcBorders>
              <w:bottom w:val="single" w:sz="8" w:color="CCEEFF"/>
            </w:tcBorders>
            <w:shd w:val="clear" w:color="auto" w:fill="CCEEFF"/>
          </w:tcPr>
          <w:p>
            <w:pPr>
              <w:spacing w:after="0"/>
              <w:rPr>
                <w:sz w:val="17"/>
                <w:szCs w:val="17"/>
                <w:color w:val="auto"/>
              </w:rPr>
            </w:pPr>
          </w:p>
        </w:tc>
        <w:tc>
          <w:tcPr>
            <w:tcW w:w="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(331)</w:t>
            </w:r>
          </w:p>
        </w:tc>
        <w:tc>
          <w:tcPr>
            <w:tcW w:w="120" w:type="dxa"/>
            <w:vAlign w:val="bottom"/>
            <w:tcBorders>
              <w:bottom w:val="single" w:sz="8" w:color="CCEEFF"/>
            </w:tcBorders>
            <w:shd w:val="clear" w:color="auto" w:fill="CCEEFF"/>
          </w:tcPr>
          <w:p>
            <w:pPr>
              <w:spacing w:after="0"/>
              <w:rPr>
                <w:sz w:val="17"/>
                <w:szCs w:val="17"/>
                <w:color w:val="auto"/>
              </w:rPr>
            </w:pPr>
          </w:p>
        </w:tc>
        <w:tc>
          <w:tcPr>
            <w:tcW w:w="500" w:type="dxa"/>
            <w:vAlign w:val="bottom"/>
            <w:tcBorders>
              <w:bottom w:val="single" w:sz="8" w:color="CCEEFF"/>
            </w:tcBorders>
            <w:shd w:val="clear" w:color="auto" w:fill="CCEEFF"/>
          </w:tcPr>
          <w:p>
            <w:pPr>
              <w:spacing w:after="0"/>
              <w:rPr>
                <w:sz w:val="17"/>
                <w:szCs w:val="17"/>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(852)</w:t>
            </w:r>
          </w:p>
        </w:tc>
      </w:tr>
      <w:tr>
        <w:trPr>
          <w:trHeight w:val="169"/>
        </w:trPr>
        <w:tc>
          <w:tcPr>
            <w:tcW w:w="7980" w:type="dxa"/>
            <w:vAlign w:val="bottom"/>
          </w:tcPr>
          <w:p>
            <w:pPr>
              <w:ind w:left="20"/>
              <w:spacing w:after="0"/>
              <w:rPr>
                <w:sz w:val="20"/>
                <w:szCs w:val="20"/>
                <w:color w:val="auto"/>
              </w:rPr>
            </w:pPr>
            <w:r>
              <w:rPr>
                <w:rFonts w:ascii="Arial" w:cs="Arial" w:eastAsia="Arial" w:hAnsi="Arial"/>
                <w:sz w:val="13"/>
                <w:szCs w:val="13"/>
                <w:color w:val="auto"/>
              </w:rPr>
              <w:t>Comprehensive income</w:t>
            </w:r>
          </w:p>
        </w:tc>
        <w:tc>
          <w:tcPr>
            <w:tcW w:w="800" w:type="dxa"/>
            <w:vAlign w:val="bottom"/>
            <w:tcBorders>
              <w:top w:val="single" w:sz="8" w:color="auto"/>
            </w:tcBorders>
          </w:tcPr>
          <w:p>
            <w:pPr>
              <w:spacing w:after="0"/>
              <w:rPr>
                <w:sz w:val="14"/>
                <w:szCs w:val="14"/>
                <w:color w:val="auto"/>
              </w:rPr>
            </w:pPr>
          </w:p>
        </w:tc>
        <w:tc>
          <w:tcPr>
            <w:tcW w:w="5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41,316</w:t>
            </w:r>
          </w:p>
        </w:tc>
        <w:tc>
          <w:tcPr>
            <w:tcW w:w="120" w:type="dxa"/>
            <w:vAlign w:val="bottom"/>
          </w:tcPr>
          <w:p>
            <w:pPr>
              <w:spacing w:after="0"/>
              <w:rPr>
                <w:sz w:val="14"/>
                <w:szCs w:val="14"/>
                <w:color w:val="auto"/>
              </w:rPr>
            </w:pPr>
          </w:p>
        </w:tc>
        <w:tc>
          <w:tcPr>
            <w:tcW w:w="500" w:type="dxa"/>
            <w:vAlign w:val="bottom"/>
            <w:tcBorders>
              <w:top w:val="single" w:sz="8" w:color="auto"/>
            </w:tcBorders>
          </w:tcPr>
          <w:p>
            <w:pPr>
              <w:spacing w:after="0"/>
              <w:rPr>
                <w:sz w:val="14"/>
                <w:szCs w:val="14"/>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112,333</w:t>
            </w:r>
          </w:p>
        </w:tc>
      </w:tr>
      <w:tr>
        <w:trPr>
          <w:trHeight w:val="27"/>
        </w:trPr>
        <w:tc>
          <w:tcPr>
            <w:tcW w:w="7980" w:type="dxa"/>
            <w:vAlign w:val="bottom"/>
          </w:tcPr>
          <w:p>
            <w:pPr>
              <w:spacing w:after="0"/>
              <w:rPr>
                <w:sz w:val="2"/>
                <w:szCs w:val="2"/>
                <w:color w:val="auto"/>
              </w:rPr>
            </w:pPr>
          </w:p>
        </w:tc>
        <w:tc>
          <w:tcPr>
            <w:tcW w:w="800" w:type="dxa"/>
            <w:vAlign w:val="bottom"/>
          </w:tcPr>
          <w:p>
            <w:pPr>
              <w:spacing w:after="0"/>
              <w:rPr>
                <w:sz w:val="2"/>
                <w:szCs w:val="2"/>
                <w:color w:val="auto"/>
              </w:rPr>
            </w:pPr>
          </w:p>
        </w:tc>
        <w:tc>
          <w:tcPr>
            <w:tcW w:w="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tcPr>
          <w:p>
            <w:pPr>
              <w:spacing w:after="0"/>
              <w:rPr>
                <w:sz w:val="2"/>
                <w:szCs w:val="2"/>
                <w:color w:val="auto"/>
              </w:rPr>
            </w:pPr>
          </w:p>
        </w:tc>
        <w:tc>
          <w:tcPr>
            <w:tcW w:w="780" w:type="dxa"/>
            <w:vAlign w:val="bottom"/>
          </w:tcPr>
          <w:p>
            <w:pPr>
              <w:spacing w:after="0"/>
              <w:rPr>
                <w:sz w:val="2"/>
                <w:szCs w:val="2"/>
                <w:color w:val="auto"/>
              </w:rPr>
            </w:pPr>
          </w:p>
        </w:tc>
      </w:tr>
      <w:tr>
        <w:trPr>
          <w:trHeight w:val="205"/>
        </w:trPr>
        <w:tc>
          <w:tcPr>
            <w:tcW w:w="7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Comprehensive (income) loss attributable to noncontrolling interests</w:t>
            </w:r>
          </w:p>
        </w:tc>
        <w:tc>
          <w:tcPr>
            <w:tcW w:w="800" w:type="dxa"/>
            <w:vAlign w:val="bottom"/>
            <w:tcBorders>
              <w:bottom w:val="single" w:sz="8" w:color="CCEEFF"/>
            </w:tcBorders>
            <w:shd w:val="clear" w:color="auto" w:fill="CCEEFF"/>
          </w:tcPr>
          <w:p>
            <w:pPr>
              <w:spacing w:after="0"/>
              <w:rPr>
                <w:sz w:val="17"/>
                <w:szCs w:val="17"/>
                <w:color w:val="auto"/>
              </w:rPr>
            </w:pPr>
          </w:p>
        </w:tc>
        <w:tc>
          <w:tcPr>
            <w:tcW w:w="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(56)</w:t>
            </w:r>
          </w:p>
        </w:tc>
        <w:tc>
          <w:tcPr>
            <w:tcW w:w="120" w:type="dxa"/>
            <w:vAlign w:val="bottom"/>
            <w:tcBorders>
              <w:bottom w:val="single" w:sz="8" w:color="CCEEFF"/>
            </w:tcBorders>
            <w:shd w:val="clear" w:color="auto" w:fill="CCEEFF"/>
          </w:tcPr>
          <w:p>
            <w:pPr>
              <w:spacing w:after="0"/>
              <w:rPr>
                <w:sz w:val="17"/>
                <w:szCs w:val="17"/>
                <w:color w:val="auto"/>
              </w:rPr>
            </w:pPr>
          </w:p>
        </w:tc>
        <w:tc>
          <w:tcPr>
            <w:tcW w:w="500" w:type="dxa"/>
            <w:vAlign w:val="bottom"/>
            <w:tcBorders>
              <w:bottom w:val="single" w:sz="8" w:color="CCEEFF"/>
            </w:tcBorders>
            <w:shd w:val="clear" w:color="auto" w:fill="CCEEFF"/>
          </w:tcPr>
          <w:p>
            <w:pPr>
              <w:spacing w:after="0"/>
              <w:rPr>
                <w:sz w:val="17"/>
                <w:szCs w:val="17"/>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740</w:t>
            </w:r>
          </w:p>
        </w:tc>
      </w:tr>
      <w:tr>
        <w:trPr>
          <w:trHeight w:val="193"/>
        </w:trPr>
        <w:tc>
          <w:tcPr>
            <w:tcW w:w="7980" w:type="dxa"/>
            <w:vAlign w:val="bottom"/>
          </w:tcPr>
          <w:p>
            <w:pPr>
              <w:ind w:left="20"/>
              <w:spacing w:after="0"/>
              <w:rPr>
                <w:sz w:val="20"/>
                <w:szCs w:val="20"/>
                <w:color w:val="auto"/>
              </w:rPr>
            </w:pPr>
            <w:r>
              <w:rPr>
                <w:rFonts w:ascii="Arial" w:cs="Arial" w:eastAsia="Arial" w:hAnsi="Arial"/>
                <w:sz w:val="13"/>
                <w:szCs w:val="13"/>
                <w:color w:val="auto"/>
              </w:rPr>
              <w:t>Comprehensive income attributable to Nelnet, Inc.</w:t>
            </w:r>
          </w:p>
        </w:tc>
        <w:tc>
          <w:tcPr>
            <w:tcW w:w="800" w:type="dxa"/>
            <w:vAlign w:val="bottom"/>
            <w:tcBorders>
              <w:top w:val="single" w:sz="8" w:color="auto"/>
              <w:bottom w:val="single" w:sz="8" w:color="auto"/>
            </w:tcBorders>
          </w:tcPr>
          <w:p>
            <w:pPr>
              <w:jc w:val="right"/>
              <w:ind w:right="655"/>
              <w:spacing w:after="0"/>
              <w:rPr>
                <w:sz w:val="20"/>
                <w:szCs w:val="20"/>
                <w:color w:val="auto"/>
              </w:rPr>
            </w:pPr>
            <w:r>
              <w:rPr>
                <w:rFonts w:ascii="Arial" w:cs="Arial" w:eastAsia="Arial" w:hAnsi="Arial"/>
                <w:sz w:val="13"/>
                <w:szCs w:val="13"/>
                <w:color w:val="auto"/>
                <w:w w:val="82"/>
              </w:rPr>
              <w:t>$</w:t>
            </w: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41,260</w:t>
            </w:r>
          </w:p>
        </w:tc>
        <w:tc>
          <w:tcPr>
            <w:tcW w:w="120" w:type="dxa"/>
            <w:vAlign w:val="bottom"/>
          </w:tcPr>
          <w:p>
            <w:pPr>
              <w:spacing w:after="0"/>
              <w:rPr>
                <w:sz w:val="16"/>
                <w:szCs w:val="16"/>
                <w:color w:val="auto"/>
              </w:rPr>
            </w:pPr>
          </w:p>
        </w:tc>
        <w:tc>
          <w:tcPr>
            <w:tcW w:w="500" w:type="dxa"/>
            <w:vAlign w:val="bottom"/>
            <w:tcBorders>
              <w:top w:val="single" w:sz="8" w:color="auto"/>
              <w:bottom w:val="single" w:sz="8" w:color="auto"/>
            </w:tcBorders>
          </w:tcPr>
          <w:p>
            <w:pPr>
              <w:spacing w:after="0"/>
              <w:rPr>
                <w:sz w:val="16"/>
                <w:szCs w:val="16"/>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113,073</w:t>
            </w:r>
          </w:p>
        </w:tc>
      </w:tr>
      <w:tr>
        <w:trPr>
          <w:trHeight w:val="20"/>
        </w:trPr>
        <w:tc>
          <w:tcPr>
            <w:tcW w:w="798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r>
    </w:tbl>
    <w:p>
      <w:pPr>
        <w:spacing w:after="0" w:line="274" w:lineRule="exact"/>
        <w:rPr>
          <w:sz w:val="20"/>
          <w:szCs w:val="20"/>
          <w:color w:val="auto"/>
        </w:rPr>
      </w:pPr>
    </w:p>
    <w:p>
      <w:pPr>
        <w:spacing w:after="0"/>
        <w:rPr>
          <w:sz w:val="20"/>
          <w:szCs w:val="20"/>
          <w:color w:val="auto"/>
        </w:rPr>
      </w:pPr>
      <w:r>
        <w:rPr>
          <w:rFonts w:ascii="Arial" w:cs="Arial" w:eastAsia="Arial" w:hAnsi="Arial"/>
          <w:sz w:val="13"/>
          <w:szCs w:val="13"/>
          <w:color w:val="auto"/>
        </w:rPr>
        <w:t>See accompanying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7" w:lineRule="exact"/>
        <w:rPr>
          <w:sz w:val="20"/>
          <w:szCs w:val="20"/>
          <w:color w:val="auto"/>
        </w:rPr>
      </w:pPr>
    </w:p>
    <w:p>
      <w:pPr>
        <w:jc w:val="center"/>
        <w:ind w:right="-379"/>
        <w:spacing w:after="0"/>
        <w:rPr>
          <w:sz w:val="20"/>
          <w:szCs w:val="20"/>
          <w:color w:val="auto"/>
        </w:rPr>
      </w:pPr>
      <w:r>
        <w:rPr>
          <w:rFonts w:ascii="Arial" w:cs="Arial" w:eastAsia="Arial" w:hAnsi="Arial"/>
          <w:sz w:val="14"/>
          <w:szCs w:val="14"/>
          <w:color w:val="auto"/>
        </w:rPr>
        <w:t>4</w:t>
      </w:r>
    </w:p>
    <w:p>
      <w:pPr>
        <w:sectPr>
          <w:pgSz w:w="11900" w:h="16838" w:orient="portrait"/>
          <w:cols w:equalWidth="0" w:num="1">
            <w:col w:w="11080"/>
          </w:cols>
          <w:pgMar w:left="220" w:top="782" w:right="599" w:bottom="1440" w:gutter="0" w:footer="0" w:header="0"/>
        </w:sectPr>
      </w:pPr>
    </w:p>
    <w:bookmarkStart w:id="5" w:name="page6"/>
    <w:bookmarkEnd w:id="5"/>
    <w:p>
      <w:pPr>
        <w:jc w:val="center"/>
        <w:spacing w:after="0"/>
        <w:rPr>
          <w:sz w:val="20"/>
          <w:szCs w:val="20"/>
          <w:color w:val="auto"/>
        </w:rPr>
      </w:pPr>
      <w:r>
        <w:rPr>
          <w:rFonts w:ascii="Arial" w:cs="Arial" w:eastAsia="Arial" w:hAnsi="Arial"/>
          <w:sz w:val="11"/>
          <w:szCs w:val="11"/>
          <w:b w:val="1"/>
          <w:bCs w:val="1"/>
          <w:color w:val="auto"/>
        </w:rPr>
        <w:t>NELNET, INC. AND SUBSIDIARIES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1"/>
          <w:szCs w:val="11"/>
          <w:b w:val="1"/>
          <w:bCs w:val="1"/>
          <w:color w:val="auto"/>
        </w:rPr>
        <w:t>CONSOLIDATED STATEMENTS OF SHAREHOLDERS' EQUITY</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1"/>
          <w:szCs w:val="11"/>
          <w:b w:val="1"/>
          <w:bCs w:val="1"/>
          <w:color w:val="auto"/>
        </w:rPr>
        <w:t>(Dollars in thousands, except share data)</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1"/>
          <w:szCs w:val="11"/>
          <w:b w:val="1"/>
          <w:bCs w:val="1"/>
          <w:color w:val="auto"/>
        </w:rPr>
        <w:t>(unaudited)</w:t>
      </w:r>
    </w:p>
    <w:p>
      <w:pPr>
        <w:spacing w:after="0" w:line="28" w:lineRule="exact"/>
        <w:rPr>
          <w:sz w:val="20"/>
          <w:szCs w:val="20"/>
          <w:color w:val="auto"/>
        </w:rPr>
      </w:pPr>
    </w:p>
    <w:p>
      <w:pPr>
        <w:jc w:val="center"/>
        <w:ind w:left="380"/>
        <w:spacing w:after="0"/>
        <w:rPr>
          <w:sz w:val="20"/>
          <w:szCs w:val="20"/>
          <w:color w:val="auto"/>
        </w:rPr>
      </w:pPr>
      <w:r>
        <w:rPr>
          <w:rFonts w:ascii="Arial" w:cs="Arial" w:eastAsia="Arial" w:hAnsi="Arial"/>
          <w:sz w:val="10"/>
          <w:szCs w:val="10"/>
          <w:b w:val="1"/>
          <w:bCs w:val="1"/>
          <w:color w:val="auto"/>
        </w:rPr>
        <w:t>Nelnet, Inc. Shareholders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1427480</wp:posOffset>
            </wp:positionH>
            <wp:positionV relativeFrom="paragraph">
              <wp:posOffset>17780</wp:posOffset>
            </wp:positionV>
            <wp:extent cx="4667250" cy="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4667250" cy="6985"/>
                    </a:xfrm>
                    <a:prstGeom prst="rect">
                      <a:avLst/>
                    </a:prstGeom>
                    <a:noFill/>
                  </pic:spPr>
                </pic:pic>
              </a:graphicData>
            </a:graphic>
          </wp:anchor>
        </w:drawing>
      </w:r>
    </w:p>
    <w:p>
      <w:pPr>
        <w:spacing w:after="0" w:line="29" w:lineRule="exact"/>
        <w:rPr>
          <w:sz w:val="20"/>
          <w:szCs w:val="20"/>
          <w:color w:val="auto"/>
        </w:rPr>
      </w:pPr>
    </w:p>
    <w:tbl>
      <w:tblPr>
        <w:tblLayout w:type="fixed"/>
        <w:tblInd w:w="0" w:type="dxa"/>
        <w:tblCellMar>
          <w:top w:w="0" w:type="dxa"/>
          <w:left w:w="0" w:type="dxa"/>
          <w:bottom w:w="0" w:type="dxa"/>
          <w:right w:w="0" w:type="dxa"/>
        </w:tblCellMar>
      </w:tblPr>
      <w:tr>
        <w:trPr>
          <w:trHeight w:val="108"/>
        </w:trPr>
        <w:tc>
          <w:tcPr>
            <w:tcW w:w="2240" w:type="dxa"/>
            <w:vAlign w:val="bottom"/>
          </w:tcPr>
          <w:p>
            <w:pPr>
              <w:spacing w:after="0"/>
              <w:rPr>
                <w:sz w:val="9"/>
                <w:szCs w:val="9"/>
                <w:color w:val="auto"/>
              </w:rPr>
            </w:pPr>
          </w:p>
        </w:tc>
        <w:tc>
          <w:tcPr>
            <w:tcW w:w="680" w:type="dxa"/>
            <w:vAlign w:val="bottom"/>
          </w:tcPr>
          <w:p>
            <w:pPr>
              <w:spacing w:after="0"/>
              <w:rPr>
                <w:sz w:val="9"/>
                <w:szCs w:val="9"/>
                <w:color w:val="auto"/>
              </w:rPr>
            </w:pPr>
          </w:p>
        </w:tc>
        <w:tc>
          <w:tcPr>
            <w:tcW w:w="80" w:type="dxa"/>
            <w:vAlign w:val="bottom"/>
          </w:tcPr>
          <w:p>
            <w:pPr>
              <w:spacing w:after="0"/>
              <w:rPr>
                <w:sz w:val="9"/>
                <w:szCs w:val="9"/>
                <w:color w:val="auto"/>
              </w:rPr>
            </w:pPr>
          </w:p>
        </w:tc>
        <w:tc>
          <w:tcPr>
            <w:tcW w:w="1740" w:type="dxa"/>
            <w:vAlign w:val="bottom"/>
            <w:gridSpan w:val="4"/>
          </w:tcPr>
          <w:p>
            <w:pPr>
              <w:ind w:left="420"/>
              <w:spacing w:after="0"/>
              <w:rPr>
                <w:sz w:val="20"/>
                <w:szCs w:val="20"/>
                <w:color w:val="auto"/>
              </w:rPr>
            </w:pPr>
            <w:r>
              <w:rPr>
                <w:rFonts w:ascii="Arial" w:cs="Arial" w:eastAsia="Arial" w:hAnsi="Arial"/>
                <w:sz w:val="9"/>
                <w:szCs w:val="9"/>
                <w:b w:val="1"/>
                <w:bCs w:val="1"/>
                <w:color w:val="auto"/>
              </w:rPr>
              <w:t>Common stock shares</w:t>
            </w:r>
          </w:p>
        </w:tc>
        <w:tc>
          <w:tcPr>
            <w:tcW w:w="300" w:type="dxa"/>
            <w:vAlign w:val="bottom"/>
          </w:tcPr>
          <w:p>
            <w:pPr>
              <w:spacing w:after="0"/>
              <w:rPr>
                <w:sz w:val="9"/>
                <w:szCs w:val="9"/>
                <w:color w:val="auto"/>
              </w:rPr>
            </w:pPr>
          </w:p>
        </w:tc>
        <w:tc>
          <w:tcPr>
            <w:tcW w:w="380" w:type="dxa"/>
            <w:vAlign w:val="bottom"/>
          </w:tcPr>
          <w:p>
            <w:pPr>
              <w:spacing w:after="0"/>
              <w:rPr>
                <w:sz w:val="9"/>
                <w:szCs w:val="9"/>
                <w:color w:val="auto"/>
              </w:rPr>
            </w:pPr>
          </w:p>
        </w:tc>
        <w:tc>
          <w:tcPr>
            <w:tcW w:w="80" w:type="dxa"/>
            <w:vAlign w:val="bottom"/>
          </w:tcPr>
          <w:p>
            <w:pPr>
              <w:spacing w:after="0"/>
              <w:rPr>
                <w:sz w:val="9"/>
                <w:szCs w:val="9"/>
                <w:color w:val="auto"/>
              </w:rPr>
            </w:pPr>
          </w:p>
        </w:tc>
        <w:tc>
          <w:tcPr>
            <w:tcW w:w="600" w:type="dxa"/>
            <w:vAlign w:val="bottom"/>
          </w:tcPr>
          <w:p>
            <w:pPr>
              <w:spacing w:after="0"/>
              <w:rPr>
                <w:sz w:val="9"/>
                <w:szCs w:val="9"/>
                <w:color w:val="auto"/>
              </w:rPr>
            </w:pPr>
          </w:p>
        </w:tc>
        <w:tc>
          <w:tcPr>
            <w:tcW w:w="100" w:type="dxa"/>
            <w:vAlign w:val="bottom"/>
          </w:tcPr>
          <w:p>
            <w:pPr>
              <w:spacing w:after="0"/>
              <w:rPr>
                <w:sz w:val="9"/>
                <w:szCs w:val="9"/>
                <w:color w:val="auto"/>
              </w:rPr>
            </w:pPr>
          </w:p>
        </w:tc>
        <w:tc>
          <w:tcPr>
            <w:tcW w:w="600" w:type="dxa"/>
            <w:vAlign w:val="bottom"/>
          </w:tcPr>
          <w:p>
            <w:pPr>
              <w:spacing w:after="0"/>
              <w:rPr>
                <w:sz w:val="9"/>
                <w:szCs w:val="9"/>
                <w:color w:val="auto"/>
              </w:rPr>
            </w:pPr>
          </w:p>
        </w:tc>
        <w:tc>
          <w:tcPr>
            <w:tcW w:w="80" w:type="dxa"/>
            <w:vAlign w:val="bottom"/>
          </w:tcPr>
          <w:p>
            <w:pPr>
              <w:spacing w:after="0"/>
              <w:rPr>
                <w:sz w:val="9"/>
                <w:szCs w:val="9"/>
                <w:color w:val="auto"/>
              </w:rPr>
            </w:pPr>
          </w:p>
        </w:tc>
        <w:tc>
          <w:tcPr>
            <w:tcW w:w="740" w:type="dxa"/>
            <w:vAlign w:val="bottom"/>
          </w:tcPr>
          <w:p>
            <w:pPr>
              <w:spacing w:after="0"/>
              <w:rPr>
                <w:sz w:val="9"/>
                <w:szCs w:val="9"/>
                <w:color w:val="auto"/>
              </w:rPr>
            </w:pPr>
          </w:p>
        </w:tc>
        <w:tc>
          <w:tcPr>
            <w:tcW w:w="80" w:type="dxa"/>
            <w:vAlign w:val="bottom"/>
          </w:tcPr>
          <w:p>
            <w:pPr>
              <w:spacing w:after="0"/>
              <w:rPr>
                <w:sz w:val="9"/>
                <w:szCs w:val="9"/>
                <w:color w:val="auto"/>
              </w:rPr>
            </w:pPr>
          </w:p>
        </w:tc>
        <w:tc>
          <w:tcPr>
            <w:tcW w:w="720" w:type="dxa"/>
            <w:vAlign w:val="bottom"/>
          </w:tcPr>
          <w:p>
            <w:pPr>
              <w:spacing w:after="0"/>
              <w:rPr>
                <w:sz w:val="9"/>
                <w:szCs w:val="9"/>
                <w:color w:val="auto"/>
              </w:rPr>
            </w:pPr>
          </w:p>
        </w:tc>
        <w:tc>
          <w:tcPr>
            <w:tcW w:w="80" w:type="dxa"/>
            <w:vAlign w:val="bottom"/>
          </w:tcPr>
          <w:p>
            <w:pPr>
              <w:spacing w:after="0"/>
              <w:rPr>
                <w:sz w:val="9"/>
                <w:szCs w:val="9"/>
                <w:color w:val="auto"/>
              </w:rPr>
            </w:pPr>
          </w:p>
        </w:tc>
        <w:tc>
          <w:tcPr>
            <w:tcW w:w="1100" w:type="dxa"/>
            <w:vAlign w:val="bottom"/>
            <w:gridSpan w:val="2"/>
          </w:tcPr>
          <w:p>
            <w:pPr>
              <w:jc w:val="center"/>
              <w:ind w:right="80"/>
              <w:spacing w:after="0"/>
              <w:rPr>
                <w:sz w:val="20"/>
                <w:szCs w:val="20"/>
                <w:color w:val="auto"/>
              </w:rPr>
            </w:pPr>
            <w:r>
              <w:rPr>
                <w:rFonts w:ascii="Arial" w:cs="Arial" w:eastAsia="Arial" w:hAnsi="Arial"/>
                <w:sz w:val="9"/>
                <w:szCs w:val="9"/>
                <w:b w:val="1"/>
                <w:bCs w:val="1"/>
                <w:color w:val="auto"/>
                <w:w w:val="85"/>
              </w:rPr>
              <w:t>Accumulated other</w:t>
            </w:r>
          </w:p>
        </w:tc>
        <w:tc>
          <w:tcPr>
            <w:tcW w:w="1000" w:type="dxa"/>
            <w:vAlign w:val="bottom"/>
          </w:tcPr>
          <w:p>
            <w:pPr>
              <w:spacing w:after="0"/>
              <w:rPr>
                <w:sz w:val="9"/>
                <w:szCs w:val="9"/>
                <w:color w:val="auto"/>
              </w:rPr>
            </w:pPr>
          </w:p>
        </w:tc>
        <w:tc>
          <w:tcPr>
            <w:tcW w:w="80" w:type="dxa"/>
            <w:vAlign w:val="bottom"/>
          </w:tcPr>
          <w:p>
            <w:pPr>
              <w:spacing w:after="0"/>
              <w:rPr>
                <w:sz w:val="9"/>
                <w:szCs w:val="9"/>
                <w:color w:val="auto"/>
              </w:rPr>
            </w:pPr>
          </w:p>
        </w:tc>
        <w:tc>
          <w:tcPr>
            <w:tcW w:w="7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43"/>
        </w:trPr>
        <w:tc>
          <w:tcPr>
            <w:tcW w:w="2240" w:type="dxa"/>
            <w:vAlign w:val="bottom"/>
          </w:tcPr>
          <w:p>
            <w:pPr>
              <w:spacing w:after="0"/>
              <w:rPr>
                <w:sz w:val="3"/>
                <w:szCs w:val="3"/>
                <w:color w:val="auto"/>
              </w:rPr>
            </w:pPr>
          </w:p>
        </w:tc>
        <w:tc>
          <w:tcPr>
            <w:tcW w:w="760" w:type="dxa"/>
            <w:vAlign w:val="bottom"/>
            <w:gridSpan w:val="2"/>
            <w:vMerge w:val="restart"/>
          </w:tcPr>
          <w:p>
            <w:pPr>
              <w:ind w:left="60"/>
              <w:spacing w:after="0" w:line="86" w:lineRule="exact"/>
              <w:rPr>
                <w:sz w:val="20"/>
                <w:szCs w:val="20"/>
                <w:color w:val="auto"/>
              </w:rPr>
            </w:pPr>
            <w:r>
              <w:rPr>
                <w:rFonts w:ascii="Arial" w:cs="Arial" w:eastAsia="Arial" w:hAnsi="Arial"/>
                <w:sz w:val="9"/>
                <w:szCs w:val="9"/>
                <w:b w:val="1"/>
                <w:bCs w:val="1"/>
                <w:color w:val="auto"/>
              </w:rPr>
              <w:t>Preferred stock</w:t>
            </w:r>
          </w:p>
        </w:tc>
        <w:tc>
          <w:tcPr>
            <w:tcW w:w="78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80" w:type="dxa"/>
            <w:vAlign w:val="bottom"/>
          </w:tcPr>
          <w:p>
            <w:pPr>
              <w:spacing w:after="0"/>
              <w:rPr>
                <w:sz w:val="3"/>
                <w:szCs w:val="3"/>
                <w:color w:val="auto"/>
              </w:rPr>
            </w:pPr>
          </w:p>
        </w:tc>
        <w:tc>
          <w:tcPr>
            <w:tcW w:w="300" w:type="dxa"/>
            <w:vAlign w:val="bottom"/>
          </w:tcPr>
          <w:p>
            <w:pPr>
              <w:spacing w:after="0"/>
              <w:rPr>
                <w:sz w:val="3"/>
                <w:szCs w:val="3"/>
                <w:color w:val="auto"/>
              </w:rPr>
            </w:pPr>
          </w:p>
        </w:tc>
        <w:tc>
          <w:tcPr>
            <w:tcW w:w="380" w:type="dxa"/>
            <w:vAlign w:val="bottom"/>
          </w:tcPr>
          <w:p>
            <w:pPr>
              <w:spacing w:after="0"/>
              <w:rPr>
                <w:sz w:val="3"/>
                <w:szCs w:val="3"/>
                <w:color w:val="auto"/>
              </w:rPr>
            </w:pPr>
          </w:p>
        </w:tc>
        <w:tc>
          <w:tcPr>
            <w:tcW w:w="80" w:type="dxa"/>
            <w:vAlign w:val="bottom"/>
          </w:tcPr>
          <w:p>
            <w:pPr>
              <w:spacing w:after="0"/>
              <w:rPr>
                <w:sz w:val="3"/>
                <w:szCs w:val="3"/>
                <w:color w:val="auto"/>
              </w:rPr>
            </w:pPr>
          </w:p>
        </w:tc>
        <w:tc>
          <w:tcPr>
            <w:tcW w:w="700" w:type="dxa"/>
            <w:vAlign w:val="bottom"/>
            <w:gridSpan w:val="2"/>
            <w:vMerge w:val="restart"/>
          </w:tcPr>
          <w:p>
            <w:pPr>
              <w:ind w:left="160"/>
              <w:spacing w:after="0" w:line="86" w:lineRule="exact"/>
              <w:rPr>
                <w:sz w:val="20"/>
                <w:szCs w:val="20"/>
                <w:color w:val="auto"/>
              </w:rPr>
            </w:pPr>
            <w:r>
              <w:rPr>
                <w:rFonts w:ascii="Arial" w:cs="Arial" w:eastAsia="Arial" w:hAnsi="Arial"/>
                <w:sz w:val="9"/>
                <w:szCs w:val="9"/>
                <w:b w:val="1"/>
                <w:bCs w:val="1"/>
                <w:color w:val="auto"/>
              </w:rPr>
              <w:t>Class A</w:t>
            </w:r>
          </w:p>
        </w:tc>
        <w:tc>
          <w:tcPr>
            <w:tcW w:w="680" w:type="dxa"/>
            <w:vAlign w:val="bottom"/>
            <w:gridSpan w:val="2"/>
            <w:vMerge w:val="restart"/>
          </w:tcPr>
          <w:p>
            <w:pPr>
              <w:ind w:left="160"/>
              <w:spacing w:after="0" w:line="86" w:lineRule="exact"/>
              <w:rPr>
                <w:sz w:val="20"/>
                <w:szCs w:val="20"/>
                <w:color w:val="auto"/>
              </w:rPr>
            </w:pPr>
            <w:r>
              <w:rPr>
                <w:rFonts w:ascii="Arial" w:cs="Arial" w:eastAsia="Arial" w:hAnsi="Arial"/>
                <w:sz w:val="9"/>
                <w:szCs w:val="9"/>
                <w:b w:val="1"/>
                <w:bCs w:val="1"/>
                <w:color w:val="auto"/>
              </w:rPr>
              <w:t>Class B</w:t>
            </w:r>
          </w:p>
        </w:tc>
        <w:tc>
          <w:tcPr>
            <w:tcW w:w="820" w:type="dxa"/>
            <w:vAlign w:val="bottom"/>
            <w:gridSpan w:val="2"/>
            <w:vMerge w:val="restart"/>
          </w:tcPr>
          <w:p>
            <w:pPr>
              <w:ind w:left="20"/>
              <w:spacing w:after="0" w:line="86" w:lineRule="exact"/>
              <w:rPr>
                <w:sz w:val="20"/>
                <w:szCs w:val="20"/>
                <w:color w:val="auto"/>
              </w:rPr>
            </w:pPr>
            <w:r>
              <w:rPr>
                <w:rFonts w:ascii="Arial" w:cs="Arial" w:eastAsia="Arial" w:hAnsi="Arial"/>
                <w:sz w:val="9"/>
                <w:szCs w:val="9"/>
                <w:b w:val="1"/>
                <w:bCs w:val="1"/>
                <w:color w:val="auto"/>
              </w:rPr>
              <w:t>Additional paid-in</w:t>
            </w:r>
          </w:p>
        </w:tc>
        <w:tc>
          <w:tcPr>
            <w:tcW w:w="720" w:type="dxa"/>
            <w:vAlign w:val="bottom"/>
          </w:tcPr>
          <w:p>
            <w:pPr>
              <w:spacing w:after="0"/>
              <w:rPr>
                <w:sz w:val="3"/>
                <w:szCs w:val="3"/>
                <w:color w:val="auto"/>
              </w:rPr>
            </w:pPr>
          </w:p>
        </w:tc>
        <w:tc>
          <w:tcPr>
            <w:tcW w:w="80" w:type="dxa"/>
            <w:vAlign w:val="bottom"/>
          </w:tcPr>
          <w:p>
            <w:pPr>
              <w:spacing w:after="0"/>
              <w:rPr>
                <w:sz w:val="3"/>
                <w:szCs w:val="3"/>
                <w:color w:val="auto"/>
              </w:rPr>
            </w:pPr>
          </w:p>
        </w:tc>
        <w:tc>
          <w:tcPr>
            <w:tcW w:w="1100" w:type="dxa"/>
            <w:vAlign w:val="bottom"/>
            <w:gridSpan w:val="2"/>
            <w:vMerge w:val="restart"/>
          </w:tcPr>
          <w:p>
            <w:pPr>
              <w:jc w:val="center"/>
              <w:ind w:right="80"/>
              <w:spacing w:after="0" w:line="86" w:lineRule="exact"/>
              <w:rPr>
                <w:sz w:val="20"/>
                <w:szCs w:val="20"/>
                <w:color w:val="auto"/>
              </w:rPr>
            </w:pPr>
            <w:r>
              <w:rPr>
                <w:rFonts w:ascii="Arial" w:cs="Arial" w:eastAsia="Arial" w:hAnsi="Arial"/>
                <w:sz w:val="9"/>
                <w:szCs w:val="9"/>
                <w:b w:val="1"/>
                <w:bCs w:val="1"/>
                <w:color w:val="auto"/>
                <w:w w:val="84"/>
              </w:rPr>
              <w:t>comprehensive (loss)</w:t>
            </w:r>
          </w:p>
        </w:tc>
        <w:tc>
          <w:tcPr>
            <w:tcW w:w="1000" w:type="dxa"/>
            <w:vAlign w:val="bottom"/>
          </w:tcPr>
          <w:p>
            <w:pPr>
              <w:spacing w:after="0"/>
              <w:rPr>
                <w:sz w:val="3"/>
                <w:szCs w:val="3"/>
                <w:color w:val="auto"/>
              </w:rPr>
            </w:pPr>
          </w:p>
        </w:tc>
        <w:tc>
          <w:tcPr>
            <w:tcW w:w="80" w:type="dxa"/>
            <w:vAlign w:val="bottom"/>
          </w:tcPr>
          <w:p>
            <w:pPr>
              <w:spacing w:after="0"/>
              <w:rPr>
                <w:sz w:val="3"/>
                <w:szCs w:val="3"/>
                <w:color w:val="auto"/>
              </w:rPr>
            </w:pPr>
          </w:p>
        </w:tc>
        <w:tc>
          <w:tcPr>
            <w:tcW w:w="7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3"/>
        </w:trPr>
        <w:tc>
          <w:tcPr>
            <w:tcW w:w="2240" w:type="dxa"/>
            <w:vAlign w:val="bottom"/>
          </w:tcPr>
          <w:p>
            <w:pPr>
              <w:spacing w:after="0" w:line="20" w:lineRule="exact"/>
              <w:rPr>
                <w:sz w:val="1"/>
                <w:szCs w:val="1"/>
                <w:color w:val="auto"/>
              </w:rPr>
            </w:pPr>
          </w:p>
        </w:tc>
        <w:tc>
          <w:tcPr>
            <w:tcW w:w="760" w:type="dxa"/>
            <w:vAlign w:val="bottom"/>
            <w:gridSpan w:val="2"/>
            <w:vMerge w:val="continue"/>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00" w:type="dxa"/>
            <w:vAlign w:val="bottom"/>
            <w:gridSpan w:val="2"/>
            <w:vMerge w:val="continue"/>
          </w:tcPr>
          <w:p>
            <w:pPr>
              <w:spacing w:after="0" w:line="20" w:lineRule="exact"/>
              <w:rPr>
                <w:sz w:val="1"/>
                <w:szCs w:val="1"/>
                <w:color w:val="auto"/>
              </w:rPr>
            </w:pPr>
          </w:p>
        </w:tc>
        <w:tc>
          <w:tcPr>
            <w:tcW w:w="680" w:type="dxa"/>
            <w:vAlign w:val="bottom"/>
            <w:gridSpan w:val="2"/>
            <w:vMerge w:val="continue"/>
          </w:tcPr>
          <w:p>
            <w:pPr>
              <w:spacing w:after="0" w:line="20" w:lineRule="exact"/>
              <w:rPr>
                <w:sz w:val="1"/>
                <w:szCs w:val="1"/>
                <w:color w:val="auto"/>
              </w:rPr>
            </w:pPr>
          </w:p>
        </w:tc>
        <w:tc>
          <w:tcPr>
            <w:tcW w:w="820" w:type="dxa"/>
            <w:vAlign w:val="bottom"/>
            <w:gridSpan w:val="2"/>
            <w:vMerge w:val="continue"/>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100" w:type="dxa"/>
            <w:vAlign w:val="bottom"/>
            <w:gridSpan w:val="2"/>
            <w:vMerge w:val="continue"/>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1"/>
        </w:trPr>
        <w:tc>
          <w:tcPr>
            <w:tcW w:w="2240" w:type="dxa"/>
            <w:vAlign w:val="bottom"/>
            <w:tcBorders>
              <w:bottom w:val="single" w:sz="8" w:color="CCEEFF"/>
            </w:tcBorders>
          </w:tcPr>
          <w:p>
            <w:pPr>
              <w:spacing w:after="0"/>
              <w:rPr>
                <w:sz w:val="10"/>
                <w:szCs w:val="10"/>
                <w:color w:val="auto"/>
              </w:rPr>
            </w:pPr>
          </w:p>
        </w:tc>
        <w:tc>
          <w:tcPr>
            <w:tcW w:w="680" w:type="dxa"/>
            <w:vAlign w:val="bottom"/>
            <w:tcBorders>
              <w:bottom w:val="single" w:sz="8" w:color="auto"/>
            </w:tcBorders>
          </w:tcPr>
          <w:p>
            <w:pPr>
              <w:ind w:left="220"/>
              <w:spacing w:after="0"/>
              <w:rPr>
                <w:sz w:val="20"/>
                <w:szCs w:val="20"/>
                <w:color w:val="auto"/>
              </w:rPr>
            </w:pPr>
            <w:r>
              <w:rPr>
                <w:rFonts w:ascii="Arial" w:cs="Arial" w:eastAsia="Arial" w:hAnsi="Arial"/>
                <w:sz w:val="9"/>
                <w:szCs w:val="9"/>
                <w:b w:val="1"/>
                <w:bCs w:val="1"/>
                <w:color w:val="auto"/>
              </w:rPr>
              <w:t>shares</w:t>
            </w:r>
          </w:p>
        </w:tc>
        <w:tc>
          <w:tcPr>
            <w:tcW w:w="80" w:type="dxa"/>
            <w:vAlign w:val="bottom"/>
            <w:tcBorders>
              <w:bottom w:val="single" w:sz="8" w:color="CCEEFF"/>
            </w:tcBorders>
          </w:tcPr>
          <w:p>
            <w:pPr>
              <w:spacing w:after="0"/>
              <w:rPr>
                <w:sz w:val="10"/>
                <w:szCs w:val="10"/>
                <w:color w:val="auto"/>
              </w:rPr>
            </w:pPr>
          </w:p>
        </w:tc>
        <w:tc>
          <w:tcPr>
            <w:tcW w:w="780" w:type="dxa"/>
            <w:vAlign w:val="bottom"/>
            <w:tcBorders>
              <w:bottom w:val="single" w:sz="8" w:color="auto"/>
            </w:tcBorders>
          </w:tcPr>
          <w:p>
            <w:pPr>
              <w:jc w:val="right"/>
              <w:ind w:right="190"/>
              <w:spacing w:after="0"/>
              <w:rPr>
                <w:sz w:val="20"/>
                <w:szCs w:val="20"/>
                <w:color w:val="auto"/>
              </w:rPr>
            </w:pPr>
            <w:r>
              <w:rPr>
                <w:rFonts w:ascii="Arial" w:cs="Arial" w:eastAsia="Arial" w:hAnsi="Arial"/>
                <w:sz w:val="9"/>
                <w:szCs w:val="9"/>
                <w:b w:val="1"/>
                <w:bCs w:val="1"/>
                <w:color w:val="auto"/>
              </w:rPr>
              <w:t>Class A</w:t>
            </w:r>
          </w:p>
        </w:tc>
        <w:tc>
          <w:tcPr>
            <w:tcW w:w="100" w:type="dxa"/>
            <w:vAlign w:val="bottom"/>
            <w:tcBorders>
              <w:bottom w:val="single" w:sz="8" w:color="CCEEFF"/>
            </w:tcBorders>
          </w:tcPr>
          <w:p>
            <w:pPr>
              <w:spacing w:after="0"/>
              <w:rPr>
                <w:sz w:val="10"/>
                <w:szCs w:val="10"/>
                <w:color w:val="auto"/>
              </w:rPr>
            </w:pPr>
          </w:p>
        </w:tc>
        <w:tc>
          <w:tcPr>
            <w:tcW w:w="780" w:type="dxa"/>
            <w:vAlign w:val="bottom"/>
            <w:tcBorders>
              <w:bottom w:val="single" w:sz="8" w:color="auto"/>
            </w:tcBorders>
          </w:tcPr>
          <w:p>
            <w:pPr>
              <w:jc w:val="right"/>
              <w:ind w:right="210"/>
              <w:spacing w:after="0"/>
              <w:rPr>
                <w:sz w:val="20"/>
                <w:szCs w:val="20"/>
                <w:color w:val="auto"/>
              </w:rPr>
            </w:pPr>
            <w:r>
              <w:rPr>
                <w:rFonts w:ascii="Arial" w:cs="Arial" w:eastAsia="Arial" w:hAnsi="Arial"/>
                <w:sz w:val="9"/>
                <w:szCs w:val="9"/>
                <w:b w:val="1"/>
                <w:bCs w:val="1"/>
                <w:color w:val="auto"/>
              </w:rPr>
              <w:t>Class B</w:t>
            </w:r>
          </w:p>
        </w:tc>
        <w:tc>
          <w:tcPr>
            <w:tcW w:w="80" w:type="dxa"/>
            <w:vAlign w:val="bottom"/>
            <w:tcBorders>
              <w:bottom w:val="single" w:sz="8" w:color="CCEEFF"/>
            </w:tcBorders>
          </w:tcPr>
          <w:p>
            <w:pPr>
              <w:spacing w:after="0"/>
              <w:rPr>
                <w:sz w:val="10"/>
                <w:szCs w:val="10"/>
                <w:color w:val="auto"/>
              </w:rPr>
            </w:pPr>
          </w:p>
        </w:tc>
        <w:tc>
          <w:tcPr>
            <w:tcW w:w="680" w:type="dxa"/>
            <w:vAlign w:val="bottom"/>
            <w:tcBorders>
              <w:bottom w:val="single" w:sz="8" w:color="auto"/>
            </w:tcBorders>
            <w:gridSpan w:val="2"/>
          </w:tcPr>
          <w:p>
            <w:pPr>
              <w:ind w:left="60"/>
              <w:spacing w:after="0"/>
              <w:rPr>
                <w:sz w:val="20"/>
                <w:szCs w:val="20"/>
                <w:color w:val="auto"/>
              </w:rPr>
            </w:pPr>
            <w:r>
              <w:rPr>
                <w:rFonts w:ascii="Arial" w:cs="Arial" w:eastAsia="Arial" w:hAnsi="Arial"/>
                <w:sz w:val="9"/>
                <w:szCs w:val="9"/>
                <w:b w:val="1"/>
                <w:bCs w:val="1"/>
                <w:color w:val="auto"/>
                <w:w w:val="90"/>
              </w:rPr>
              <w:t>Preferred stock</w:t>
            </w:r>
          </w:p>
        </w:tc>
        <w:tc>
          <w:tcPr>
            <w:tcW w:w="80" w:type="dxa"/>
            <w:vAlign w:val="bottom"/>
            <w:tcBorders>
              <w:bottom w:val="single" w:sz="8" w:color="CCEEFF"/>
            </w:tcBorders>
          </w:tcPr>
          <w:p>
            <w:pPr>
              <w:spacing w:after="0"/>
              <w:rPr>
                <w:sz w:val="10"/>
                <w:szCs w:val="10"/>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9"/>
                <w:szCs w:val="9"/>
                <w:b w:val="1"/>
                <w:bCs w:val="1"/>
                <w:color w:val="auto"/>
                <w:w w:val="84"/>
              </w:rPr>
              <w:t>common stock</w:t>
            </w:r>
          </w:p>
        </w:tc>
        <w:tc>
          <w:tcPr>
            <w:tcW w:w="100" w:type="dxa"/>
            <w:vAlign w:val="bottom"/>
            <w:tcBorders>
              <w:bottom w:val="single" w:sz="8" w:color="CCEEFF"/>
            </w:tcBorders>
          </w:tcPr>
          <w:p>
            <w:pPr>
              <w:spacing w:after="0"/>
              <w:rPr>
                <w:sz w:val="10"/>
                <w:szCs w:val="10"/>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9"/>
                <w:szCs w:val="9"/>
                <w:b w:val="1"/>
                <w:bCs w:val="1"/>
                <w:color w:val="auto"/>
                <w:w w:val="84"/>
              </w:rPr>
              <w:t>common stock</w:t>
            </w:r>
          </w:p>
        </w:tc>
        <w:tc>
          <w:tcPr>
            <w:tcW w:w="80" w:type="dxa"/>
            <w:vAlign w:val="bottom"/>
            <w:tcBorders>
              <w:bottom w:val="single" w:sz="8" w:color="CCEEFF"/>
            </w:tcBorders>
          </w:tcPr>
          <w:p>
            <w:pPr>
              <w:spacing w:after="0"/>
              <w:rPr>
                <w:sz w:val="10"/>
                <w:szCs w:val="10"/>
                <w:color w:val="auto"/>
              </w:rPr>
            </w:pPr>
          </w:p>
        </w:tc>
        <w:tc>
          <w:tcPr>
            <w:tcW w:w="740" w:type="dxa"/>
            <w:vAlign w:val="bottom"/>
            <w:tcBorders>
              <w:bottom w:val="single" w:sz="8" w:color="auto"/>
            </w:tcBorders>
          </w:tcPr>
          <w:p>
            <w:pPr>
              <w:jc w:val="right"/>
              <w:ind w:right="190"/>
              <w:spacing w:after="0"/>
              <w:rPr>
                <w:sz w:val="20"/>
                <w:szCs w:val="20"/>
                <w:color w:val="auto"/>
              </w:rPr>
            </w:pPr>
            <w:r>
              <w:rPr>
                <w:rFonts w:ascii="Arial" w:cs="Arial" w:eastAsia="Arial" w:hAnsi="Arial"/>
                <w:sz w:val="9"/>
                <w:szCs w:val="9"/>
                <w:b w:val="1"/>
                <w:bCs w:val="1"/>
                <w:color w:val="auto"/>
              </w:rPr>
              <w:t>capital</w:t>
            </w:r>
          </w:p>
        </w:tc>
        <w:tc>
          <w:tcPr>
            <w:tcW w:w="80" w:type="dxa"/>
            <w:vAlign w:val="bottom"/>
            <w:tcBorders>
              <w:bottom w:val="single" w:sz="8" w:color="CCEEFF"/>
            </w:tcBorders>
          </w:tcPr>
          <w:p>
            <w:pPr>
              <w:spacing w:after="0"/>
              <w:rPr>
                <w:sz w:val="10"/>
                <w:szCs w:val="10"/>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9"/>
                <w:szCs w:val="9"/>
                <w:b w:val="1"/>
                <w:bCs w:val="1"/>
                <w:color w:val="auto"/>
                <w:w w:val="87"/>
              </w:rPr>
              <w:t>Retained earnings</w:t>
            </w:r>
          </w:p>
        </w:tc>
        <w:tc>
          <w:tcPr>
            <w:tcW w:w="80" w:type="dxa"/>
            <w:vAlign w:val="bottom"/>
            <w:tcBorders>
              <w:bottom w:val="single" w:sz="8" w:color="CCEEFF"/>
            </w:tcBorders>
          </w:tcPr>
          <w:p>
            <w:pPr>
              <w:spacing w:after="0"/>
              <w:rPr>
                <w:sz w:val="10"/>
                <w:szCs w:val="10"/>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9"/>
                <w:szCs w:val="9"/>
                <w:b w:val="1"/>
                <w:bCs w:val="1"/>
                <w:color w:val="auto"/>
                <w:w w:val="79"/>
              </w:rPr>
              <w:t>earnings</w:t>
            </w:r>
          </w:p>
        </w:tc>
        <w:tc>
          <w:tcPr>
            <w:tcW w:w="80" w:type="dxa"/>
            <w:vAlign w:val="bottom"/>
            <w:tcBorders>
              <w:bottom w:val="single" w:sz="8" w:color="CCEEFF"/>
            </w:tcBorders>
          </w:tcPr>
          <w:p>
            <w:pPr>
              <w:spacing w:after="0"/>
              <w:rPr>
                <w:sz w:val="10"/>
                <w:szCs w:val="10"/>
                <w:color w:val="auto"/>
              </w:rPr>
            </w:pPr>
          </w:p>
        </w:tc>
        <w:tc>
          <w:tcPr>
            <w:tcW w:w="1000" w:type="dxa"/>
            <w:vAlign w:val="bottom"/>
            <w:tcBorders>
              <w:bottom w:val="single" w:sz="8" w:color="auto"/>
            </w:tcBorders>
          </w:tcPr>
          <w:p>
            <w:pPr>
              <w:jc w:val="right"/>
              <w:ind w:right="10"/>
              <w:spacing w:after="0"/>
              <w:rPr>
                <w:sz w:val="20"/>
                <w:szCs w:val="20"/>
                <w:color w:val="auto"/>
              </w:rPr>
            </w:pPr>
            <w:r>
              <w:rPr>
                <w:rFonts w:ascii="Arial" w:cs="Arial" w:eastAsia="Arial" w:hAnsi="Arial"/>
                <w:sz w:val="9"/>
                <w:szCs w:val="9"/>
                <w:b w:val="1"/>
                <w:bCs w:val="1"/>
                <w:color w:val="auto"/>
                <w:w w:val="88"/>
              </w:rPr>
              <w:t>Noncontrolling interests</w:t>
            </w:r>
          </w:p>
        </w:tc>
        <w:tc>
          <w:tcPr>
            <w:tcW w:w="80" w:type="dxa"/>
            <w:vAlign w:val="bottom"/>
            <w:tcBorders>
              <w:bottom w:val="single" w:sz="8" w:color="CCEEFF"/>
            </w:tcBorders>
          </w:tcPr>
          <w:p>
            <w:pPr>
              <w:spacing w:after="0"/>
              <w:rPr>
                <w:sz w:val="10"/>
                <w:szCs w:val="10"/>
                <w:color w:val="auto"/>
              </w:rPr>
            </w:pPr>
          </w:p>
        </w:tc>
        <w:tc>
          <w:tcPr>
            <w:tcW w:w="780" w:type="dxa"/>
            <w:vAlign w:val="bottom"/>
            <w:tcBorders>
              <w:bottom w:val="single" w:sz="8" w:color="auto"/>
            </w:tcBorders>
          </w:tcPr>
          <w:p>
            <w:pPr>
              <w:jc w:val="right"/>
              <w:ind w:right="130"/>
              <w:spacing w:after="0"/>
              <w:rPr>
                <w:sz w:val="20"/>
                <w:szCs w:val="20"/>
                <w:color w:val="auto"/>
              </w:rPr>
            </w:pPr>
            <w:r>
              <w:rPr>
                <w:rFonts w:ascii="Arial" w:cs="Arial" w:eastAsia="Arial" w:hAnsi="Arial"/>
                <w:sz w:val="9"/>
                <w:szCs w:val="9"/>
                <w:b w:val="1"/>
                <w:bCs w:val="1"/>
                <w:color w:val="auto"/>
              </w:rPr>
              <w:t>Total equity</w:t>
            </w:r>
          </w:p>
        </w:tc>
        <w:tc>
          <w:tcPr>
            <w:tcW w:w="0" w:type="dxa"/>
            <w:vAlign w:val="bottom"/>
          </w:tcPr>
          <w:p>
            <w:pPr>
              <w:spacing w:after="0"/>
              <w:rPr>
                <w:sz w:val="1"/>
                <w:szCs w:val="1"/>
                <w:color w:val="auto"/>
              </w:rPr>
            </w:pPr>
          </w:p>
        </w:tc>
      </w:tr>
      <w:tr>
        <w:trPr>
          <w:trHeight w:val="150"/>
        </w:trPr>
        <w:tc>
          <w:tcPr>
            <w:tcW w:w="2240" w:type="dxa"/>
            <w:vAlign w:val="bottom"/>
            <w:shd w:val="clear" w:color="auto" w:fill="CCEEFF"/>
          </w:tcPr>
          <w:p>
            <w:pPr>
              <w:ind w:left="20"/>
              <w:spacing w:after="0"/>
              <w:rPr>
                <w:sz w:val="20"/>
                <w:szCs w:val="20"/>
                <w:color w:val="auto"/>
              </w:rPr>
            </w:pPr>
            <w:r>
              <w:rPr>
                <w:rFonts w:ascii="Arial" w:cs="Arial" w:eastAsia="Arial" w:hAnsi="Arial"/>
                <w:sz w:val="10"/>
                <w:szCs w:val="10"/>
                <w:color w:val="auto"/>
              </w:rPr>
              <w:t>Balance as of December 31, 2017</w:t>
            </w:r>
          </w:p>
        </w:tc>
        <w:tc>
          <w:tcPr>
            <w:tcW w:w="760" w:type="dxa"/>
            <w:vAlign w:val="bottom"/>
            <w:gridSpan w:val="2"/>
            <w:shd w:val="clear" w:color="auto" w:fill="CCEEFF"/>
          </w:tcPr>
          <w:p>
            <w:pPr>
              <w:ind w:left="540"/>
              <w:spacing w:after="0"/>
              <w:rPr>
                <w:sz w:val="20"/>
                <w:szCs w:val="20"/>
                <w:color w:val="auto"/>
              </w:rPr>
            </w:pPr>
            <w:r>
              <w:rPr>
                <w:rFonts w:ascii="Arial" w:cs="Arial" w:eastAsia="Arial" w:hAnsi="Arial"/>
                <w:sz w:val="10"/>
                <w:szCs w:val="10"/>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0"/>
                <w:szCs w:val="10"/>
                <w:color w:val="auto"/>
              </w:rPr>
              <w:t>29,341,517</w:t>
            </w:r>
          </w:p>
        </w:tc>
        <w:tc>
          <w:tcPr>
            <w:tcW w:w="100" w:type="dxa"/>
            <w:vAlign w:val="bottom"/>
            <w:shd w:val="clear" w:color="auto" w:fill="CCEEFF"/>
          </w:tcPr>
          <w:p>
            <w:pPr>
              <w:spacing w:after="0"/>
              <w:rPr>
                <w:sz w:val="13"/>
                <w:szCs w:val="13"/>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0"/>
                <w:szCs w:val="10"/>
                <w:color w:val="auto"/>
              </w:rPr>
              <w:t>11,468,587</w:t>
            </w:r>
          </w:p>
        </w:tc>
        <w:tc>
          <w:tcPr>
            <w:tcW w:w="80" w:type="dxa"/>
            <w:vAlign w:val="bottom"/>
            <w:shd w:val="clear" w:color="auto" w:fill="CCEEFF"/>
          </w:tcPr>
          <w:p>
            <w:pPr>
              <w:spacing w:after="0"/>
              <w:rPr>
                <w:sz w:val="13"/>
                <w:szCs w:val="13"/>
                <w:color w:val="auto"/>
              </w:rPr>
            </w:pPr>
          </w:p>
        </w:tc>
        <w:tc>
          <w:tcPr>
            <w:tcW w:w="300" w:type="dxa"/>
            <w:vAlign w:val="bottom"/>
            <w:shd w:val="clear" w:color="auto" w:fill="CCEEFF"/>
          </w:tcPr>
          <w:p>
            <w:pPr>
              <w:jc w:val="right"/>
              <w:ind w:right="171"/>
              <w:spacing w:after="0"/>
              <w:rPr>
                <w:sz w:val="20"/>
                <w:szCs w:val="20"/>
                <w:color w:val="auto"/>
              </w:rPr>
            </w:pPr>
            <w:r>
              <w:rPr>
                <w:rFonts w:ascii="Arial" w:cs="Arial" w:eastAsia="Arial" w:hAnsi="Arial"/>
                <w:sz w:val="10"/>
                <w:szCs w:val="10"/>
                <w:color w:val="auto"/>
              </w:rPr>
              <w:t>$</w:t>
            </w:r>
          </w:p>
        </w:tc>
        <w:tc>
          <w:tcPr>
            <w:tcW w:w="460" w:type="dxa"/>
            <w:vAlign w:val="bottom"/>
            <w:gridSpan w:val="2"/>
            <w:shd w:val="clear" w:color="auto" w:fill="CCEEFF"/>
          </w:tcPr>
          <w:p>
            <w:pPr>
              <w:ind w:left="240"/>
              <w:spacing w:after="0"/>
              <w:rPr>
                <w:sz w:val="20"/>
                <w:szCs w:val="20"/>
                <w:color w:val="auto"/>
              </w:rPr>
            </w:pPr>
            <w:r>
              <w:rPr>
                <w:rFonts w:ascii="Arial" w:cs="Arial" w:eastAsia="Arial" w:hAnsi="Arial"/>
                <w:sz w:val="10"/>
                <w:szCs w:val="10"/>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0"/>
                <w:szCs w:val="10"/>
                <w:color w:val="auto"/>
              </w:rPr>
              <w:t>293</w:t>
            </w:r>
          </w:p>
        </w:tc>
        <w:tc>
          <w:tcPr>
            <w:tcW w:w="100" w:type="dxa"/>
            <w:vAlign w:val="bottom"/>
            <w:shd w:val="clear" w:color="auto" w:fill="CCEEFF"/>
          </w:tcPr>
          <w:p>
            <w:pPr>
              <w:spacing w:after="0"/>
              <w:rPr>
                <w:sz w:val="13"/>
                <w:szCs w:val="13"/>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0"/>
                <w:szCs w:val="10"/>
                <w:color w:val="auto"/>
              </w:rPr>
              <w:t>115</w:t>
            </w:r>
          </w:p>
        </w:tc>
        <w:tc>
          <w:tcPr>
            <w:tcW w:w="80" w:type="dxa"/>
            <w:vAlign w:val="bottom"/>
            <w:shd w:val="clear" w:color="auto" w:fill="CCEEFF"/>
          </w:tcPr>
          <w:p>
            <w:pPr>
              <w:spacing w:after="0"/>
              <w:rPr>
                <w:sz w:val="13"/>
                <w:szCs w:val="13"/>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0"/>
                <w:szCs w:val="10"/>
                <w:color w:val="auto"/>
              </w:rPr>
              <w:t>521</w:t>
            </w:r>
          </w:p>
        </w:tc>
        <w:tc>
          <w:tcPr>
            <w:tcW w:w="80" w:type="dxa"/>
            <w:vAlign w:val="bottom"/>
            <w:shd w:val="clear" w:color="auto" w:fill="CCEEFF"/>
          </w:tcPr>
          <w:p>
            <w:pPr>
              <w:spacing w:after="0"/>
              <w:rPr>
                <w:sz w:val="13"/>
                <w:szCs w:val="13"/>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0"/>
                <w:szCs w:val="10"/>
                <w:color w:val="auto"/>
              </w:rPr>
              <w:t>2,143,983</w:t>
            </w:r>
          </w:p>
        </w:tc>
        <w:tc>
          <w:tcPr>
            <w:tcW w:w="80" w:type="dxa"/>
            <w:vAlign w:val="bottom"/>
            <w:shd w:val="clear" w:color="auto" w:fill="CCEEFF"/>
          </w:tcPr>
          <w:p>
            <w:pPr>
              <w:spacing w:after="0"/>
              <w:rPr>
                <w:sz w:val="13"/>
                <w:szCs w:val="13"/>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0"/>
                <w:szCs w:val="10"/>
                <w:color w:val="auto"/>
              </w:rPr>
              <w:t>4,617</w:t>
            </w:r>
          </w:p>
        </w:tc>
        <w:tc>
          <w:tcPr>
            <w:tcW w:w="80" w:type="dxa"/>
            <w:vAlign w:val="bottom"/>
            <w:shd w:val="clear" w:color="auto" w:fill="CCEEFF"/>
          </w:tcPr>
          <w:p>
            <w:pPr>
              <w:spacing w:after="0"/>
              <w:rPr>
                <w:sz w:val="13"/>
                <w:szCs w:val="13"/>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0"/>
                <w:szCs w:val="10"/>
                <w:color w:val="auto"/>
              </w:rPr>
              <w:t>15,858</w:t>
            </w:r>
          </w:p>
        </w:tc>
        <w:tc>
          <w:tcPr>
            <w:tcW w:w="80" w:type="dxa"/>
            <w:vAlign w:val="bottom"/>
            <w:shd w:val="clear" w:color="auto" w:fill="CCEEFF"/>
          </w:tcPr>
          <w:p>
            <w:pPr>
              <w:spacing w:after="0"/>
              <w:rPr>
                <w:sz w:val="13"/>
                <w:szCs w:val="13"/>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0"/>
                <w:szCs w:val="10"/>
                <w:color w:val="auto"/>
              </w:rPr>
              <w:t>2,165,387</w:t>
            </w:r>
          </w:p>
        </w:tc>
        <w:tc>
          <w:tcPr>
            <w:tcW w:w="0" w:type="dxa"/>
            <w:vAlign w:val="bottom"/>
          </w:tcPr>
          <w:p>
            <w:pPr>
              <w:spacing w:after="0"/>
              <w:rPr>
                <w:sz w:val="1"/>
                <w:szCs w:val="1"/>
                <w:color w:val="auto"/>
              </w:rPr>
            </w:pPr>
          </w:p>
        </w:tc>
      </w:tr>
      <w:tr>
        <w:trPr>
          <w:trHeight w:val="144"/>
        </w:trPr>
        <w:tc>
          <w:tcPr>
            <w:tcW w:w="2240" w:type="dxa"/>
            <w:vAlign w:val="bottom"/>
          </w:tcPr>
          <w:p>
            <w:pPr>
              <w:ind w:left="20"/>
              <w:spacing w:after="0"/>
              <w:rPr>
                <w:sz w:val="20"/>
                <w:szCs w:val="20"/>
                <w:color w:val="auto"/>
              </w:rPr>
            </w:pPr>
            <w:r>
              <w:rPr>
                <w:rFonts w:ascii="Arial" w:cs="Arial" w:eastAsia="Arial" w:hAnsi="Arial"/>
                <w:sz w:val="10"/>
                <w:szCs w:val="10"/>
                <w:color w:val="auto"/>
              </w:rPr>
              <w:t>Issuance of noncontrolling interests</w:t>
            </w:r>
          </w:p>
        </w:tc>
        <w:tc>
          <w:tcPr>
            <w:tcW w:w="760" w:type="dxa"/>
            <w:vAlign w:val="bottom"/>
            <w:gridSpan w:val="2"/>
          </w:tcPr>
          <w:p>
            <w:pPr>
              <w:ind w:left="540"/>
              <w:spacing w:after="0"/>
              <w:rPr>
                <w:sz w:val="20"/>
                <w:szCs w:val="20"/>
                <w:color w:val="auto"/>
              </w:rPr>
            </w:pPr>
            <w:r>
              <w:rPr>
                <w:rFonts w:ascii="Arial" w:cs="Arial" w:eastAsia="Arial" w:hAnsi="Arial"/>
                <w:sz w:val="10"/>
                <w:szCs w:val="10"/>
                <w:color w:val="auto"/>
              </w:rPr>
              <w:t>—</w:t>
            </w:r>
          </w:p>
        </w:tc>
        <w:tc>
          <w:tcPr>
            <w:tcW w:w="880" w:type="dxa"/>
            <w:vAlign w:val="bottom"/>
            <w:gridSpan w:val="2"/>
          </w:tcPr>
          <w:p>
            <w:pPr>
              <w:jc w:val="right"/>
              <w:ind w:right="140"/>
              <w:spacing w:after="0"/>
              <w:rPr>
                <w:sz w:val="20"/>
                <w:szCs w:val="20"/>
                <w:color w:val="auto"/>
              </w:rPr>
            </w:pPr>
            <w:r>
              <w:rPr>
                <w:rFonts w:ascii="Arial" w:cs="Arial" w:eastAsia="Arial" w:hAnsi="Arial"/>
                <w:sz w:val="10"/>
                <w:szCs w:val="10"/>
                <w:color w:val="auto"/>
              </w:rPr>
              <w:t>—</w:t>
            </w:r>
          </w:p>
        </w:tc>
        <w:tc>
          <w:tcPr>
            <w:tcW w:w="86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300" w:type="dxa"/>
            <w:vAlign w:val="bottom"/>
          </w:tcPr>
          <w:p>
            <w:pPr>
              <w:spacing w:after="0"/>
              <w:rPr>
                <w:sz w:val="12"/>
                <w:szCs w:val="12"/>
                <w:color w:val="auto"/>
              </w:rPr>
            </w:pPr>
          </w:p>
        </w:tc>
        <w:tc>
          <w:tcPr>
            <w:tcW w:w="460" w:type="dxa"/>
            <w:vAlign w:val="bottom"/>
            <w:gridSpan w:val="2"/>
          </w:tcPr>
          <w:p>
            <w:pPr>
              <w:ind w:left="240"/>
              <w:spacing w:after="0"/>
              <w:rPr>
                <w:sz w:val="20"/>
                <w:szCs w:val="20"/>
                <w:color w:val="auto"/>
              </w:rPr>
            </w:pPr>
            <w:r>
              <w:rPr>
                <w:rFonts w:ascii="Arial" w:cs="Arial" w:eastAsia="Arial" w:hAnsi="Arial"/>
                <w:sz w:val="10"/>
                <w:szCs w:val="10"/>
                <w:color w:val="auto"/>
              </w:rPr>
              <w:t>—</w:t>
            </w:r>
          </w:p>
        </w:tc>
        <w:tc>
          <w:tcPr>
            <w:tcW w:w="700" w:type="dxa"/>
            <w:vAlign w:val="bottom"/>
            <w:gridSpan w:val="2"/>
          </w:tcPr>
          <w:p>
            <w:pPr>
              <w:jc w:val="right"/>
              <w:ind w:right="140"/>
              <w:spacing w:after="0"/>
              <w:rPr>
                <w:sz w:val="20"/>
                <w:szCs w:val="20"/>
                <w:color w:val="auto"/>
              </w:rPr>
            </w:pPr>
            <w:r>
              <w:rPr>
                <w:rFonts w:ascii="Arial" w:cs="Arial" w:eastAsia="Arial" w:hAnsi="Arial"/>
                <w:sz w:val="10"/>
                <w:szCs w:val="10"/>
                <w:color w:val="auto"/>
              </w:rPr>
              <w:t>—</w:t>
            </w:r>
          </w:p>
        </w:tc>
        <w:tc>
          <w:tcPr>
            <w:tcW w:w="68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82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80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110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1000" w:type="dxa"/>
            <w:vAlign w:val="bottom"/>
          </w:tcPr>
          <w:p>
            <w:pPr>
              <w:jc w:val="right"/>
              <w:spacing w:after="0"/>
              <w:rPr>
                <w:sz w:val="20"/>
                <w:szCs w:val="20"/>
                <w:color w:val="auto"/>
              </w:rPr>
            </w:pPr>
            <w:r>
              <w:rPr>
                <w:rFonts w:ascii="Arial" w:cs="Arial" w:eastAsia="Arial" w:hAnsi="Arial"/>
                <w:sz w:val="10"/>
                <w:szCs w:val="10"/>
                <w:color w:val="auto"/>
              </w:rPr>
              <w:t>26</w:t>
            </w:r>
          </w:p>
        </w:tc>
        <w:tc>
          <w:tcPr>
            <w:tcW w:w="80" w:type="dxa"/>
            <w:vAlign w:val="bottom"/>
          </w:tcPr>
          <w:p>
            <w:pPr>
              <w:spacing w:after="0"/>
              <w:rPr>
                <w:sz w:val="12"/>
                <w:szCs w:val="12"/>
                <w:color w:val="auto"/>
              </w:rPr>
            </w:pPr>
          </w:p>
        </w:tc>
        <w:tc>
          <w:tcPr>
            <w:tcW w:w="780" w:type="dxa"/>
            <w:vAlign w:val="bottom"/>
          </w:tcPr>
          <w:p>
            <w:pPr>
              <w:jc w:val="right"/>
              <w:spacing w:after="0"/>
              <w:rPr>
                <w:sz w:val="20"/>
                <w:szCs w:val="20"/>
                <w:color w:val="auto"/>
              </w:rPr>
            </w:pPr>
            <w:r>
              <w:rPr>
                <w:rFonts w:ascii="Arial" w:cs="Arial" w:eastAsia="Arial" w:hAnsi="Arial"/>
                <w:sz w:val="10"/>
                <w:szCs w:val="10"/>
                <w:color w:val="auto"/>
              </w:rPr>
              <w:t>26</w:t>
            </w:r>
          </w:p>
        </w:tc>
        <w:tc>
          <w:tcPr>
            <w:tcW w:w="0" w:type="dxa"/>
            <w:vAlign w:val="bottom"/>
          </w:tcPr>
          <w:p>
            <w:pPr>
              <w:spacing w:after="0"/>
              <w:rPr>
                <w:sz w:val="1"/>
                <w:szCs w:val="1"/>
                <w:color w:val="auto"/>
              </w:rPr>
            </w:pPr>
          </w:p>
        </w:tc>
      </w:tr>
      <w:tr>
        <w:trPr>
          <w:trHeight w:val="157"/>
        </w:trPr>
        <w:tc>
          <w:tcPr>
            <w:tcW w:w="2240" w:type="dxa"/>
            <w:vAlign w:val="bottom"/>
            <w:shd w:val="clear" w:color="auto" w:fill="CCEEFF"/>
          </w:tcPr>
          <w:p>
            <w:pPr>
              <w:ind w:left="20"/>
              <w:spacing w:after="0"/>
              <w:rPr>
                <w:sz w:val="20"/>
                <w:szCs w:val="20"/>
                <w:color w:val="auto"/>
              </w:rPr>
            </w:pPr>
            <w:r>
              <w:rPr>
                <w:rFonts w:ascii="Arial" w:cs="Arial" w:eastAsia="Arial" w:hAnsi="Arial"/>
                <w:sz w:val="10"/>
                <w:szCs w:val="10"/>
                <w:color w:val="auto"/>
              </w:rPr>
              <w:t>Net income (loss)</w:t>
            </w:r>
          </w:p>
        </w:tc>
        <w:tc>
          <w:tcPr>
            <w:tcW w:w="760" w:type="dxa"/>
            <w:vAlign w:val="bottom"/>
            <w:gridSpan w:val="2"/>
            <w:shd w:val="clear" w:color="auto" w:fill="CCEEFF"/>
          </w:tcPr>
          <w:p>
            <w:pPr>
              <w:ind w:left="540"/>
              <w:spacing w:after="0"/>
              <w:rPr>
                <w:sz w:val="20"/>
                <w:szCs w:val="20"/>
                <w:color w:val="auto"/>
              </w:rPr>
            </w:pPr>
            <w:r>
              <w:rPr>
                <w:rFonts w:ascii="Arial" w:cs="Arial" w:eastAsia="Arial" w:hAnsi="Arial"/>
                <w:sz w:val="10"/>
                <w:szCs w:val="10"/>
                <w:color w:val="auto"/>
              </w:rPr>
              <w:t>—</w:t>
            </w:r>
          </w:p>
        </w:tc>
        <w:tc>
          <w:tcPr>
            <w:tcW w:w="880" w:type="dxa"/>
            <w:vAlign w:val="bottom"/>
            <w:gridSpan w:val="2"/>
            <w:shd w:val="clear" w:color="auto" w:fill="CCEEFF"/>
          </w:tcPr>
          <w:p>
            <w:pPr>
              <w:jc w:val="right"/>
              <w:ind w:right="140"/>
              <w:spacing w:after="0"/>
              <w:rPr>
                <w:sz w:val="20"/>
                <w:szCs w:val="20"/>
                <w:color w:val="auto"/>
              </w:rPr>
            </w:pPr>
            <w:r>
              <w:rPr>
                <w:rFonts w:ascii="Arial" w:cs="Arial" w:eastAsia="Arial" w:hAnsi="Arial"/>
                <w:sz w:val="10"/>
                <w:szCs w:val="10"/>
                <w:color w:val="auto"/>
              </w:rPr>
              <w:t>—</w:t>
            </w: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0"/>
                <w:szCs w:val="10"/>
                <w:color w:val="auto"/>
              </w:rPr>
              <w:t>—</w:t>
            </w:r>
          </w:p>
        </w:tc>
        <w:tc>
          <w:tcPr>
            <w:tcW w:w="300" w:type="dxa"/>
            <w:vAlign w:val="bottom"/>
            <w:shd w:val="clear" w:color="auto" w:fill="CCEEFF"/>
          </w:tcPr>
          <w:p>
            <w:pPr>
              <w:spacing w:after="0"/>
              <w:rPr>
                <w:sz w:val="13"/>
                <w:szCs w:val="13"/>
                <w:color w:val="auto"/>
              </w:rPr>
            </w:pPr>
          </w:p>
        </w:tc>
        <w:tc>
          <w:tcPr>
            <w:tcW w:w="460" w:type="dxa"/>
            <w:vAlign w:val="bottom"/>
            <w:gridSpan w:val="2"/>
            <w:shd w:val="clear" w:color="auto" w:fill="CCEEFF"/>
          </w:tcPr>
          <w:p>
            <w:pPr>
              <w:ind w:left="240"/>
              <w:spacing w:after="0"/>
              <w:rPr>
                <w:sz w:val="20"/>
                <w:szCs w:val="20"/>
                <w:color w:val="auto"/>
              </w:rPr>
            </w:pPr>
            <w:r>
              <w:rPr>
                <w:rFonts w:ascii="Arial" w:cs="Arial" w:eastAsia="Arial" w:hAnsi="Arial"/>
                <w:sz w:val="10"/>
                <w:szCs w:val="10"/>
                <w:color w:val="auto"/>
              </w:rPr>
              <w:t>—</w:t>
            </w: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0"/>
                <w:szCs w:val="10"/>
                <w:color w:val="auto"/>
              </w:rPr>
              <w:t>—</w:t>
            </w:r>
          </w:p>
        </w:tc>
        <w:tc>
          <w:tcPr>
            <w:tcW w:w="680" w:type="dxa"/>
            <w:vAlign w:val="bottom"/>
            <w:gridSpan w:val="2"/>
            <w:shd w:val="clear" w:color="auto" w:fill="CCEEFF"/>
          </w:tcPr>
          <w:p>
            <w:pPr>
              <w:jc w:val="right"/>
              <w:ind w:right="120"/>
              <w:spacing w:after="0"/>
              <w:rPr>
                <w:sz w:val="20"/>
                <w:szCs w:val="20"/>
                <w:color w:val="auto"/>
              </w:rPr>
            </w:pPr>
            <w:r>
              <w:rPr>
                <w:rFonts w:ascii="Arial" w:cs="Arial" w:eastAsia="Arial" w:hAnsi="Arial"/>
                <w:sz w:val="10"/>
                <w:szCs w:val="10"/>
                <w:color w:val="auto"/>
              </w:rPr>
              <w:t>—</w:t>
            </w: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0"/>
                <w:szCs w:val="10"/>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0"/>
                <w:szCs w:val="10"/>
                <w:color w:val="auto"/>
              </w:rPr>
              <w:t>113,925</w:t>
            </w:r>
          </w:p>
        </w:tc>
        <w:tc>
          <w:tcPr>
            <w:tcW w:w="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120"/>
              <w:spacing w:after="0"/>
              <w:rPr>
                <w:sz w:val="20"/>
                <w:szCs w:val="20"/>
                <w:color w:val="auto"/>
              </w:rPr>
            </w:pPr>
            <w:r>
              <w:rPr>
                <w:rFonts w:ascii="Arial" w:cs="Arial" w:eastAsia="Arial" w:hAnsi="Arial"/>
                <w:sz w:val="10"/>
                <w:szCs w:val="10"/>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0"/>
                <w:szCs w:val="10"/>
                <w:color w:val="auto"/>
              </w:rPr>
              <w:t>(740)</w:t>
            </w:r>
          </w:p>
        </w:tc>
        <w:tc>
          <w:tcPr>
            <w:tcW w:w="80" w:type="dxa"/>
            <w:vAlign w:val="bottom"/>
            <w:shd w:val="clear" w:color="auto" w:fill="CCEEFF"/>
          </w:tcPr>
          <w:p>
            <w:pPr>
              <w:spacing w:after="0"/>
              <w:rPr>
                <w:sz w:val="13"/>
                <w:szCs w:val="13"/>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0"/>
                <w:szCs w:val="10"/>
                <w:color w:val="auto"/>
              </w:rPr>
              <w:t>113,185</w:t>
            </w:r>
          </w:p>
        </w:tc>
        <w:tc>
          <w:tcPr>
            <w:tcW w:w="0" w:type="dxa"/>
            <w:vAlign w:val="bottom"/>
          </w:tcPr>
          <w:p>
            <w:pPr>
              <w:spacing w:after="0"/>
              <w:rPr>
                <w:sz w:val="1"/>
                <w:szCs w:val="1"/>
                <w:color w:val="auto"/>
              </w:rPr>
            </w:pPr>
          </w:p>
        </w:tc>
      </w:tr>
      <w:tr>
        <w:trPr>
          <w:trHeight w:val="144"/>
        </w:trPr>
        <w:tc>
          <w:tcPr>
            <w:tcW w:w="2240" w:type="dxa"/>
            <w:vAlign w:val="bottom"/>
          </w:tcPr>
          <w:p>
            <w:pPr>
              <w:ind w:left="20"/>
              <w:spacing w:after="0"/>
              <w:rPr>
                <w:sz w:val="20"/>
                <w:szCs w:val="20"/>
                <w:color w:val="auto"/>
              </w:rPr>
            </w:pPr>
            <w:r>
              <w:rPr>
                <w:rFonts w:ascii="Arial" w:cs="Arial" w:eastAsia="Arial" w:hAnsi="Arial"/>
                <w:sz w:val="10"/>
                <w:szCs w:val="10"/>
                <w:color w:val="auto"/>
              </w:rPr>
              <w:t>Other comprehensive loss</w:t>
            </w:r>
          </w:p>
        </w:tc>
        <w:tc>
          <w:tcPr>
            <w:tcW w:w="760" w:type="dxa"/>
            <w:vAlign w:val="bottom"/>
            <w:gridSpan w:val="2"/>
          </w:tcPr>
          <w:p>
            <w:pPr>
              <w:ind w:left="540"/>
              <w:spacing w:after="0"/>
              <w:rPr>
                <w:sz w:val="20"/>
                <w:szCs w:val="20"/>
                <w:color w:val="auto"/>
              </w:rPr>
            </w:pPr>
            <w:r>
              <w:rPr>
                <w:rFonts w:ascii="Arial" w:cs="Arial" w:eastAsia="Arial" w:hAnsi="Arial"/>
                <w:sz w:val="10"/>
                <w:szCs w:val="10"/>
                <w:color w:val="auto"/>
              </w:rPr>
              <w:t>—</w:t>
            </w:r>
          </w:p>
        </w:tc>
        <w:tc>
          <w:tcPr>
            <w:tcW w:w="880" w:type="dxa"/>
            <w:vAlign w:val="bottom"/>
            <w:gridSpan w:val="2"/>
          </w:tcPr>
          <w:p>
            <w:pPr>
              <w:jc w:val="right"/>
              <w:ind w:right="140"/>
              <w:spacing w:after="0"/>
              <w:rPr>
                <w:sz w:val="20"/>
                <w:szCs w:val="20"/>
                <w:color w:val="auto"/>
              </w:rPr>
            </w:pPr>
            <w:r>
              <w:rPr>
                <w:rFonts w:ascii="Arial" w:cs="Arial" w:eastAsia="Arial" w:hAnsi="Arial"/>
                <w:sz w:val="10"/>
                <w:szCs w:val="10"/>
                <w:color w:val="auto"/>
              </w:rPr>
              <w:t>—</w:t>
            </w:r>
          </w:p>
        </w:tc>
        <w:tc>
          <w:tcPr>
            <w:tcW w:w="86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300" w:type="dxa"/>
            <w:vAlign w:val="bottom"/>
          </w:tcPr>
          <w:p>
            <w:pPr>
              <w:spacing w:after="0"/>
              <w:rPr>
                <w:sz w:val="12"/>
                <w:szCs w:val="12"/>
                <w:color w:val="auto"/>
              </w:rPr>
            </w:pPr>
          </w:p>
        </w:tc>
        <w:tc>
          <w:tcPr>
            <w:tcW w:w="460" w:type="dxa"/>
            <w:vAlign w:val="bottom"/>
            <w:gridSpan w:val="2"/>
          </w:tcPr>
          <w:p>
            <w:pPr>
              <w:ind w:left="240"/>
              <w:spacing w:after="0"/>
              <w:rPr>
                <w:sz w:val="20"/>
                <w:szCs w:val="20"/>
                <w:color w:val="auto"/>
              </w:rPr>
            </w:pPr>
            <w:r>
              <w:rPr>
                <w:rFonts w:ascii="Arial" w:cs="Arial" w:eastAsia="Arial" w:hAnsi="Arial"/>
                <w:sz w:val="10"/>
                <w:szCs w:val="10"/>
                <w:color w:val="auto"/>
              </w:rPr>
              <w:t>—</w:t>
            </w:r>
          </w:p>
        </w:tc>
        <w:tc>
          <w:tcPr>
            <w:tcW w:w="700" w:type="dxa"/>
            <w:vAlign w:val="bottom"/>
            <w:gridSpan w:val="2"/>
          </w:tcPr>
          <w:p>
            <w:pPr>
              <w:jc w:val="right"/>
              <w:ind w:right="140"/>
              <w:spacing w:after="0"/>
              <w:rPr>
                <w:sz w:val="20"/>
                <w:szCs w:val="20"/>
                <w:color w:val="auto"/>
              </w:rPr>
            </w:pPr>
            <w:r>
              <w:rPr>
                <w:rFonts w:ascii="Arial" w:cs="Arial" w:eastAsia="Arial" w:hAnsi="Arial"/>
                <w:sz w:val="10"/>
                <w:szCs w:val="10"/>
                <w:color w:val="auto"/>
              </w:rPr>
              <w:t>—</w:t>
            </w:r>
          </w:p>
        </w:tc>
        <w:tc>
          <w:tcPr>
            <w:tcW w:w="68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82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80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1020" w:type="dxa"/>
            <w:vAlign w:val="bottom"/>
          </w:tcPr>
          <w:p>
            <w:pPr>
              <w:jc w:val="right"/>
              <w:spacing w:after="0"/>
              <w:rPr>
                <w:sz w:val="20"/>
                <w:szCs w:val="20"/>
                <w:color w:val="auto"/>
              </w:rPr>
            </w:pPr>
            <w:r>
              <w:rPr>
                <w:rFonts w:ascii="Arial" w:cs="Arial" w:eastAsia="Arial" w:hAnsi="Arial"/>
                <w:sz w:val="10"/>
                <w:szCs w:val="10"/>
                <w:color w:val="auto"/>
              </w:rPr>
              <w:t>(852)</w:t>
            </w:r>
          </w:p>
        </w:tc>
        <w:tc>
          <w:tcPr>
            <w:tcW w:w="80" w:type="dxa"/>
            <w:vAlign w:val="bottom"/>
          </w:tcPr>
          <w:p>
            <w:pPr>
              <w:spacing w:after="0"/>
              <w:rPr>
                <w:sz w:val="12"/>
                <w:szCs w:val="12"/>
                <w:color w:val="auto"/>
              </w:rPr>
            </w:pPr>
          </w:p>
        </w:tc>
        <w:tc>
          <w:tcPr>
            <w:tcW w:w="108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780" w:type="dxa"/>
            <w:vAlign w:val="bottom"/>
          </w:tcPr>
          <w:p>
            <w:pPr>
              <w:jc w:val="right"/>
              <w:spacing w:after="0"/>
              <w:rPr>
                <w:sz w:val="20"/>
                <w:szCs w:val="20"/>
                <w:color w:val="auto"/>
              </w:rPr>
            </w:pPr>
            <w:r>
              <w:rPr>
                <w:rFonts w:ascii="Arial" w:cs="Arial" w:eastAsia="Arial" w:hAnsi="Arial"/>
                <w:sz w:val="10"/>
                <w:szCs w:val="10"/>
                <w:color w:val="auto"/>
              </w:rPr>
              <w:t>(852)</w:t>
            </w:r>
          </w:p>
        </w:tc>
        <w:tc>
          <w:tcPr>
            <w:tcW w:w="0" w:type="dxa"/>
            <w:vAlign w:val="bottom"/>
          </w:tcPr>
          <w:p>
            <w:pPr>
              <w:spacing w:after="0"/>
              <w:rPr>
                <w:sz w:val="1"/>
                <w:szCs w:val="1"/>
                <w:color w:val="auto"/>
              </w:rPr>
            </w:pPr>
          </w:p>
        </w:tc>
      </w:tr>
      <w:tr>
        <w:trPr>
          <w:trHeight w:val="157"/>
        </w:trPr>
        <w:tc>
          <w:tcPr>
            <w:tcW w:w="2240" w:type="dxa"/>
            <w:vAlign w:val="bottom"/>
            <w:shd w:val="clear" w:color="auto" w:fill="CCEEFF"/>
          </w:tcPr>
          <w:p>
            <w:pPr>
              <w:ind w:left="20"/>
              <w:spacing w:after="0"/>
              <w:rPr>
                <w:sz w:val="20"/>
                <w:szCs w:val="20"/>
                <w:color w:val="auto"/>
              </w:rPr>
            </w:pPr>
            <w:r>
              <w:rPr>
                <w:rFonts w:ascii="Arial" w:cs="Arial" w:eastAsia="Arial" w:hAnsi="Arial"/>
                <w:sz w:val="10"/>
                <w:szCs w:val="10"/>
                <w:color w:val="auto"/>
              </w:rPr>
              <w:t>Distribution to noncontrolling interests</w:t>
            </w:r>
          </w:p>
        </w:tc>
        <w:tc>
          <w:tcPr>
            <w:tcW w:w="760" w:type="dxa"/>
            <w:vAlign w:val="bottom"/>
            <w:gridSpan w:val="2"/>
            <w:shd w:val="clear" w:color="auto" w:fill="CCEEFF"/>
          </w:tcPr>
          <w:p>
            <w:pPr>
              <w:ind w:left="540"/>
              <w:spacing w:after="0"/>
              <w:rPr>
                <w:sz w:val="20"/>
                <w:szCs w:val="20"/>
                <w:color w:val="auto"/>
              </w:rPr>
            </w:pPr>
            <w:r>
              <w:rPr>
                <w:rFonts w:ascii="Arial" w:cs="Arial" w:eastAsia="Arial" w:hAnsi="Arial"/>
                <w:sz w:val="10"/>
                <w:szCs w:val="10"/>
                <w:color w:val="auto"/>
              </w:rPr>
              <w:t>—</w:t>
            </w:r>
          </w:p>
        </w:tc>
        <w:tc>
          <w:tcPr>
            <w:tcW w:w="880" w:type="dxa"/>
            <w:vAlign w:val="bottom"/>
            <w:gridSpan w:val="2"/>
            <w:shd w:val="clear" w:color="auto" w:fill="CCEEFF"/>
          </w:tcPr>
          <w:p>
            <w:pPr>
              <w:jc w:val="right"/>
              <w:ind w:right="140"/>
              <w:spacing w:after="0"/>
              <w:rPr>
                <w:sz w:val="20"/>
                <w:szCs w:val="20"/>
                <w:color w:val="auto"/>
              </w:rPr>
            </w:pPr>
            <w:r>
              <w:rPr>
                <w:rFonts w:ascii="Arial" w:cs="Arial" w:eastAsia="Arial" w:hAnsi="Arial"/>
                <w:sz w:val="10"/>
                <w:szCs w:val="10"/>
                <w:color w:val="auto"/>
              </w:rPr>
              <w:t>—</w:t>
            </w: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0"/>
                <w:szCs w:val="10"/>
                <w:color w:val="auto"/>
              </w:rPr>
              <w:t>—</w:t>
            </w:r>
          </w:p>
        </w:tc>
        <w:tc>
          <w:tcPr>
            <w:tcW w:w="300" w:type="dxa"/>
            <w:vAlign w:val="bottom"/>
            <w:shd w:val="clear" w:color="auto" w:fill="CCEEFF"/>
          </w:tcPr>
          <w:p>
            <w:pPr>
              <w:spacing w:after="0"/>
              <w:rPr>
                <w:sz w:val="13"/>
                <w:szCs w:val="13"/>
                <w:color w:val="auto"/>
              </w:rPr>
            </w:pPr>
          </w:p>
        </w:tc>
        <w:tc>
          <w:tcPr>
            <w:tcW w:w="460" w:type="dxa"/>
            <w:vAlign w:val="bottom"/>
            <w:gridSpan w:val="2"/>
            <w:shd w:val="clear" w:color="auto" w:fill="CCEEFF"/>
          </w:tcPr>
          <w:p>
            <w:pPr>
              <w:ind w:left="240"/>
              <w:spacing w:after="0"/>
              <w:rPr>
                <w:sz w:val="20"/>
                <w:szCs w:val="20"/>
                <w:color w:val="auto"/>
              </w:rPr>
            </w:pPr>
            <w:r>
              <w:rPr>
                <w:rFonts w:ascii="Arial" w:cs="Arial" w:eastAsia="Arial" w:hAnsi="Arial"/>
                <w:sz w:val="10"/>
                <w:szCs w:val="10"/>
                <w:color w:val="auto"/>
              </w:rPr>
              <w:t>—</w:t>
            </w: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0"/>
                <w:szCs w:val="10"/>
                <w:color w:val="auto"/>
              </w:rPr>
              <w:t>—</w:t>
            </w:r>
          </w:p>
        </w:tc>
        <w:tc>
          <w:tcPr>
            <w:tcW w:w="680" w:type="dxa"/>
            <w:vAlign w:val="bottom"/>
            <w:gridSpan w:val="2"/>
            <w:shd w:val="clear" w:color="auto" w:fill="CCEEFF"/>
          </w:tcPr>
          <w:p>
            <w:pPr>
              <w:jc w:val="right"/>
              <w:ind w:right="120"/>
              <w:spacing w:after="0"/>
              <w:rPr>
                <w:sz w:val="20"/>
                <w:szCs w:val="20"/>
                <w:color w:val="auto"/>
              </w:rPr>
            </w:pPr>
            <w:r>
              <w:rPr>
                <w:rFonts w:ascii="Arial" w:cs="Arial" w:eastAsia="Arial" w:hAnsi="Arial"/>
                <w:sz w:val="10"/>
                <w:szCs w:val="10"/>
                <w:color w:val="auto"/>
              </w:rPr>
              <w:t>—</w:t>
            </w: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0"/>
                <w:szCs w:val="10"/>
                <w:color w:val="auto"/>
              </w:rPr>
              <w:t>—</w:t>
            </w:r>
          </w:p>
        </w:tc>
        <w:tc>
          <w:tcPr>
            <w:tcW w:w="800" w:type="dxa"/>
            <w:vAlign w:val="bottom"/>
            <w:gridSpan w:val="2"/>
            <w:shd w:val="clear" w:color="auto" w:fill="CCEEFF"/>
          </w:tcPr>
          <w:p>
            <w:pPr>
              <w:jc w:val="right"/>
              <w:ind w:right="120"/>
              <w:spacing w:after="0"/>
              <w:rPr>
                <w:sz w:val="20"/>
                <w:szCs w:val="20"/>
                <w:color w:val="auto"/>
              </w:rPr>
            </w:pPr>
            <w:r>
              <w:rPr>
                <w:rFonts w:ascii="Arial" w:cs="Arial" w:eastAsia="Arial" w:hAnsi="Arial"/>
                <w:sz w:val="10"/>
                <w:szCs w:val="10"/>
                <w:color w:val="auto"/>
              </w:rPr>
              <w:t>—</w:t>
            </w:r>
          </w:p>
        </w:tc>
        <w:tc>
          <w:tcPr>
            <w:tcW w:w="1100" w:type="dxa"/>
            <w:vAlign w:val="bottom"/>
            <w:gridSpan w:val="2"/>
            <w:shd w:val="clear" w:color="auto" w:fill="CCEEFF"/>
          </w:tcPr>
          <w:p>
            <w:pPr>
              <w:jc w:val="right"/>
              <w:ind w:right="120"/>
              <w:spacing w:after="0"/>
              <w:rPr>
                <w:sz w:val="20"/>
                <w:szCs w:val="20"/>
                <w:color w:val="auto"/>
              </w:rPr>
            </w:pPr>
            <w:r>
              <w:rPr>
                <w:rFonts w:ascii="Arial" w:cs="Arial" w:eastAsia="Arial" w:hAnsi="Arial"/>
                <w:sz w:val="10"/>
                <w:szCs w:val="10"/>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0"/>
                <w:szCs w:val="10"/>
                <w:color w:val="auto"/>
              </w:rPr>
              <w:t>(19)</w:t>
            </w:r>
          </w:p>
        </w:tc>
        <w:tc>
          <w:tcPr>
            <w:tcW w:w="80" w:type="dxa"/>
            <w:vAlign w:val="bottom"/>
            <w:shd w:val="clear" w:color="auto" w:fill="CCEEFF"/>
          </w:tcPr>
          <w:p>
            <w:pPr>
              <w:spacing w:after="0"/>
              <w:rPr>
                <w:sz w:val="13"/>
                <w:szCs w:val="13"/>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0"/>
                <w:szCs w:val="10"/>
                <w:color w:val="auto"/>
              </w:rPr>
              <w:t>(19)</w:t>
            </w:r>
          </w:p>
        </w:tc>
        <w:tc>
          <w:tcPr>
            <w:tcW w:w="0" w:type="dxa"/>
            <w:vAlign w:val="bottom"/>
          </w:tcPr>
          <w:p>
            <w:pPr>
              <w:spacing w:after="0"/>
              <w:rPr>
                <w:sz w:val="1"/>
                <w:szCs w:val="1"/>
                <w:color w:val="auto"/>
              </w:rPr>
            </w:pPr>
          </w:p>
        </w:tc>
      </w:tr>
      <w:tr>
        <w:trPr>
          <w:trHeight w:val="118"/>
        </w:trPr>
        <w:tc>
          <w:tcPr>
            <w:tcW w:w="2240" w:type="dxa"/>
            <w:vAlign w:val="bottom"/>
          </w:tcPr>
          <w:p>
            <w:pPr>
              <w:ind w:left="20"/>
              <w:spacing w:after="0"/>
              <w:rPr>
                <w:sz w:val="20"/>
                <w:szCs w:val="20"/>
                <w:color w:val="auto"/>
              </w:rPr>
            </w:pPr>
            <w:r>
              <w:rPr>
                <w:rFonts w:ascii="Arial" w:cs="Arial" w:eastAsia="Arial" w:hAnsi="Arial"/>
                <w:sz w:val="10"/>
                <w:szCs w:val="10"/>
                <w:color w:val="auto"/>
                <w:w w:val="92"/>
              </w:rPr>
              <w:t>Cash dividend on Class A and Class B common stock</w:t>
            </w:r>
          </w:p>
        </w:tc>
        <w:tc>
          <w:tcPr>
            <w:tcW w:w="6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4"/>
        </w:trPr>
        <w:tc>
          <w:tcPr>
            <w:tcW w:w="2240" w:type="dxa"/>
            <w:vAlign w:val="bottom"/>
          </w:tcPr>
          <w:p>
            <w:pPr>
              <w:ind w:left="20"/>
              <w:spacing w:after="0"/>
              <w:rPr>
                <w:sz w:val="20"/>
                <w:szCs w:val="20"/>
                <w:color w:val="auto"/>
              </w:rPr>
            </w:pPr>
            <w:r>
              <w:rPr>
                <w:rFonts w:ascii="Arial" w:cs="Arial" w:eastAsia="Arial" w:hAnsi="Arial"/>
                <w:sz w:val="10"/>
                <w:szCs w:val="10"/>
                <w:color w:val="auto"/>
              </w:rPr>
              <w:t>- $0.16 per share</w:t>
            </w:r>
          </w:p>
        </w:tc>
        <w:tc>
          <w:tcPr>
            <w:tcW w:w="760" w:type="dxa"/>
            <w:vAlign w:val="bottom"/>
            <w:gridSpan w:val="2"/>
          </w:tcPr>
          <w:p>
            <w:pPr>
              <w:ind w:left="540"/>
              <w:spacing w:after="0"/>
              <w:rPr>
                <w:sz w:val="20"/>
                <w:szCs w:val="20"/>
                <w:color w:val="auto"/>
              </w:rPr>
            </w:pPr>
            <w:r>
              <w:rPr>
                <w:rFonts w:ascii="Arial" w:cs="Arial" w:eastAsia="Arial" w:hAnsi="Arial"/>
                <w:sz w:val="10"/>
                <w:szCs w:val="10"/>
                <w:color w:val="auto"/>
              </w:rPr>
              <w:t>—</w:t>
            </w:r>
          </w:p>
        </w:tc>
        <w:tc>
          <w:tcPr>
            <w:tcW w:w="880" w:type="dxa"/>
            <w:vAlign w:val="bottom"/>
            <w:gridSpan w:val="2"/>
          </w:tcPr>
          <w:p>
            <w:pPr>
              <w:jc w:val="right"/>
              <w:ind w:right="140"/>
              <w:spacing w:after="0"/>
              <w:rPr>
                <w:sz w:val="20"/>
                <w:szCs w:val="20"/>
                <w:color w:val="auto"/>
              </w:rPr>
            </w:pPr>
            <w:r>
              <w:rPr>
                <w:rFonts w:ascii="Arial" w:cs="Arial" w:eastAsia="Arial" w:hAnsi="Arial"/>
                <w:sz w:val="10"/>
                <w:szCs w:val="10"/>
                <w:color w:val="auto"/>
              </w:rPr>
              <w:t>—</w:t>
            </w:r>
          </w:p>
        </w:tc>
        <w:tc>
          <w:tcPr>
            <w:tcW w:w="86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300" w:type="dxa"/>
            <w:vAlign w:val="bottom"/>
          </w:tcPr>
          <w:p>
            <w:pPr>
              <w:spacing w:after="0"/>
              <w:rPr>
                <w:sz w:val="11"/>
                <w:szCs w:val="11"/>
                <w:color w:val="auto"/>
              </w:rPr>
            </w:pPr>
          </w:p>
        </w:tc>
        <w:tc>
          <w:tcPr>
            <w:tcW w:w="460" w:type="dxa"/>
            <w:vAlign w:val="bottom"/>
            <w:gridSpan w:val="2"/>
          </w:tcPr>
          <w:p>
            <w:pPr>
              <w:ind w:left="240"/>
              <w:spacing w:after="0"/>
              <w:rPr>
                <w:sz w:val="20"/>
                <w:szCs w:val="20"/>
                <w:color w:val="auto"/>
              </w:rPr>
            </w:pPr>
            <w:r>
              <w:rPr>
                <w:rFonts w:ascii="Arial" w:cs="Arial" w:eastAsia="Arial" w:hAnsi="Arial"/>
                <w:sz w:val="10"/>
                <w:szCs w:val="10"/>
                <w:color w:val="auto"/>
              </w:rPr>
              <w:t>—</w:t>
            </w:r>
          </w:p>
        </w:tc>
        <w:tc>
          <w:tcPr>
            <w:tcW w:w="700" w:type="dxa"/>
            <w:vAlign w:val="bottom"/>
            <w:gridSpan w:val="2"/>
          </w:tcPr>
          <w:p>
            <w:pPr>
              <w:jc w:val="right"/>
              <w:ind w:right="140"/>
              <w:spacing w:after="0"/>
              <w:rPr>
                <w:sz w:val="20"/>
                <w:szCs w:val="20"/>
                <w:color w:val="auto"/>
              </w:rPr>
            </w:pPr>
            <w:r>
              <w:rPr>
                <w:rFonts w:ascii="Arial" w:cs="Arial" w:eastAsia="Arial" w:hAnsi="Arial"/>
                <w:sz w:val="10"/>
                <w:szCs w:val="10"/>
                <w:color w:val="auto"/>
              </w:rPr>
              <w:t>—</w:t>
            </w:r>
          </w:p>
        </w:tc>
        <w:tc>
          <w:tcPr>
            <w:tcW w:w="68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82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720" w:type="dxa"/>
            <w:vAlign w:val="bottom"/>
          </w:tcPr>
          <w:p>
            <w:pPr>
              <w:jc w:val="right"/>
              <w:spacing w:after="0"/>
              <w:rPr>
                <w:sz w:val="20"/>
                <w:szCs w:val="20"/>
                <w:color w:val="auto"/>
              </w:rPr>
            </w:pPr>
            <w:r>
              <w:rPr>
                <w:rFonts w:ascii="Arial" w:cs="Arial" w:eastAsia="Arial" w:hAnsi="Arial"/>
                <w:sz w:val="10"/>
                <w:szCs w:val="10"/>
                <w:color w:val="auto"/>
              </w:rPr>
              <w:t>(6,506)</w:t>
            </w:r>
          </w:p>
        </w:tc>
        <w:tc>
          <w:tcPr>
            <w:tcW w:w="80" w:type="dxa"/>
            <w:vAlign w:val="bottom"/>
          </w:tcPr>
          <w:p>
            <w:pPr>
              <w:spacing w:after="0"/>
              <w:rPr>
                <w:sz w:val="11"/>
                <w:szCs w:val="11"/>
                <w:color w:val="auto"/>
              </w:rPr>
            </w:pPr>
          </w:p>
        </w:tc>
        <w:tc>
          <w:tcPr>
            <w:tcW w:w="110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108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780" w:type="dxa"/>
            <w:vAlign w:val="bottom"/>
          </w:tcPr>
          <w:p>
            <w:pPr>
              <w:jc w:val="right"/>
              <w:spacing w:after="0"/>
              <w:rPr>
                <w:sz w:val="20"/>
                <w:szCs w:val="20"/>
                <w:color w:val="auto"/>
              </w:rPr>
            </w:pPr>
            <w:r>
              <w:rPr>
                <w:rFonts w:ascii="Arial" w:cs="Arial" w:eastAsia="Arial" w:hAnsi="Arial"/>
                <w:sz w:val="10"/>
                <w:szCs w:val="10"/>
                <w:color w:val="auto"/>
              </w:rPr>
              <w:t>(6,506)</w:t>
            </w:r>
          </w:p>
        </w:tc>
        <w:tc>
          <w:tcPr>
            <w:tcW w:w="0" w:type="dxa"/>
            <w:vAlign w:val="bottom"/>
          </w:tcPr>
          <w:p>
            <w:pPr>
              <w:spacing w:after="0"/>
              <w:rPr>
                <w:sz w:val="1"/>
                <w:szCs w:val="1"/>
                <w:color w:val="auto"/>
              </w:rPr>
            </w:pPr>
          </w:p>
        </w:tc>
      </w:tr>
      <w:tr>
        <w:trPr>
          <w:trHeight w:val="157"/>
        </w:trPr>
        <w:tc>
          <w:tcPr>
            <w:tcW w:w="2240" w:type="dxa"/>
            <w:vAlign w:val="bottom"/>
            <w:shd w:val="clear" w:color="auto" w:fill="CCEEFF"/>
          </w:tcPr>
          <w:p>
            <w:pPr>
              <w:ind w:left="20"/>
              <w:spacing w:after="0"/>
              <w:rPr>
                <w:sz w:val="20"/>
                <w:szCs w:val="20"/>
                <w:color w:val="auto"/>
              </w:rPr>
            </w:pPr>
            <w:r>
              <w:rPr>
                <w:rFonts w:ascii="Arial" w:cs="Arial" w:eastAsia="Arial" w:hAnsi="Arial"/>
                <w:sz w:val="10"/>
                <w:szCs w:val="10"/>
                <w:color w:val="auto"/>
              </w:rPr>
              <w:t>Issuance of common stock, net of forfeitures</w:t>
            </w:r>
          </w:p>
        </w:tc>
        <w:tc>
          <w:tcPr>
            <w:tcW w:w="760" w:type="dxa"/>
            <w:vAlign w:val="bottom"/>
            <w:gridSpan w:val="2"/>
            <w:shd w:val="clear" w:color="auto" w:fill="CCEEFF"/>
          </w:tcPr>
          <w:p>
            <w:pPr>
              <w:ind w:left="540"/>
              <w:spacing w:after="0"/>
              <w:rPr>
                <w:sz w:val="20"/>
                <w:szCs w:val="20"/>
                <w:color w:val="auto"/>
              </w:rPr>
            </w:pPr>
            <w:r>
              <w:rPr>
                <w:rFonts w:ascii="Arial" w:cs="Arial" w:eastAsia="Arial" w:hAnsi="Arial"/>
                <w:sz w:val="10"/>
                <w:szCs w:val="10"/>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0"/>
                <w:szCs w:val="10"/>
                <w:color w:val="auto"/>
              </w:rPr>
              <w:t>170,346</w:t>
            </w:r>
          </w:p>
        </w:tc>
        <w:tc>
          <w:tcPr>
            <w:tcW w:w="100" w:type="dxa"/>
            <w:vAlign w:val="bottom"/>
            <w:shd w:val="clear" w:color="auto" w:fill="CCEEFF"/>
          </w:tcPr>
          <w:p>
            <w:pPr>
              <w:spacing w:after="0"/>
              <w:rPr>
                <w:sz w:val="13"/>
                <w:szCs w:val="13"/>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0"/>
                <w:szCs w:val="10"/>
                <w:color w:val="auto"/>
              </w:rPr>
              <w:t>—</w:t>
            </w:r>
          </w:p>
        </w:tc>
        <w:tc>
          <w:tcPr>
            <w:tcW w:w="300" w:type="dxa"/>
            <w:vAlign w:val="bottom"/>
            <w:shd w:val="clear" w:color="auto" w:fill="CCEEFF"/>
          </w:tcPr>
          <w:p>
            <w:pPr>
              <w:spacing w:after="0"/>
              <w:rPr>
                <w:sz w:val="13"/>
                <w:szCs w:val="13"/>
                <w:color w:val="auto"/>
              </w:rPr>
            </w:pPr>
          </w:p>
        </w:tc>
        <w:tc>
          <w:tcPr>
            <w:tcW w:w="460" w:type="dxa"/>
            <w:vAlign w:val="bottom"/>
            <w:gridSpan w:val="2"/>
            <w:shd w:val="clear" w:color="auto" w:fill="CCEEFF"/>
          </w:tcPr>
          <w:p>
            <w:pPr>
              <w:ind w:left="240"/>
              <w:spacing w:after="0"/>
              <w:rPr>
                <w:sz w:val="20"/>
                <w:szCs w:val="20"/>
                <w:color w:val="auto"/>
              </w:rPr>
            </w:pPr>
            <w:r>
              <w:rPr>
                <w:rFonts w:ascii="Arial" w:cs="Arial" w:eastAsia="Arial" w:hAnsi="Arial"/>
                <w:sz w:val="10"/>
                <w:szCs w:val="10"/>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0"/>
                <w:szCs w:val="10"/>
                <w:color w:val="auto"/>
              </w:rPr>
              <w:t>2</w:t>
            </w:r>
          </w:p>
        </w:tc>
        <w:tc>
          <w:tcPr>
            <w:tcW w:w="100" w:type="dxa"/>
            <w:vAlign w:val="bottom"/>
            <w:shd w:val="clear" w:color="auto" w:fill="CCEEFF"/>
          </w:tcPr>
          <w:p>
            <w:pPr>
              <w:spacing w:after="0"/>
              <w:rPr>
                <w:sz w:val="13"/>
                <w:szCs w:val="13"/>
                <w:color w:val="auto"/>
              </w:rPr>
            </w:pPr>
          </w:p>
        </w:tc>
        <w:tc>
          <w:tcPr>
            <w:tcW w:w="680" w:type="dxa"/>
            <w:vAlign w:val="bottom"/>
            <w:gridSpan w:val="2"/>
            <w:shd w:val="clear" w:color="auto" w:fill="CCEEFF"/>
          </w:tcPr>
          <w:p>
            <w:pPr>
              <w:jc w:val="right"/>
              <w:ind w:right="120"/>
              <w:spacing w:after="0"/>
              <w:rPr>
                <w:sz w:val="20"/>
                <w:szCs w:val="20"/>
                <w:color w:val="auto"/>
              </w:rPr>
            </w:pPr>
            <w:r>
              <w:rPr>
                <w:rFonts w:ascii="Arial" w:cs="Arial" w:eastAsia="Arial" w:hAnsi="Arial"/>
                <w:sz w:val="10"/>
                <w:szCs w:val="10"/>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0"/>
                <w:szCs w:val="10"/>
                <w:color w:val="auto"/>
              </w:rPr>
              <w:t>2,171</w:t>
            </w:r>
          </w:p>
        </w:tc>
        <w:tc>
          <w:tcPr>
            <w:tcW w:w="80" w:type="dxa"/>
            <w:vAlign w:val="bottom"/>
            <w:shd w:val="clear" w:color="auto" w:fill="CCEEFF"/>
          </w:tcPr>
          <w:p>
            <w:pPr>
              <w:spacing w:after="0"/>
              <w:rPr>
                <w:sz w:val="13"/>
                <w:szCs w:val="13"/>
                <w:color w:val="auto"/>
              </w:rPr>
            </w:pPr>
          </w:p>
        </w:tc>
        <w:tc>
          <w:tcPr>
            <w:tcW w:w="800" w:type="dxa"/>
            <w:vAlign w:val="bottom"/>
            <w:gridSpan w:val="2"/>
            <w:shd w:val="clear" w:color="auto" w:fill="CCEEFF"/>
          </w:tcPr>
          <w:p>
            <w:pPr>
              <w:jc w:val="right"/>
              <w:ind w:right="120"/>
              <w:spacing w:after="0"/>
              <w:rPr>
                <w:sz w:val="20"/>
                <w:szCs w:val="20"/>
                <w:color w:val="auto"/>
              </w:rPr>
            </w:pPr>
            <w:r>
              <w:rPr>
                <w:rFonts w:ascii="Arial" w:cs="Arial" w:eastAsia="Arial" w:hAnsi="Arial"/>
                <w:sz w:val="10"/>
                <w:szCs w:val="10"/>
                <w:color w:val="auto"/>
              </w:rPr>
              <w:t>—</w:t>
            </w:r>
          </w:p>
        </w:tc>
        <w:tc>
          <w:tcPr>
            <w:tcW w:w="1100" w:type="dxa"/>
            <w:vAlign w:val="bottom"/>
            <w:gridSpan w:val="2"/>
            <w:shd w:val="clear" w:color="auto" w:fill="CCEEFF"/>
          </w:tcPr>
          <w:p>
            <w:pPr>
              <w:jc w:val="right"/>
              <w:ind w:right="120"/>
              <w:spacing w:after="0"/>
              <w:rPr>
                <w:sz w:val="20"/>
                <w:szCs w:val="20"/>
                <w:color w:val="auto"/>
              </w:rPr>
            </w:pPr>
            <w:r>
              <w:rPr>
                <w:rFonts w:ascii="Arial" w:cs="Arial" w:eastAsia="Arial" w:hAnsi="Arial"/>
                <w:sz w:val="10"/>
                <w:szCs w:val="10"/>
                <w:color w:val="auto"/>
              </w:rPr>
              <w:t>—</w:t>
            </w:r>
          </w:p>
        </w:tc>
        <w:tc>
          <w:tcPr>
            <w:tcW w:w="1080" w:type="dxa"/>
            <w:vAlign w:val="bottom"/>
            <w:gridSpan w:val="2"/>
            <w:shd w:val="clear" w:color="auto" w:fill="CCEEFF"/>
          </w:tcPr>
          <w:p>
            <w:pPr>
              <w:jc w:val="right"/>
              <w:ind w:right="120"/>
              <w:spacing w:after="0"/>
              <w:rPr>
                <w:sz w:val="20"/>
                <w:szCs w:val="20"/>
                <w:color w:val="auto"/>
              </w:rPr>
            </w:pPr>
            <w:r>
              <w:rPr>
                <w:rFonts w:ascii="Arial" w:cs="Arial" w:eastAsia="Arial" w:hAnsi="Arial"/>
                <w:sz w:val="10"/>
                <w:szCs w:val="10"/>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0"/>
                <w:szCs w:val="10"/>
                <w:color w:val="auto"/>
              </w:rPr>
              <w:t>2,173</w:t>
            </w:r>
          </w:p>
        </w:tc>
        <w:tc>
          <w:tcPr>
            <w:tcW w:w="0" w:type="dxa"/>
            <w:vAlign w:val="bottom"/>
          </w:tcPr>
          <w:p>
            <w:pPr>
              <w:spacing w:after="0"/>
              <w:rPr>
                <w:sz w:val="1"/>
                <w:szCs w:val="1"/>
                <w:color w:val="auto"/>
              </w:rPr>
            </w:pPr>
          </w:p>
        </w:tc>
      </w:tr>
      <w:tr>
        <w:trPr>
          <w:trHeight w:val="144"/>
        </w:trPr>
        <w:tc>
          <w:tcPr>
            <w:tcW w:w="2240" w:type="dxa"/>
            <w:vAlign w:val="bottom"/>
          </w:tcPr>
          <w:p>
            <w:pPr>
              <w:ind w:left="20"/>
              <w:spacing w:after="0"/>
              <w:rPr>
                <w:sz w:val="20"/>
                <w:szCs w:val="20"/>
                <w:color w:val="auto"/>
              </w:rPr>
            </w:pPr>
            <w:r>
              <w:rPr>
                <w:rFonts w:ascii="Arial" w:cs="Arial" w:eastAsia="Arial" w:hAnsi="Arial"/>
                <w:sz w:val="10"/>
                <w:szCs w:val="10"/>
                <w:color w:val="auto"/>
              </w:rPr>
              <w:t>Compensation expense for stock based awards</w:t>
            </w:r>
          </w:p>
        </w:tc>
        <w:tc>
          <w:tcPr>
            <w:tcW w:w="760" w:type="dxa"/>
            <w:vAlign w:val="bottom"/>
            <w:gridSpan w:val="2"/>
          </w:tcPr>
          <w:p>
            <w:pPr>
              <w:ind w:left="540"/>
              <w:spacing w:after="0"/>
              <w:rPr>
                <w:sz w:val="20"/>
                <w:szCs w:val="20"/>
                <w:color w:val="auto"/>
              </w:rPr>
            </w:pPr>
            <w:r>
              <w:rPr>
                <w:rFonts w:ascii="Arial" w:cs="Arial" w:eastAsia="Arial" w:hAnsi="Arial"/>
                <w:sz w:val="10"/>
                <w:szCs w:val="10"/>
                <w:color w:val="auto"/>
              </w:rPr>
              <w:t>—</w:t>
            </w:r>
          </w:p>
        </w:tc>
        <w:tc>
          <w:tcPr>
            <w:tcW w:w="880" w:type="dxa"/>
            <w:vAlign w:val="bottom"/>
            <w:gridSpan w:val="2"/>
          </w:tcPr>
          <w:p>
            <w:pPr>
              <w:jc w:val="right"/>
              <w:ind w:right="140"/>
              <w:spacing w:after="0"/>
              <w:rPr>
                <w:sz w:val="20"/>
                <w:szCs w:val="20"/>
                <w:color w:val="auto"/>
              </w:rPr>
            </w:pPr>
            <w:r>
              <w:rPr>
                <w:rFonts w:ascii="Arial" w:cs="Arial" w:eastAsia="Arial" w:hAnsi="Arial"/>
                <w:sz w:val="10"/>
                <w:szCs w:val="10"/>
                <w:color w:val="auto"/>
              </w:rPr>
              <w:t>—</w:t>
            </w:r>
          </w:p>
        </w:tc>
        <w:tc>
          <w:tcPr>
            <w:tcW w:w="86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300" w:type="dxa"/>
            <w:vAlign w:val="bottom"/>
          </w:tcPr>
          <w:p>
            <w:pPr>
              <w:spacing w:after="0"/>
              <w:rPr>
                <w:sz w:val="12"/>
                <w:szCs w:val="12"/>
                <w:color w:val="auto"/>
              </w:rPr>
            </w:pPr>
          </w:p>
        </w:tc>
        <w:tc>
          <w:tcPr>
            <w:tcW w:w="460" w:type="dxa"/>
            <w:vAlign w:val="bottom"/>
            <w:gridSpan w:val="2"/>
          </w:tcPr>
          <w:p>
            <w:pPr>
              <w:ind w:left="240"/>
              <w:spacing w:after="0"/>
              <w:rPr>
                <w:sz w:val="20"/>
                <w:szCs w:val="20"/>
                <w:color w:val="auto"/>
              </w:rPr>
            </w:pPr>
            <w:r>
              <w:rPr>
                <w:rFonts w:ascii="Arial" w:cs="Arial" w:eastAsia="Arial" w:hAnsi="Arial"/>
                <w:sz w:val="10"/>
                <w:szCs w:val="10"/>
                <w:color w:val="auto"/>
              </w:rPr>
              <w:t>—</w:t>
            </w:r>
          </w:p>
        </w:tc>
        <w:tc>
          <w:tcPr>
            <w:tcW w:w="700" w:type="dxa"/>
            <w:vAlign w:val="bottom"/>
            <w:gridSpan w:val="2"/>
          </w:tcPr>
          <w:p>
            <w:pPr>
              <w:jc w:val="right"/>
              <w:ind w:right="140"/>
              <w:spacing w:after="0"/>
              <w:rPr>
                <w:sz w:val="20"/>
                <w:szCs w:val="20"/>
                <w:color w:val="auto"/>
              </w:rPr>
            </w:pPr>
            <w:r>
              <w:rPr>
                <w:rFonts w:ascii="Arial" w:cs="Arial" w:eastAsia="Arial" w:hAnsi="Arial"/>
                <w:sz w:val="10"/>
                <w:szCs w:val="10"/>
                <w:color w:val="auto"/>
              </w:rPr>
              <w:t>—</w:t>
            </w:r>
          </w:p>
        </w:tc>
        <w:tc>
          <w:tcPr>
            <w:tcW w:w="68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740" w:type="dxa"/>
            <w:vAlign w:val="bottom"/>
          </w:tcPr>
          <w:p>
            <w:pPr>
              <w:jc w:val="right"/>
              <w:spacing w:after="0"/>
              <w:rPr>
                <w:sz w:val="20"/>
                <w:szCs w:val="20"/>
                <w:color w:val="auto"/>
              </w:rPr>
            </w:pPr>
            <w:r>
              <w:rPr>
                <w:rFonts w:ascii="Arial" w:cs="Arial" w:eastAsia="Arial" w:hAnsi="Arial"/>
                <w:sz w:val="10"/>
                <w:szCs w:val="10"/>
                <w:color w:val="auto"/>
              </w:rPr>
              <w:t>1,087</w:t>
            </w:r>
          </w:p>
        </w:tc>
        <w:tc>
          <w:tcPr>
            <w:tcW w:w="80" w:type="dxa"/>
            <w:vAlign w:val="bottom"/>
          </w:tcPr>
          <w:p>
            <w:pPr>
              <w:spacing w:after="0"/>
              <w:rPr>
                <w:sz w:val="12"/>
                <w:szCs w:val="12"/>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110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108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780" w:type="dxa"/>
            <w:vAlign w:val="bottom"/>
          </w:tcPr>
          <w:p>
            <w:pPr>
              <w:jc w:val="right"/>
              <w:spacing w:after="0"/>
              <w:rPr>
                <w:sz w:val="20"/>
                <w:szCs w:val="20"/>
                <w:color w:val="auto"/>
              </w:rPr>
            </w:pPr>
            <w:r>
              <w:rPr>
                <w:rFonts w:ascii="Arial" w:cs="Arial" w:eastAsia="Arial" w:hAnsi="Arial"/>
                <w:sz w:val="10"/>
                <w:szCs w:val="10"/>
                <w:color w:val="auto"/>
              </w:rPr>
              <w:t>1,087</w:t>
            </w:r>
          </w:p>
        </w:tc>
        <w:tc>
          <w:tcPr>
            <w:tcW w:w="0" w:type="dxa"/>
            <w:vAlign w:val="bottom"/>
          </w:tcPr>
          <w:p>
            <w:pPr>
              <w:spacing w:after="0"/>
              <w:rPr>
                <w:sz w:val="1"/>
                <w:szCs w:val="1"/>
                <w:color w:val="auto"/>
              </w:rPr>
            </w:pPr>
          </w:p>
        </w:tc>
      </w:tr>
      <w:tr>
        <w:trPr>
          <w:trHeight w:val="157"/>
        </w:trPr>
        <w:tc>
          <w:tcPr>
            <w:tcW w:w="2240" w:type="dxa"/>
            <w:vAlign w:val="bottom"/>
            <w:shd w:val="clear" w:color="auto" w:fill="CCEEFF"/>
          </w:tcPr>
          <w:p>
            <w:pPr>
              <w:ind w:left="20"/>
              <w:spacing w:after="0"/>
              <w:rPr>
                <w:sz w:val="20"/>
                <w:szCs w:val="20"/>
                <w:color w:val="auto"/>
              </w:rPr>
            </w:pPr>
            <w:r>
              <w:rPr>
                <w:rFonts w:ascii="Arial" w:cs="Arial" w:eastAsia="Arial" w:hAnsi="Arial"/>
                <w:sz w:val="10"/>
                <w:szCs w:val="10"/>
                <w:color w:val="auto"/>
              </w:rPr>
              <w:t>Repurchase of common stock</w:t>
            </w:r>
          </w:p>
        </w:tc>
        <w:tc>
          <w:tcPr>
            <w:tcW w:w="760" w:type="dxa"/>
            <w:vAlign w:val="bottom"/>
            <w:gridSpan w:val="2"/>
            <w:shd w:val="clear" w:color="auto" w:fill="CCEEFF"/>
          </w:tcPr>
          <w:p>
            <w:pPr>
              <w:ind w:left="540"/>
              <w:spacing w:after="0"/>
              <w:rPr>
                <w:sz w:val="20"/>
                <w:szCs w:val="20"/>
                <w:color w:val="auto"/>
              </w:rPr>
            </w:pPr>
            <w:r>
              <w:rPr>
                <w:rFonts w:ascii="Arial" w:cs="Arial" w:eastAsia="Arial" w:hAnsi="Arial"/>
                <w:sz w:val="10"/>
                <w:szCs w:val="10"/>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0"/>
                <w:szCs w:val="10"/>
                <w:color w:val="auto"/>
              </w:rPr>
              <w:t>(222,174)</w:t>
            </w:r>
          </w:p>
        </w:tc>
        <w:tc>
          <w:tcPr>
            <w:tcW w:w="100" w:type="dxa"/>
            <w:vAlign w:val="bottom"/>
            <w:shd w:val="clear" w:color="auto" w:fill="CCEEFF"/>
          </w:tcPr>
          <w:p>
            <w:pPr>
              <w:spacing w:after="0"/>
              <w:rPr>
                <w:sz w:val="13"/>
                <w:szCs w:val="13"/>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0"/>
                <w:szCs w:val="10"/>
                <w:color w:val="auto"/>
              </w:rPr>
              <w:t>—</w:t>
            </w:r>
          </w:p>
        </w:tc>
        <w:tc>
          <w:tcPr>
            <w:tcW w:w="300" w:type="dxa"/>
            <w:vAlign w:val="bottom"/>
            <w:shd w:val="clear" w:color="auto" w:fill="CCEEFF"/>
          </w:tcPr>
          <w:p>
            <w:pPr>
              <w:spacing w:after="0"/>
              <w:rPr>
                <w:sz w:val="13"/>
                <w:szCs w:val="13"/>
                <w:color w:val="auto"/>
              </w:rPr>
            </w:pPr>
          </w:p>
        </w:tc>
        <w:tc>
          <w:tcPr>
            <w:tcW w:w="460" w:type="dxa"/>
            <w:vAlign w:val="bottom"/>
            <w:gridSpan w:val="2"/>
            <w:shd w:val="clear" w:color="auto" w:fill="CCEEFF"/>
          </w:tcPr>
          <w:p>
            <w:pPr>
              <w:ind w:left="240"/>
              <w:spacing w:after="0"/>
              <w:rPr>
                <w:sz w:val="20"/>
                <w:szCs w:val="20"/>
                <w:color w:val="auto"/>
              </w:rPr>
            </w:pPr>
            <w:r>
              <w:rPr>
                <w:rFonts w:ascii="Arial" w:cs="Arial" w:eastAsia="Arial" w:hAnsi="Arial"/>
                <w:sz w:val="10"/>
                <w:szCs w:val="10"/>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0"/>
                <w:szCs w:val="10"/>
                <w:color w:val="auto"/>
              </w:rPr>
              <w:t>(2)</w:t>
            </w:r>
          </w:p>
        </w:tc>
        <w:tc>
          <w:tcPr>
            <w:tcW w:w="100" w:type="dxa"/>
            <w:vAlign w:val="bottom"/>
            <w:shd w:val="clear" w:color="auto" w:fill="CCEEFF"/>
          </w:tcPr>
          <w:p>
            <w:pPr>
              <w:spacing w:after="0"/>
              <w:rPr>
                <w:sz w:val="13"/>
                <w:szCs w:val="13"/>
                <w:color w:val="auto"/>
              </w:rPr>
            </w:pPr>
          </w:p>
        </w:tc>
        <w:tc>
          <w:tcPr>
            <w:tcW w:w="680" w:type="dxa"/>
            <w:vAlign w:val="bottom"/>
            <w:gridSpan w:val="2"/>
            <w:shd w:val="clear" w:color="auto" w:fill="CCEEFF"/>
          </w:tcPr>
          <w:p>
            <w:pPr>
              <w:jc w:val="right"/>
              <w:ind w:right="120"/>
              <w:spacing w:after="0"/>
              <w:rPr>
                <w:sz w:val="20"/>
                <w:szCs w:val="20"/>
                <w:color w:val="auto"/>
              </w:rPr>
            </w:pPr>
            <w:r>
              <w:rPr>
                <w:rFonts w:ascii="Arial" w:cs="Arial" w:eastAsia="Arial" w:hAnsi="Arial"/>
                <w:sz w:val="10"/>
                <w:szCs w:val="10"/>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0"/>
                <w:szCs w:val="10"/>
                <w:color w:val="auto"/>
              </w:rPr>
              <w:t>(3,331)</w:t>
            </w:r>
          </w:p>
        </w:tc>
        <w:tc>
          <w:tcPr>
            <w:tcW w:w="80" w:type="dxa"/>
            <w:vAlign w:val="bottom"/>
            <w:shd w:val="clear" w:color="auto" w:fill="CCEEFF"/>
          </w:tcPr>
          <w:p>
            <w:pPr>
              <w:spacing w:after="0"/>
              <w:rPr>
                <w:sz w:val="13"/>
                <w:szCs w:val="13"/>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0"/>
                <w:szCs w:val="10"/>
                <w:color w:val="auto"/>
              </w:rPr>
              <w:t>(8,085)</w:t>
            </w:r>
          </w:p>
        </w:tc>
        <w:tc>
          <w:tcPr>
            <w:tcW w:w="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120"/>
              <w:spacing w:after="0"/>
              <w:rPr>
                <w:sz w:val="20"/>
                <w:szCs w:val="20"/>
                <w:color w:val="auto"/>
              </w:rPr>
            </w:pPr>
            <w:r>
              <w:rPr>
                <w:rFonts w:ascii="Arial" w:cs="Arial" w:eastAsia="Arial" w:hAnsi="Arial"/>
                <w:sz w:val="10"/>
                <w:szCs w:val="10"/>
                <w:color w:val="auto"/>
              </w:rPr>
              <w:t>—</w:t>
            </w:r>
          </w:p>
        </w:tc>
        <w:tc>
          <w:tcPr>
            <w:tcW w:w="1080" w:type="dxa"/>
            <w:vAlign w:val="bottom"/>
            <w:gridSpan w:val="2"/>
            <w:shd w:val="clear" w:color="auto" w:fill="CCEEFF"/>
          </w:tcPr>
          <w:p>
            <w:pPr>
              <w:jc w:val="right"/>
              <w:ind w:right="120"/>
              <w:spacing w:after="0"/>
              <w:rPr>
                <w:sz w:val="20"/>
                <w:szCs w:val="20"/>
                <w:color w:val="auto"/>
              </w:rPr>
            </w:pPr>
            <w:r>
              <w:rPr>
                <w:rFonts w:ascii="Arial" w:cs="Arial" w:eastAsia="Arial" w:hAnsi="Arial"/>
                <w:sz w:val="10"/>
                <w:szCs w:val="10"/>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0"/>
                <w:szCs w:val="10"/>
                <w:color w:val="auto"/>
              </w:rPr>
              <w:t>(11,418)</w:t>
            </w:r>
          </w:p>
        </w:tc>
        <w:tc>
          <w:tcPr>
            <w:tcW w:w="0" w:type="dxa"/>
            <w:vAlign w:val="bottom"/>
          </w:tcPr>
          <w:p>
            <w:pPr>
              <w:spacing w:after="0"/>
              <w:rPr>
                <w:sz w:val="1"/>
                <w:szCs w:val="1"/>
                <w:color w:val="auto"/>
              </w:rPr>
            </w:pPr>
          </w:p>
        </w:tc>
      </w:tr>
      <w:tr>
        <w:trPr>
          <w:trHeight w:val="144"/>
        </w:trPr>
        <w:tc>
          <w:tcPr>
            <w:tcW w:w="2240" w:type="dxa"/>
            <w:vAlign w:val="bottom"/>
          </w:tcPr>
          <w:p>
            <w:pPr>
              <w:ind w:left="20"/>
              <w:spacing w:after="0"/>
              <w:rPr>
                <w:sz w:val="20"/>
                <w:szCs w:val="20"/>
                <w:color w:val="auto"/>
              </w:rPr>
            </w:pPr>
            <w:r>
              <w:rPr>
                <w:rFonts w:ascii="Arial" w:cs="Arial" w:eastAsia="Arial" w:hAnsi="Arial"/>
                <w:sz w:val="10"/>
                <w:szCs w:val="10"/>
                <w:color w:val="auto"/>
              </w:rPr>
              <w:t>Impact of adoption of new accounting standards</w:t>
            </w:r>
          </w:p>
        </w:tc>
        <w:tc>
          <w:tcPr>
            <w:tcW w:w="760" w:type="dxa"/>
            <w:vAlign w:val="bottom"/>
            <w:gridSpan w:val="2"/>
          </w:tcPr>
          <w:p>
            <w:pPr>
              <w:ind w:left="540"/>
              <w:spacing w:after="0"/>
              <w:rPr>
                <w:sz w:val="20"/>
                <w:szCs w:val="20"/>
                <w:color w:val="auto"/>
              </w:rPr>
            </w:pPr>
            <w:r>
              <w:rPr>
                <w:rFonts w:ascii="Arial" w:cs="Arial" w:eastAsia="Arial" w:hAnsi="Arial"/>
                <w:sz w:val="10"/>
                <w:szCs w:val="10"/>
                <w:color w:val="auto"/>
              </w:rPr>
              <w:t>—</w:t>
            </w:r>
          </w:p>
        </w:tc>
        <w:tc>
          <w:tcPr>
            <w:tcW w:w="880" w:type="dxa"/>
            <w:vAlign w:val="bottom"/>
            <w:gridSpan w:val="2"/>
          </w:tcPr>
          <w:p>
            <w:pPr>
              <w:jc w:val="right"/>
              <w:ind w:right="140"/>
              <w:spacing w:after="0"/>
              <w:rPr>
                <w:sz w:val="20"/>
                <w:szCs w:val="20"/>
                <w:color w:val="auto"/>
              </w:rPr>
            </w:pPr>
            <w:r>
              <w:rPr>
                <w:rFonts w:ascii="Arial" w:cs="Arial" w:eastAsia="Arial" w:hAnsi="Arial"/>
                <w:sz w:val="10"/>
                <w:szCs w:val="10"/>
                <w:color w:val="auto"/>
              </w:rPr>
              <w:t>—</w:t>
            </w:r>
          </w:p>
        </w:tc>
        <w:tc>
          <w:tcPr>
            <w:tcW w:w="86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300" w:type="dxa"/>
            <w:vAlign w:val="bottom"/>
          </w:tcPr>
          <w:p>
            <w:pPr>
              <w:spacing w:after="0"/>
              <w:rPr>
                <w:sz w:val="12"/>
                <w:szCs w:val="12"/>
                <w:color w:val="auto"/>
              </w:rPr>
            </w:pPr>
          </w:p>
        </w:tc>
        <w:tc>
          <w:tcPr>
            <w:tcW w:w="460" w:type="dxa"/>
            <w:vAlign w:val="bottom"/>
            <w:gridSpan w:val="2"/>
          </w:tcPr>
          <w:p>
            <w:pPr>
              <w:ind w:left="240"/>
              <w:spacing w:after="0"/>
              <w:rPr>
                <w:sz w:val="20"/>
                <w:szCs w:val="20"/>
                <w:color w:val="auto"/>
              </w:rPr>
            </w:pPr>
            <w:r>
              <w:rPr>
                <w:rFonts w:ascii="Arial" w:cs="Arial" w:eastAsia="Arial" w:hAnsi="Arial"/>
                <w:sz w:val="10"/>
                <w:szCs w:val="10"/>
                <w:color w:val="auto"/>
              </w:rPr>
              <w:t>—</w:t>
            </w:r>
          </w:p>
        </w:tc>
        <w:tc>
          <w:tcPr>
            <w:tcW w:w="700" w:type="dxa"/>
            <w:vAlign w:val="bottom"/>
            <w:gridSpan w:val="2"/>
          </w:tcPr>
          <w:p>
            <w:pPr>
              <w:jc w:val="right"/>
              <w:ind w:right="140"/>
              <w:spacing w:after="0"/>
              <w:rPr>
                <w:sz w:val="20"/>
                <w:szCs w:val="20"/>
                <w:color w:val="auto"/>
              </w:rPr>
            </w:pPr>
            <w:r>
              <w:rPr>
                <w:rFonts w:ascii="Arial" w:cs="Arial" w:eastAsia="Arial" w:hAnsi="Arial"/>
                <w:sz w:val="10"/>
                <w:szCs w:val="10"/>
                <w:color w:val="auto"/>
              </w:rPr>
              <w:t>—</w:t>
            </w:r>
          </w:p>
        </w:tc>
        <w:tc>
          <w:tcPr>
            <w:tcW w:w="68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82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720" w:type="dxa"/>
            <w:vAlign w:val="bottom"/>
          </w:tcPr>
          <w:p>
            <w:pPr>
              <w:jc w:val="right"/>
              <w:spacing w:after="0"/>
              <w:rPr>
                <w:sz w:val="20"/>
                <w:szCs w:val="20"/>
                <w:color w:val="auto"/>
              </w:rPr>
            </w:pPr>
            <w:r>
              <w:rPr>
                <w:rFonts w:ascii="Arial" w:cs="Arial" w:eastAsia="Arial" w:hAnsi="Arial"/>
                <w:sz w:val="10"/>
                <w:szCs w:val="10"/>
                <w:color w:val="auto"/>
              </w:rPr>
              <w:t>2,007</w:t>
            </w:r>
          </w:p>
        </w:tc>
        <w:tc>
          <w:tcPr>
            <w:tcW w:w="80" w:type="dxa"/>
            <w:vAlign w:val="bottom"/>
          </w:tcPr>
          <w:p>
            <w:pPr>
              <w:spacing w:after="0"/>
              <w:rPr>
                <w:sz w:val="12"/>
                <w:szCs w:val="12"/>
                <w:color w:val="auto"/>
              </w:rPr>
            </w:pPr>
          </w:p>
        </w:tc>
        <w:tc>
          <w:tcPr>
            <w:tcW w:w="1020" w:type="dxa"/>
            <w:vAlign w:val="bottom"/>
          </w:tcPr>
          <w:p>
            <w:pPr>
              <w:jc w:val="right"/>
              <w:spacing w:after="0"/>
              <w:rPr>
                <w:sz w:val="20"/>
                <w:szCs w:val="20"/>
                <w:color w:val="auto"/>
              </w:rPr>
            </w:pPr>
            <w:r>
              <w:rPr>
                <w:rFonts w:ascii="Arial" w:cs="Arial" w:eastAsia="Arial" w:hAnsi="Arial"/>
                <w:sz w:val="10"/>
                <w:szCs w:val="10"/>
                <w:color w:val="auto"/>
              </w:rPr>
              <w:t>(743)</w:t>
            </w:r>
          </w:p>
        </w:tc>
        <w:tc>
          <w:tcPr>
            <w:tcW w:w="80" w:type="dxa"/>
            <w:vAlign w:val="bottom"/>
          </w:tcPr>
          <w:p>
            <w:pPr>
              <w:spacing w:after="0"/>
              <w:rPr>
                <w:sz w:val="12"/>
                <w:szCs w:val="12"/>
                <w:color w:val="auto"/>
              </w:rPr>
            </w:pPr>
          </w:p>
        </w:tc>
        <w:tc>
          <w:tcPr>
            <w:tcW w:w="108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780" w:type="dxa"/>
            <w:vAlign w:val="bottom"/>
          </w:tcPr>
          <w:p>
            <w:pPr>
              <w:jc w:val="right"/>
              <w:spacing w:after="0"/>
              <w:rPr>
                <w:sz w:val="20"/>
                <w:szCs w:val="20"/>
                <w:color w:val="auto"/>
              </w:rPr>
            </w:pPr>
            <w:r>
              <w:rPr>
                <w:rFonts w:ascii="Arial" w:cs="Arial" w:eastAsia="Arial" w:hAnsi="Arial"/>
                <w:sz w:val="10"/>
                <w:szCs w:val="10"/>
                <w:color w:val="auto"/>
              </w:rPr>
              <w:t>1,264</w:t>
            </w:r>
          </w:p>
        </w:tc>
        <w:tc>
          <w:tcPr>
            <w:tcW w:w="0" w:type="dxa"/>
            <w:vAlign w:val="bottom"/>
          </w:tcPr>
          <w:p>
            <w:pPr>
              <w:spacing w:after="0"/>
              <w:rPr>
                <w:sz w:val="1"/>
                <w:szCs w:val="1"/>
                <w:color w:val="auto"/>
              </w:rPr>
            </w:pPr>
          </w:p>
        </w:tc>
      </w:tr>
      <w:tr>
        <w:trPr>
          <w:trHeight w:val="151"/>
        </w:trPr>
        <w:tc>
          <w:tcPr>
            <w:tcW w:w="2240" w:type="dxa"/>
            <w:vAlign w:val="bottom"/>
            <w:shd w:val="clear" w:color="auto" w:fill="CCEEFF"/>
          </w:tcPr>
          <w:p>
            <w:pPr>
              <w:ind w:left="20"/>
              <w:spacing w:after="0"/>
              <w:rPr>
                <w:sz w:val="20"/>
                <w:szCs w:val="20"/>
                <w:color w:val="auto"/>
              </w:rPr>
            </w:pPr>
            <w:r>
              <w:rPr>
                <w:rFonts w:ascii="Arial" w:cs="Arial" w:eastAsia="Arial" w:hAnsi="Arial"/>
                <w:sz w:val="10"/>
                <w:szCs w:val="10"/>
                <w:color w:val="auto"/>
              </w:rPr>
              <w:t>Acquisition of noncontrolling interest</w:t>
            </w:r>
          </w:p>
        </w:tc>
        <w:tc>
          <w:tcPr>
            <w:tcW w:w="680" w:type="dxa"/>
            <w:vAlign w:val="bottom"/>
            <w:tcBorders>
              <w:bottom w:val="single" w:sz="8" w:color="auto"/>
            </w:tcBorders>
            <w:shd w:val="clear" w:color="auto" w:fill="CCEEFF"/>
          </w:tcPr>
          <w:p>
            <w:pPr>
              <w:ind w:left="540"/>
              <w:spacing w:after="0"/>
              <w:rPr>
                <w:sz w:val="20"/>
                <w:szCs w:val="20"/>
                <w:color w:val="auto"/>
              </w:rPr>
            </w:pPr>
            <w:r>
              <w:rPr>
                <w:rFonts w:ascii="Arial" w:cs="Arial" w:eastAsia="Arial" w:hAnsi="Arial"/>
                <w:sz w:val="10"/>
                <w:szCs w:val="10"/>
                <w:color w:val="auto"/>
              </w:rPr>
              <w:t>—</w:t>
            </w:r>
          </w:p>
        </w:tc>
        <w:tc>
          <w:tcPr>
            <w:tcW w:w="80" w:type="dxa"/>
            <w:vAlign w:val="bottom"/>
            <w:shd w:val="clear" w:color="auto" w:fill="CCEEFF"/>
          </w:tcPr>
          <w:p>
            <w:pPr>
              <w:spacing w:after="0"/>
              <w:rPr>
                <w:sz w:val="13"/>
                <w:szCs w:val="13"/>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w:t>
            </w:r>
          </w:p>
        </w:tc>
        <w:tc>
          <w:tcPr>
            <w:tcW w:w="100" w:type="dxa"/>
            <w:vAlign w:val="bottom"/>
            <w:shd w:val="clear" w:color="auto" w:fill="CCEEFF"/>
          </w:tcPr>
          <w:p>
            <w:pPr>
              <w:spacing w:after="0"/>
              <w:rPr>
                <w:sz w:val="13"/>
                <w:szCs w:val="13"/>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w:t>
            </w:r>
          </w:p>
        </w:tc>
        <w:tc>
          <w:tcPr>
            <w:tcW w:w="80" w:type="dxa"/>
            <w:vAlign w:val="bottom"/>
            <w:shd w:val="clear" w:color="auto" w:fill="CCEEFF"/>
          </w:tcPr>
          <w:p>
            <w:pPr>
              <w:spacing w:after="0"/>
              <w:rPr>
                <w:sz w:val="13"/>
                <w:szCs w:val="13"/>
                <w:color w:val="auto"/>
              </w:rPr>
            </w:pPr>
          </w:p>
        </w:tc>
        <w:tc>
          <w:tcPr>
            <w:tcW w:w="300" w:type="dxa"/>
            <w:vAlign w:val="bottom"/>
            <w:tcBorders>
              <w:bottom w:val="single" w:sz="8" w:color="auto"/>
            </w:tcBorders>
            <w:shd w:val="clear" w:color="auto" w:fill="CCEEFF"/>
          </w:tcPr>
          <w:p>
            <w:pPr>
              <w:spacing w:after="0"/>
              <w:rPr>
                <w:sz w:val="13"/>
                <w:szCs w:val="13"/>
                <w:color w:val="auto"/>
              </w:rPr>
            </w:pPr>
          </w:p>
        </w:tc>
        <w:tc>
          <w:tcPr>
            <w:tcW w:w="380" w:type="dxa"/>
            <w:vAlign w:val="bottom"/>
            <w:tcBorders>
              <w:bottom w:val="single" w:sz="8" w:color="auto"/>
            </w:tcBorders>
            <w:shd w:val="clear" w:color="auto" w:fill="CCEEFF"/>
          </w:tcPr>
          <w:p>
            <w:pPr>
              <w:ind w:left="240"/>
              <w:spacing w:after="0"/>
              <w:rPr>
                <w:sz w:val="20"/>
                <w:szCs w:val="20"/>
                <w:color w:val="auto"/>
              </w:rPr>
            </w:pPr>
            <w:r>
              <w:rPr>
                <w:rFonts w:ascii="Arial" w:cs="Arial" w:eastAsia="Arial" w:hAnsi="Arial"/>
                <w:sz w:val="10"/>
                <w:szCs w:val="10"/>
                <w:color w:val="auto"/>
              </w:rPr>
              <w:t>—</w:t>
            </w:r>
          </w:p>
        </w:tc>
        <w:tc>
          <w:tcPr>
            <w:tcW w:w="80" w:type="dxa"/>
            <w:vAlign w:val="bottom"/>
            <w:shd w:val="clear" w:color="auto" w:fill="CCEEFF"/>
          </w:tcPr>
          <w:p>
            <w:pPr>
              <w:spacing w:after="0"/>
              <w:rPr>
                <w:sz w:val="13"/>
                <w:szCs w:val="13"/>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w:t>
            </w:r>
          </w:p>
        </w:tc>
        <w:tc>
          <w:tcPr>
            <w:tcW w:w="100" w:type="dxa"/>
            <w:vAlign w:val="bottom"/>
            <w:shd w:val="clear" w:color="auto" w:fill="CCEEFF"/>
          </w:tcPr>
          <w:p>
            <w:pPr>
              <w:spacing w:after="0"/>
              <w:rPr>
                <w:sz w:val="13"/>
                <w:szCs w:val="13"/>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w:t>
            </w:r>
          </w:p>
        </w:tc>
        <w:tc>
          <w:tcPr>
            <w:tcW w:w="80" w:type="dxa"/>
            <w:vAlign w:val="bottom"/>
            <w:shd w:val="clear" w:color="auto" w:fill="CCEEFF"/>
          </w:tcPr>
          <w:p>
            <w:pPr>
              <w:spacing w:after="0"/>
              <w:rPr>
                <w:sz w:val="13"/>
                <w:szCs w:val="13"/>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w:t>
            </w:r>
          </w:p>
        </w:tc>
        <w:tc>
          <w:tcPr>
            <w:tcW w:w="80" w:type="dxa"/>
            <w:vAlign w:val="bottom"/>
            <w:shd w:val="clear" w:color="auto" w:fill="CCEEFF"/>
          </w:tcPr>
          <w:p>
            <w:pPr>
              <w:spacing w:after="0"/>
              <w:rPr>
                <w:sz w:val="13"/>
                <w:szCs w:val="13"/>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(13,449)</w:t>
            </w:r>
          </w:p>
        </w:tc>
        <w:tc>
          <w:tcPr>
            <w:tcW w:w="80" w:type="dxa"/>
            <w:vAlign w:val="bottom"/>
            <w:shd w:val="clear" w:color="auto" w:fill="CCEEFF"/>
          </w:tcPr>
          <w:p>
            <w:pPr>
              <w:spacing w:after="0"/>
              <w:rPr>
                <w:sz w:val="13"/>
                <w:szCs w:val="13"/>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w:t>
            </w:r>
          </w:p>
        </w:tc>
        <w:tc>
          <w:tcPr>
            <w:tcW w:w="80" w:type="dxa"/>
            <w:vAlign w:val="bottom"/>
            <w:shd w:val="clear" w:color="auto" w:fill="CCEEFF"/>
          </w:tcPr>
          <w:p>
            <w:pPr>
              <w:spacing w:after="0"/>
              <w:rPr>
                <w:sz w:val="13"/>
                <w:szCs w:val="13"/>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(5,652)</w:t>
            </w:r>
          </w:p>
        </w:tc>
        <w:tc>
          <w:tcPr>
            <w:tcW w:w="80" w:type="dxa"/>
            <w:vAlign w:val="bottom"/>
            <w:shd w:val="clear" w:color="auto" w:fill="CCEEFF"/>
          </w:tcPr>
          <w:p>
            <w:pPr>
              <w:spacing w:after="0"/>
              <w:rPr>
                <w:sz w:val="13"/>
                <w:szCs w:val="13"/>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(19,101)</w:t>
            </w:r>
          </w:p>
        </w:tc>
        <w:tc>
          <w:tcPr>
            <w:tcW w:w="0" w:type="dxa"/>
            <w:vAlign w:val="bottom"/>
          </w:tcPr>
          <w:p>
            <w:pPr>
              <w:spacing w:after="0"/>
              <w:rPr>
                <w:sz w:val="1"/>
                <w:szCs w:val="1"/>
                <w:color w:val="auto"/>
              </w:rPr>
            </w:pPr>
          </w:p>
        </w:tc>
      </w:tr>
      <w:tr>
        <w:trPr>
          <w:trHeight w:val="148"/>
        </w:trPr>
        <w:tc>
          <w:tcPr>
            <w:tcW w:w="2240" w:type="dxa"/>
            <w:vAlign w:val="bottom"/>
          </w:tcPr>
          <w:p>
            <w:pPr>
              <w:ind w:left="20"/>
              <w:spacing w:after="0"/>
              <w:rPr>
                <w:sz w:val="20"/>
                <w:szCs w:val="20"/>
                <w:color w:val="auto"/>
              </w:rPr>
            </w:pPr>
            <w:r>
              <w:rPr>
                <w:rFonts w:ascii="Arial" w:cs="Arial" w:eastAsia="Arial" w:hAnsi="Arial"/>
                <w:sz w:val="10"/>
                <w:szCs w:val="10"/>
                <w:color w:val="auto"/>
              </w:rPr>
              <w:t>Balance as of March 31, 2018</w:t>
            </w:r>
          </w:p>
        </w:tc>
        <w:tc>
          <w:tcPr>
            <w:tcW w:w="760" w:type="dxa"/>
            <w:vAlign w:val="bottom"/>
            <w:gridSpan w:val="2"/>
          </w:tcPr>
          <w:p>
            <w:pPr>
              <w:ind w:left="540"/>
              <w:spacing w:after="0"/>
              <w:rPr>
                <w:sz w:val="20"/>
                <w:szCs w:val="20"/>
                <w:color w:val="auto"/>
              </w:rPr>
            </w:pPr>
            <w:r>
              <w:rPr>
                <w:rFonts w:ascii="Arial" w:cs="Arial" w:eastAsia="Arial" w:hAnsi="Arial"/>
                <w:sz w:val="10"/>
                <w:szCs w:val="10"/>
                <w:color w:val="auto"/>
              </w:rPr>
              <w:t>—</w:t>
            </w:r>
          </w:p>
        </w:tc>
        <w:tc>
          <w:tcPr>
            <w:tcW w:w="780" w:type="dxa"/>
            <w:vAlign w:val="bottom"/>
          </w:tcPr>
          <w:p>
            <w:pPr>
              <w:jc w:val="right"/>
              <w:spacing w:after="0"/>
              <w:rPr>
                <w:sz w:val="20"/>
                <w:szCs w:val="20"/>
                <w:color w:val="auto"/>
              </w:rPr>
            </w:pPr>
            <w:r>
              <w:rPr>
                <w:rFonts w:ascii="Arial" w:cs="Arial" w:eastAsia="Arial" w:hAnsi="Arial"/>
                <w:sz w:val="10"/>
                <w:szCs w:val="10"/>
                <w:color w:val="auto"/>
              </w:rPr>
              <w:t>29,289,689</w:t>
            </w:r>
          </w:p>
        </w:tc>
        <w:tc>
          <w:tcPr>
            <w:tcW w:w="100" w:type="dxa"/>
            <w:vAlign w:val="bottom"/>
          </w:tcPr>
          <w:p>
            <w:pPr>
              <w:spacing w:after="0"/>
              <w:rPr>
                <w:sz w:val="12"/>
                <w:szCs w:val="12"/>
                <w:color w:val="auto"/>
              </w:rPr>
            </w:pPr>
          </w:p>
        </w:tc>
        <w:tc>
          <w:tcPr>
            <w:tcW w:w="780" w:type="dxa"/>
            <w:vAlign w:val="bottom"/>
          </w:tcPr>
          <w:p>
            <w:pPr>
              <w:jc w:val="right"/>
              <w:spacing w:after="0"/>
              <w:rPr>
                <w:sz w:val="20"/>
                <w:szCs w:val="20"/>
                <w:color w:val="auto"/>
              </w:rPr>
            </w:pPr>
            <w:r>
              <w:rPr>
                <w:rFonts w:ascii="Arial" w:cs="Arial" w:eastAsia="Arial" w:hAnsi="Arial"/>
                <w:sz w:val="10"/>
                <w:szCs w:val="10"/>
                <w:color w:val="auto"/>
              </w:rPr>
              <w:t>11,468,587</w:t>
            </w:r>
          </w:p>
        </w:tc>
        <w:tc>
          <w:tcPr>
            <w:tcW w:w="80" w:type="dxa"/>
            <w:vAlign w:val="bottom"/>
          </w:tcPr>
          <w:p>
            <w:pPr>
              <w:spacing w:after="0"/>
              <w:rPr>
                <w:sz w:val="12"/>
                <w:szCs w:val="12"/>
                <w:color w:val="auto"/>
              </w:rPr>
            </w:pPr>
          </w:p>
        </w:tc>
        <w:tc>
          <w:tcPr>
            <w:tcW w:w="300" w:type="dxa"/>
            <w:vAlign w:val="bottom"/>
          </w:tcPr>
          <w:p>
            <w:pPr>
              <w:jc w:val="right"/>
              <w:ind w:right="171"/>
              <w:spacing w:after="0"/>
              <w:rPr>
                <w:sz w:val="20"/>
                <w:szCs w:val="20"/>
                <w:color w:val="auto"/>
              </w:rPr>
            </w:pPr>
            <w:r>
              <w:rPr>
                <w:rFonts w:ascii="Arial" w:cs="Arial" w:eastAsia="Arial" w:hAnsi="Arial"/>
                <w:sz w:val="10"/>
                <w:szCs w:val="10"/>
                <w:color w:val="auto"/>
              </w:rPr>
              <w:t>$</w:t>
            </w:r>
          </w:p>
        </w:tc>
        <w:tc>
          <w:tcPr>
            <w:tcW w:w="460" w:type="dxa"/>
            <w:vAlign w:val="bottom"/>
            <w:gridSpan w:val="2"/>
          </w:tcPr>
          <w:p>
            <w:pPr>
              <w:ind w:left="240"/>
              <w:spacing w:after="0"/>
              <w:rPr>
                <w:sz w:val="20"/>
                <w:szCs w:val="20"/>
                <w:color w:val="auto"/>
              </w:rPr>
            </w:pPr>
            <w:r>
              <w:rPr>
                <w:rFonts w:ascii="Arial" w:cs="Arial" w:eastAsia="Arial" w:hAnsi="Arial"/>
                <w:sz w:val="10"/>
                <w:szCs w:val="10"/>
                <w:color w:val="auto"/>
              </w:rPr>
              <w:t>—</w:t>
            </w:r>
          </w:p>
        </w:tc>
        <w:tc>
          <w:tcPr>
            <w:tcW w:w="600" w:type="dxa"/>
            <w:vAlign w:val="bottom"/>
          </w:tcPr>
          <w:p>
            <w:pPr>
              <w:jc w:val="right"/>
              <w:spacing w:after="0"/>
              <w:rPr>
                <w:sz w:val="20"/>
                <w:szCs w:val="20"/>
                <w:color w:val="auto"/>
              </w:rPr>
            </w:pPr>
            <w:r>
              <w:rPr>
                <w:rFonts w:ascii="Arial" w:cs="Arial" w:eastAsia="Arial" w:hAnsi="Arial"/>
                <w:sz w:val="10"/>
                <w:szCs w:val="10"/>
                <w:color w:val="auto"/>
              </w:rPr>
              <w:t>293</w:t>
            </w:r>
          </w:p>
        </w:tc>
        <w:tc>
          <w:tcPr>
            <w:tcW w:w="100" w:type="dxa"/>
            <w:vAlign w:val="bottom"/>
          </w:tcPr>
          <w:p>
            <w:pPr>
              <w:spacing w:after="0"/>
              <w:rPr>
                <w:sz w:val="12"/>
                <w:szCs w:val="12"/>
                <w:color w:val="auto"/>
              </w:rPr>
            </w:pPr>
          </w:p>
        </w:tc>
        <w:tc>
          <w:tcPr>
            <w:tcW w:w="600" w:type="dxa"/>
            <w:vAlign w:val="bottom"/>
          </w:tcPr>
          <w:p>
            <w:pPr>
              <w:jc w:val="right"/>
              <w:spacing w:after="0"/>
              <w:rPr>
                <w:sz w:val="20"/>
                <w:szCs w:val="20"/>
                <w:color w:val="auto"/>
              </w:rPr>
            </w:pPr>
            <w:r>
              <w:rPr>
                <w:rFonts w:ascii="Arial" w:cs="Arial" w:eastAsia="Arial" w:hAnsi="Arial"/>
                <w:sz w:val="10"/>
                <w:szCs w:val="10"/>
                <w:color w:val="auto"/>
              </w:rPr>
              <w:t>115</w:t>
            </w:r>
          </w:p>
        </w:tc>
        <w:tc>
          <w:tcPr>
            <w:tcW w:w="80" w:type="dxa"/>
            <w:vAlign w:val="bottom"/>
          </w:tcPr>
          <w:p>
            <w:pPr>
              <w:spacing w:after="0"/>
              <w:rPr>
                <w:sz w:val="12"/>
                <w:szCs w:val="12"/>
                <w:color w:val="auto"/>
              </w:rPr>
            </w:pPr>
          </w:p>
        </w:tc>
        <w:tc>
          <w:tcPr>
            <w:tcW w:w="740" w:type="dxa"/>
            <w:vAlign w:val="bottom"/>
          </w:tcPr>
          <w:p>
            <w:pPr>
              <w:jc w:val="right"/>
              <w:spacing w:after="0"/>
              <w:rPr>
                <w:sz w:val="20"/>
                <w:szCs w:val="20"/>
                <w:color w:val="auto"/>
              </w:rPr>
            </w:pPr>
            <w:r>
              <w:rPr>
                <w:rFonts w:ascii="Arial" w:cs="Arial" w:eastAsia="Arial" w:hAnsi="Arial"/>
                <w:sz w:val="10"/>
                <w:szCs w:val="10"/>
                <w:color w:val="auto"/>
              </w:rPr>
              <w:t>448</w:t>
            </w:r>
          </w:p>
        </w:tc>
        <w:tc>
          <w:tcPr>
            <w:tcW w:w="80" w:type="dxa"/>
            <w:vAlign w:val="bottom"/>
          </w:tcPr>
          <w:p>
            <w:pPr>
              <w:spacing w:after="0"/>
              <w:rPr>
                <w:sz w:val="12"/>
                <w:szCs w:val="12"/>
                <w:color w:val="auto"/>
              </w:rPr>
            </w:pPr>
          </w:p>
        </w:tc>
        <w:tc>
          <w:tcPr>
            <w:tcW w:w="720" w:type="dxa"/>
            <w:vAlign w:val="bottom"/>
          </w:tcPr>
          <w:p>
            <w:pPr>
              <w:jc w:val="right"/>
              <w:spacing w:after="0"/>
              <w:rPr>
                <w:sz w:val="20"/>
                <w:szCs w:val="20"/>
                <w:color w:val="auto"/>
              </w:rPr>
            </w:pPr>
            <w:r>
              <w:rPr>
                <w:rFonts w:ascii="Arial" w:cs="Arial" w:eastAsia="Arial" w:hAnsi="Arial"/>
                <w:sz w:val="10"/>
                <w:szCs w:val="10"/>
                <w:color w:val="auto"/>
              </w:rPr>
              <w:t>2,231,875</w:t>
            </w:r>
          </w:p>
        </w:tc>
        <w:tc>
          <w:tcPr>
            <w:tcW w:w="80" w:type="dxa"/>
            <w:vAlign w:val="bottom"/>
          </w:tcPr>
          <w:p>
            <w:pPr>
              <w:spacing w:after="0"/>
              <w:rPr>
                <w:sz w:val="12"/>
                <w:szCs w:val="12"/>
                <w:color w:val="auto"/>
              </w:rPr>
            </w:pPr>
          </w:p>
        </w:tc>
        <w:tc>
          <w:tcPr>
            <w:tcW w:w="1020" w:type="dxa"/>
            <w:vAlign w:val="bottom"/>
          </w:tcPr>
          <w:p>
            <w:pPr>
              <w:jc w:val="right"/>
              <w:spacing w:after="0"/>
              <w:rPr>
                <w:sz w:val="20"/>
                <w:szCs w:val="20"/>
                <w:color w:val="auto"/>
              </w:rPr>
            </w:pPr>
            <w:r>
              <w:rPr>
                <w:rFonts w:ascii="Arial" w:cs="Arial" w:eastAsia="Arial" w:hAnsi="Arial"/>
                <w:sz w:val="10"/>
                <w:szCs w:val="10"/>
                <w:color w:val="auto"/>
              </w:rPr>
              <w:t>3,022</w:t>
            </w:r>
          </w:p>
        </w:tc>
        <w:tc>
          <w:tcPr>
            <w:tcW w:w="80" w:type="dxa"/>
            <w:vAlign w:val="bottom"/>
          </w:tcPr>
          <w:p>
            <w:pPr>
              <w:spacing w:after="0"/>
              <w:rPr>
                <w:sz w:val="12"/>
                <w:szCs w:val="12"/>
                <w:color w:val="auto"/>
              </w:rPr>
            </w:pPr>
          </w:p>
        </w:tc>
        <w:tc>
          <w:tcPr>
            <w:tcW w:w="1000" w:type="dxa"/>
            <w:vAlign w:val="bottom"/>
          </w:tcPr>
          <w:p>
            <w:pPr>
              <w:jc w:val="right"/>
              <w:spacing w:after="0"/>
              <w:rPr>
                <w:sz w:val="20"/>
                <w:szCs w:val="20"/>
                <w:color w:val="auto"/>
              </w:rPr>
            </w:pPr>
            <w:r>
              <w:rPr>
                <w:rFonts w:ascii="Arial" w:cs="Arial" w:eastAsia="Arial" w:hAnsi="Arial"/>
                <w:sz w:val="10"/>
                <w:szCs w:val="10"/>
                <w:color w:val="auto"/>
              </w:rPr>
              <w:t>9,473</w:t>
            </w:r>
          </w:p>
        </w:tc>
        <w:tc>
          <w:tcPr>
            <w:tcW w:w="80" w:type="dxa"/>
            <w:vAlign w:val="bottom"/>
          </w:tcPr>
          <w:p>
            <w:pPr>
              <w:spacing w:after="0"/>
              <w:rPr>
                <w:sz w:val="12"/>
                <w:szCs w:val="12"/>
                <w:color w:val="auto"/>
              </w:rPr>
            </w:pPr>
          </w:p>
        </w:tc>
        <w:tc>
          <w:tcPr>
            <w:tcW w:w="780" w:type="dxa"/>
            <w:vAlign w:val="bottom"/>
          </w:tcPr>
          <w:p>
            <w:pPr>
              <w:jc w:val="right"/>
              <w:spacing w:after="0"/>
              <w:rPr>
                <w:sz w:val="20"/>
                <w:szCs w:val="20"/>
                <w:color w:val="auto"/>
              </w:rPr>
            </w:pPr>
            <w:r>
              <w:rPr>
                <w:rFonts w:ascii="Arial" w:cs="Arial" w:eastAsia="Arial" w:hAnsi="Arial"/>
                <w:sz w:val="10"/>
                <w:szCs w:val="10"/>
                <w:color w:val="auto"/>
              </w:rPr>
              <w:t>2,245,226</w:t>
            </w:r>
          </w:p>
        </w:tc>
        <w:tc>
          <w:tcPr>
            <w:tcW w:w="0" w:type="dxa"/>
            <w:vAlign w:val="bottom"/>
          </w:tcPr>
          <w:p>
            <w:pPr>
              <w:spacing w:after="0"/>
              <w:rPr>
                <w:sz w:val="1"/>
                <w:szCs w:val="1"/>
                <w:color w:val="auto"/>
              </w:rPr>
            </w:pPr>
          </w:p>
        </w:tc>
      </w:tr>
      <w:tr>
        <w:trPr>
          <w:trHeight w:val="20"/>
        </w:trPr>
        <w:tc>
          <w:tcPr>
            <w:tcW w:w="2240" w:type="dxa"/>
            <w:vAlign w:val="bottom"/>
            <w:tcBorders>
              <w:bottom w:val="single" w:sz="8" w:color="CCEEFF"/>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4"/>
        </w:trPr>
        <w:tc>
          <w:tcPr>
            <w:tcW w:w="2240" w:type="dxa"/>
            <w:vAlign w:val="bottom"/>
            <w:shd w:val="clear" w:color="auto" w:fill="CCEEFF"/>
          </w:tcPr>
          <w:p>
            <w:pPr>
              <w:ind w:left="20"/>
              <w:spacing w:after="0"/>
              <w:rPr>
                <w:sz w:val="20"/>
                <w:szCs w:val="20"/>
                <w:color w:val="auto"/>
              </w:rPr>
            </w:pPr>
            <w:r>
              <w:rPr>
                <w:rFonts w:ascii="Arial" w:cs="Arial" w:eastAsia="Arial" w:hAnsi="Arial"/>
                <w:sz w:val="10"/>
                <w:szCs w:val="10"/>
                <w:color w:val="auto"/>
              </w:rPr>
              <w:t>Balance as of December 31, 2018</w:t>
            </w:r>
          </w:p>
        </w:tc>
        <w:tc>
          <w:tcPr>
            <w:tcW w:w="760" w:type="dxa"/>
            <w:vAlign w:val="bottom"/>
            <w:gridSpan w:val="2"/>
            <w:shd w:val="clear" w:color="auto" w:fill="CCEEFF"/>
          </w:tcPr>
          <w:p>
            <w:pPr>
              <w:ind w:left="540"/>
              <w:spacing w:after="0"/>
              <w:rPr>
                <w:sz w:val="20"/>
                <w:szCs w:val="20"/>
                <w:color w:val="auto"/>
              </w:rPr>
            </w:pPr>
            <w:r>
              <w:rPr>
                <w:rFonts w:ascii="Arial" w:cs="Arial" w:eastAsia="Arial" w:hAnsi="Arial"/>
                <w:sz w:val="10"/>
                <w:szCs w:val="10"/>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0"/>
                <w:szCs w:val="10"/>
                <w:color w:val="auto"/>
              </w:rPr>
              <w:t>28,798,464</w:t>
            </w:r>
          </w:p>
        </w:tc>
        <w:tc>
          <w:tcPr>
            <w:tcW w:w="100" w:type="dxa"/>
            <w:vAlign w:val="bottom"/>
            <w:shd w:val="clear" w:color="auto" w:fill="CCEEFF"/>
          </w:tcPr>
          <w:p>
            <w:pPr>
              <w:spacing w:after="0"/>
              <w:rPr>
                <w:sz w:val="11"/>
                <w:szCs w:val="11"/>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0"/>
                <w:szCs w:val="10"/>
                <w:color w:val="auto"/>
              </w:rPr>
              <w:t>11,459,641</w:t>
            </w:r>
          </w:p>
        </w:tc>
        <w:tc>
          <w:tcPr>
            <w:tcW w:w="80" w:type="dxa"/>
            <w:vAlign w:val="bottom"/>
            <w:shd w:val="clear" w:color="auto" w:fill="CCEEFF"/>
          </w:tcPr>
          <w:p>
            <w:pPr>
              <w:spacing w:after="0"/>
              <w:rPr>
                <w:sz w:val="11"/>
                <w:szCs w:val="11"/>
                <w:color w:val="auto"/>
              </w:rPr>
            </w:pPr>
          </w:p>
        </w:tc>
        <w:tc>
          <w:tcPr>
            <w:tcW w:w="300" w:type="dxa"/>
            <w:vAlign w:val="bottom"/>
            <w:shd w:val="clear" w:color="auto" w:fill="CCEEFF"/>
          </w:tcPr>
          <w:p>
            <w:pPr>
              <w:jc w:val="right"/>
              <w:ind w:right="171"/>
              <w:spacing w:after="0"/>
              <w:rPr>
                <w:sz w:val="20"/>
                <w:szCs w:val="20"/>
                <w:color w:val="auto"/>
              </w:rPr>
            </w:pPr>
            <w:r>
              <w:rPr>
                <w:rFonts w:ascii="Arial" w:cs="Arial" w:eastAsia="Arial" w:hAnsi="Arial"/>
                <w:sz w:val="10"/>
                <w:szCs w:val="10"/>
                <w:color w:val="auto"/>
              </w:rPr>
              <w:t>$</w:t>
            </w:r>
          </w:p>
        </w:tc>
        <w:tc>
          <w:tcPr>
            <w:tcW w:w="460" w:type="dxa"/>
            <w:vAlign w:val="bottom"/>
            <w:gridSpan w:val="2"/>
            <w:shd w:val="clear" w:color="auto" w:fill="CCEEFF"/>
          </w:tcPr>
          <w:p>
            <w:pPr>
              <w:ind w:left="240"/>
              <w:spacing w:after="0"/>
              <w:rPr>
                <w:sz w:val="20"/>
                <w:szCs w:val="20"/>
                <w:color w:val="auto"/>
              </w:rPr>
            </w:pPr>
            <w:r>
              <w:rPr>
                <w:rFonts w:ascii="Arial" w:cs="Arial" w:eastAsia="Arial" w:hAnsi="Arial"/>
                <w:sz w:val="10"/>
                <w:szCs w:val="10"/>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0"/>
                <w:szCs w:val="10"/>
                <w:color w:val="auto"/>
              </w:rPr>
              <w:t>288</w:t>
            </w:r>
          </w:p>
        </w:tc>
        <w:tc>
          <w:tcPr>
            <w:tcW w:w="100" w:type="dxa"/>
            <w:vAlign w:val="bottom"/>
            <w:shd w:val="clear" w:color="auto" w:fill="CCEEFF"/>
          </w:tcPr>
          <w:p>
            <w:pPr>
              <w:spacing w:after="0"/>
              <w:rPr>
                <w:sz w:val="11"/>
                <w:szCs w:val="11"/>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0"/>
                <w:szCs w:val="10"/>
                <w:color w:val="auto"/>
              </w:rPr>
              <w:t>115</w:t>
            </w:r>
          </w:p>
        </w:tc>
        <w:tc>
          <w:tcPr>
            <w:tcW w:w="80" w:type="dxa"/>
            <w:vAlign w:val="bottom"/>
            <w:shd w:val="clear" w:color="auto" w:fill="CCEEFF"/>
          </w:tcPr>
          <w:p>
            <w:pPr>
              <w:spacing w:after="0"/>
              <w:rPr>
                <w:sz w:val="11"/>
                <w:szCs w:val="11"/>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0"/>
                <w:szCs w:val="10"/>
                <w:color w:val="auto"/>
              </w:rPr>
              <w:t>622</w:t>
            </w:r>
          </w:p>
        </w:tc>
        <w:tc>
          <w:tcPr>
            <w:tcW w:w="80" w:type="dxa"/>
            <w:vAlign w:val="bottom"/>
            <w:shd w:val="clear" w:color="auto" w:fill="CCEEFF"/>
          </w:tcPr>
          <w:p>
            <w:pPr>
              <w:spacing w:after="0"/>
              <w:rPr>
                <w:sz w:val="11"/>
                <w:szCs w:val="11"/>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0"/>
                <w:szCs w:val="10"/>
                <w:color w:val="auto"/>
              </w:rPr>
              <w:t>2,299,556</w:t>
            </w:r>
          </w:p>
        </w:tc>
        <w:tc>
          <w:tcPr>
            <w:tcW w:w="80" w:type="dxa"/>
            <w:vAlign w:val="bottom"/>
            <w:shd w:val="clear" w:color="auto" w:fill="CCEEFF"/>
          </w:tcPr>
          <w:p>
            <w:pPr>
              <w:spacing w:after="0"/>
              <w:rPr>
                <w:sz w:val="11"/>
                <w:szCs w:val="11"/>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0"/>
                <w:szCs w:val="10"/>
                <w:color w:val="auto"/>
              </w:rPr>
              <w:t>3,883</w:t>
            </w:r>
          </w:p>
        </w:tc>
        <w:tc>
          <w:tcPr>
            <w:tcW w:w="80" w:type="dxa"/>
            <w:vAlign w:val="bottom"/>
            <w:shd w:val="clear" w:color="auto" w:fill="CCEEFF"/>
          </w:tcPr>
          <w:p>
            <w:pPr>
              <w:spacing w:after="0"/>
              <w:rPr>
                <w:sz w:val="11"/>
                <w:szCs w:val="11"/>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0"/>
                <w:szCs w:val="10"/>
                <w:color w:val="auto"/>
              </w:rPr>
              <w:t>10,315</w:t>
            </w:r>
          </w:p>
        </w:tc>
        <w:tc>
          <w:tcPr>
            <w:tcW w:w="80" w:type="dxa"/>
            <w:vAlign w:val="bottom"/>
            <w:shd w:val="clear" w:color="auto" w:fill="CCEEFF"/>
          </w:tcPr>
          <w:p>
            <w:pPr>
              <w:spacing w:after="0"/>
              <w:rPr>
                <w:sz w:val="11"/>
                <w:szCs w:val="11"/>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0"/>
                <w:szCs w:val="10"/>
                <w:color w:val="auto"/>
              </w:rPr>
              <w:t>2,314,779</w:t>
            </w:r>
          </w:p>
        </w:tc>
        <w:tc>
          <w:tcPr>
            <w:tcW w:w="0" w:type="dxa"/>
            <w:vAlign w:val="bottom"/>
          </w:tcPr>
          <w:p>
            <w:pPr>
              <w:spacing w:after="0"/>
              <w:rPr>
                <w:sz w:val="1"/>
                <w:szCs w:val="1"/>
                <w:color w:val="auto"/>
              </w:rPr>
            </w:pPr>
          </w:p>
        </w:tc>
      </w:tr>
      <w:tr>
        <w:trPr>
          <w:trHeight w:val="144"/>
        </w:trPr>
        <w:tc>
          <w:tcPr>
            <w:tcW w:w="2240" w:type="dxa"/>
            <w:vAlign w:val="bottom"/>
          </w:tcPr>
          <w:p>
            <w:pPr>
              <w:ind w:left="20"/>
              <w:spacing w:after="0"/>
              <w:rPr>
                <w:sz w:val="20"/>
                <w:szCs w:val="20"/>
                <w:color w:val="auto"/>
              </w:rPr>
            </w:pPr>
            <w:r>
              <w:rPr>
                <w:rFonts w:ascii="Arial" w:cs="Arial" w:eastAsia="Arial" w:hAnsi="Arial"/>
                <w:sz w:val="10"/>
                <w:szCs w:val="10"/>
                <w:color w:val="auto"/>
              </w:rPr>
              <w:t>Issuance of noncontrolling interests</w:t>
            </w:r>
          </w:p>
        </w:tc>
        <w:tc>
          <w:tcPr>
            <w:tcW w:w="760" w:type="dxa"/>
            <w:vAlign w:val="bottom"/>
            <w:gridSpan w:val="2"/>
          </w:tcPr>
          <w:p>
            <w:pPr>
              <w:ind w:left="540"/>
              <w:spacing w:after="0"/>
              <w:rPr>
                <w:sz w:val="20"/>
                <w:szCs w:val="20"/>
                <w:color w:val="auto"/>
              </w:rPr>
            </w:pPr>
            <w:r>
              <w:rPr>
                <w:rFonts w:ascii="Arial" w:cs="Arial" w:eastAsia="Arial" w:hAnsi="Arial"/>
                <w:sz w:val="10"/>
                <w:szCs w:val="10"/>
                <w:color w:val="auto"/>
              </w:rPr>
              <w:t>—</w:t>
            </w:r>
          </w:p>
        </w:tc>
        <w:tc>
          <w:tcPr>
            <w:tcW w:w="880" w:type="dxa"/>
            <w:vAlign w:val="bottom"/>
            <w:gridSpan w:val="2"/>
          </w:tcPr>
          <w:p>
            <w:pPr>
              <w:jc w:val="right"/>
              <w:ind w:right="140"/>
              <w:spacing w:after="0"/>
              <w:rPr>
                <w:sz w:val="20"/>
                <w:szCs w:val="20"/>
                <w:color w:val="auto"/>
              </w:rPr>
            </w:pPr>
            <w:r>
              <w:rPr>
                <w:rFonts w:ascii="Arial" w:cs="Arial" w:eastAsia="Arial" w:hAnsi="Arial"/>
                <w:sz w:val="10"/>
                <w:szCs w:val="10"/>
                <w:color w:val="auto"/>
              </w:rPr>
              <w:t>—</w:t>
            </w:r>
          </w:p>
        </w:tc>
        <w:tc>
          <w:tcPr>
            <w:tcW w:w="86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300" w:type="dxa"/>
            <w:vAlign w:val="bottom"/>
          </w:tcPr>
          <w:p>
            <w:pPr>
              <w:spacing w:after="0"/>
              <w:rPr>
                <w:sz w:val="12"/>
                <w:szCs w:val="12"/>
                <w:color w:val="auto"/>
              </w:rPr>
            </w:pPr>
          </w:p>
        </w:tc>
        <w:tc>
          <w:tcPr>
            <w:tcW w:w="460" w:type="dxa"/>
            <w:vAlign w:val="bottom"/>
            <w:gridSpan w:val="2"/>
          </w:tcPr>
          <w:p>
            <w:pPr>
              <w:ind w:left="240"/>
              <w:spacing w:after="0"/>
              <w:rPr>
                <w:sz w:val="20"/>
                <w:szCs w:val="20"/>
                <w:color w:val="auto"/>
              </w:rPr>
            </w:pPr>
            <w:r>
              <w:rPr>
                <w:rFonts w:ascii="Arial" w:cs="Arial" w:eastAsia="Arial" w:hAnsi="Arial"/>
                <w:sz w:val="10"/>
                <w:szCs w:val="10"/>
                <w:color w:val="auto"/>
              </w:rPr>
              <w:t>—</w:t>
            </w:r>
          </w:p>
        </w:tc>
        <w:tc>
          <w:tcPr>
            <w:tcW w:w="700" w:type="dxa"/>
            <w:vAlign w:val="bottom"/>
            <w:gridSpan w:val="2"/>
          </w:tcPr>
          <w:p>
            <w:pPr>
              <w:jc w:val="right"/>
              <w:ind w:right="140"/>
              <w:spacing w:after="0"/>
              <w:rPr>
                <w:sz w:val="20"/>
                <w:szCs w:val="20"/>
                <w:color w:val="auto"/>
              </w:rPr>
            </w:pPr>
            <w:r>
              <w:rPr>
                <w:rFonts w:ascii="Arial" w:cs="Arial" w:eastAsia="Arial" w:hAnsi="Arial"/>
                <w:sz w:val="10"/>
                <w:szCs w:val="10"/>
                <w:color w:val="auto"/>
              </w:rPr>
              <w:t>—</w:t>
            </w:r>
          </w:p>
        </w:tc>
        <w:tc>
          <w:tcPr>
            <w:tcW w:w="68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82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80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110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1000" w:type="dxa"/>
            <w:vAlign w:val="bottom"/>
          </w:tcPr>
          <w:p>
            <w:pPr>
              <w:jc w:val="right"/>
              <w:spacing w:after="0"/>
              <w:rPr>
                <w:sz w:val="20"/>
                <w:szCs w:val="20"/>
                <w:color w:val="auto"/>
              </w:rPr>
            </w:pPr>
            <w:r>
              <w:rPr>
                <w:rFonts w:ascii="Arial" w:cs="Arial" w:eastAsia="Arial" w:hAnsi="Arial"/>
                <w:sz w:val="10"/>
                <w:szCs w:val="10"/>
                <w:color w:val="auto"/>
              </w:rPr>
              <w:t>26</w:t>
            </w:r>
          </w:p>
        </w:tc>
        <w:tc>
          <w:tcPr>
            <w:tcW w:w="80" w:type="dxa"/>
            <w:vAlign w:val="bottom"/>
          </w:tcPr>
          <w:p>
            <w:pPr>
              <w:spacing w:after="0"/>
              <w:rPr>
                <w:sz w:val="12"/>
                <w:szCs w:val="12"/>
                <w:color w:val="auto"/>
              </w:rPr>
            </w:pPr>
          </w:p>
        </w:tc>
        <w:tc>
          <w:tcPr>
            <w:tcW w:w="780" w:type="dxa"/>
            <w:vAlign w:val="bottom"/>
          </w:tcPr>
          <w:p>
            <w:pPr>
              <w:jc w:val="right"/>
              <w:spacing w:after="0"/>
              <w:rPr>
                <w:sz w:val="20"/>
                <w:szCs w:val="20"/>
                <w:color w:val="auto"/>
              </w:rPr>
            </w:pPr>
            <w:r>
              <w:rPr>
                <w:rFonts w:ascii="Arial" w:cs="Arial" w:eastAsia="Arial" w:hAnsi="Arial"/>
                <w:sz w:val="10"/>
                <w:szCs w:val="10"/>
                <w:color w:val="auto"/>
              </w:rPr>
              <w:t>26</w:t>
            </w:r>
          </w:p>
        </w:tc>
        <w:tc>
          <w:tcPr>
            <w:tcW w:w="0" w:type="dxa"/>
            <w:vAlign w:val="bottom"/>
          </w:tcPr>
          <w:p>
            <w:pPr>
              <w:spacing w:after="0"/>
              <w:rPr>
                <w:sz w:val="1"/>
                <w:szCs w:val="1"/>
                <w:color w:val="auto"/>
              </w:rPr>
            </w:pPr>
          </w:p>
        </w:tc>
      </w:tr>
      <w:tr>
        <w:trPr>
          <w:trHeight w:val="157"/>
        </w:trPr>
        <w:tc>
          <w:tcPr>
            <w:tcW w:w="2240" w:type="dxa"/>
            <w:vAlign w:val="bottom"/>
            <w:shd w:val="clear" w:color="auto" w:fill="CCEEFF"/>
          </w:tcPr>
          <w:p>
            <w:pPr>
              <w:ind w:left="20"/>
              <w:spacing w:after="0"/>
              <w:rPr>
                <w:sz w:val="20"/>
                <w:szCs w:val="20"/>
                <w:color w:val="auto"/>
              </w:rPr>
            </w:pPr>
            <w:r>
              <w:rPr>
                <w:rFonts w:ascii="Arial" w:cs="Arial" w:eastAsia="Arial" w:hAnsi="Arial"/>
                <w:sz w:val="10"/>
                <w:szCs w:val="10"/>
                <w:color w:val="auto"/>
              </w:rPr>
              <w:t>Net income</w:t>
            </w:r>
          </w:p>
        </w:tc>
        <w:tc>
          <w:tcPr>
            <w:tcW w:w="760" w:type="dxa"/>
            <w:vAlign w:val="bottom"/>
            <w:gridSpan w:val="2"/>
            <w:shd w:val="clear" w:color="auto" w:fill="CCEEFF"/>
          </w:tcPr>
          <w:p>
            <w:pPr>
              <w:ind w:left="540"/>
              <w:spacing w:after="0"/>
              <w:rPr>
                <w:sz w:val="20"/>
                <w:szCs w:val="20"/>
                <w:color w:val="auto"/>
              </w:rPr>
            </w:pPr>
            <w:r>
              <w:rPr>
                <w:rFonts w:ascii="Arial" w:cs="Arial" w:eastAsia="Arial" w:hAnsi="Arial"/>
                <w:sz w:val="10"/>
                <w:szCs w:val="10"/>
                <w:color w:val="auto"/>
              </w:rPr>
              <w:t>—</w:t>
            </w:r>
          </w:p>
        </w:tc>
        <w:tc>
          <w:tcPr>
            <w:tcW w:w="880" w:type="dxa"/>
            <w:vAlign w:val="bottom"/>
            <w:gridSpan w:val="2"/>
            <w:shd w:val="clear" w:color="auto" w:fill="CCEEFF"/>
          </w:tcPr>
          <w:p>
            <w:pPr>
              <w:jc w:val="right"/>
              <w:ind w:right="140"/>
              <w:spacing w:after="0"/>
              <w:rPr>
                <w:sz w:val="20"/>
                <w:szCs w:val="20"/>
                <w:color w:val="auto"/>
              </w:rPr>
            </w:pPr>
            <w:r>
              <w:rPr>
                <w:rFonts w:ascii="Arial" w:cs="Arial" w:eastAsia="Arial" w:hAnsi="Arial"/>
                <w:sz w:val="10"/>
                <w:szCs w:val="10"/>
                <w:color w:val="auto"/>
              </w:rPr>
              <w:t>—</w:t>
            </w: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0"/>
                <w:szCs w:val="10"/>
                <w:color w:val="auto"/>
              </w:rPr>
              <w:t>—</w:t>
            </w:r>
          </w:p>
        </w:tc>
        <w:tc>
          <w:tcPr>
            <w:tcW w:w="300" w:type="dxa"/>
            <w:vAlign w:val="bottom"/>
            <w:shd w:val="clear" w:color="auto" w:fill="CCEEFF"/>
          </w:tcPr>
          <w:p>
            <w:pPr>
              <w:spacing w:after="0"/>
              <w:rPr>
                <w:sz w:val="13"/>
                <w:szCs w:val="13"/>
                <w:color w:val="auto"/>
              </w:rPr>
            </w:pPr>
          </w:p>
        </w:tc>
        <w:tc>
          <w:tcPr>
            <w:tcW w:w="460" w:type="dxa"/>
            <w:vAlign w:val="bottom"/>
            <w:gridSpan w:val="2"/>
            <w:shd w:val="clear" w:color="auto" w:fill="CCEEFF"/>
          </w:tcPr>
          <w:p>
            <w:pPr>
              <w:ind w:left="240"/>
              <w:spacing w:after="0"/>
              <w:rPr>
                <w:sz w:val="20"/>
                <w:szCs w:val="20"/>
                <w:color w:val="auto"/>
              </w:rPr>
            </w:pPr>
            <w:r>
              <w:rPr>
                <w:rFonts w:ascii="Arial" w:cs="Arial" w:eastAsia="Arial" w:hAnsi="Arial"/>
                <w:sz w:val="10"/>
                <w:szCs w:val="10"/>
                <w:color w:val="auto"/>
              </w:rPr>
              <w:t>—</w:t>
            </w: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0"/>
                <w:szCs w:val="10"/>
                <w:color w:val="auto"/>
              </w:rPr>
              <w:t>—</w:t>
            </w:r>
          </w:p>
        </w:tc>
        <w:tc>
          <w:tcPr>
            <w:tcW w:w="680" w:type="dxa"/>
            <w:vAlign w:val="bottom"/>
            <w:gridSpan w:val="2"/>
            <w:shd w:val="clear" w:color="auto" w:fill="CCEEFF"/>
          </w:tcPr>
          <w:p>
            <w:pPr>
              <w:jc w:val="right"/>
              <w:ind w:right="120"/>
              <w:spacing w:after="0"/>
              <w:rPr>
                <w:sz w:val="20"/>
                <w:szCs w:val="20"/>
                <w:color w:val="auto"/>
              </w:rPr>
            </w:pPr>
            <w:r>
              <w:rPr>
                <w:rFonts w:ascii="Arial" w:cs="Arial" w:eastAsia="Arial" w:hAnsi="Arial"/>
                <w:sz w:val="10"/>
                <w:szCs w:val="10"/>
                <w:color w:val="auto"/>
              </w:rPr>
              <w:t>—</w:t>
            </w: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0"/>
                <w:szCs w:val="10"/>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0"/>
                <w:szCs w:val="10"/>
                <w:color w:val="auto"/>
              </w:rPr>
              <w:t>41,591</w:t>
            </w:r>
          </w:p>
        </w:tc>
        <w:tc>
          <w:tcPr>
            <w:tcW w:w="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120"/>
              <w:spacing w:after="0"/>
              <w:rPr>
                <w:sz w:val="20"/>
                <w:szCs w:val="20"/>
                <w:color w:val="auto"/>
              </w:rPr>
            </w:pPr>
            <w:r>
              <w:rPr>
                <w:rFonts w:ascii="Arial" w:cs="Arial" w:eastAsia="Arial" w:hAnsi="Arial"/>
                <w:sz w:val="10"/>
                <w:szCs w:val="10"/>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0"/>
                <w:szCs w:val="10"/>
                <w:color w:val="auto"/>
              </w:rPr>
              <w:t>56</w:t>
            </w:r>
          </w:p>
        </w:tc>
        <w:tc>
          <w:tcPr>
            <w:tcW w:w="80" w:type="dxa"/>
            <w:vAlign w:val="bottom"/>
            <w:shd w:val="clear" w:color="auto" w:fill="CCEEFF"/>
          </w:tcPr>
          <w:p>
            <w:pPr>
              <w:spacing w:after="0"/>
              <w:rPr>
                <w:sz w:val="13"/>
                <w:szCs w:val="13"/>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0"/>
                <w:szCs w:val="10"/>
                <w:color w:val="auto"/>
              </w:rPr>
              <w:t>41,647</w:t>
            </w:r>
          </w:p>
        </w:tc>
        <w:tc>
          <w:tcPr>
            <w:tcW w:w="0" w:type="dxa"/>
            <w:vAlign w:val="bottom"/>
          </w:tcPr>
          <w:p>
            <w:pPr>
              <w:spacing w:after="0"/>
              <w:rPr>
                <w:sz w:val="1"/>
                <w:szCs w:val="1"/>
                <w:color w:val="auto"/>
              </w:rPr>
            </w:pPr>
          </w:p>
        </w:tc>
      </w:tr>
      <w:tr>
        <w:trPr>
          <w:trHeight w:val="144"/>
        </w:trPr>
        <w:tc>
          <w:tcPr>
            <w:tcW w:w="2240" w:type="dxa"/>
            <w:vAlign w:val="bottom"/>
          </w:tcPr>
          <w:p>
            <w:pPr>
              <w:ind w:left="20"/>
              <w:spacing w:after="0"/>
              <w:rPr>
                <w:sz w:val="20"/>
                <w:szCs w:val="20"/>
                <w:color w:val="auto"/>
              </w:rPr>
            </w:pPr>
            <w:r>
              <w:rPr>
                <w:rFonts w:ascii="Arial" w:cs="Arial" w:eastAsia="Arial" w:hAnsi="Arial"/>
                <w:sz w:val="10"/>
                <w:szCs w:val="10"/>
                <w:color w:val="auto"/>
              </w:rPr>
              <w:t>Other comprehensive loss</w:t>
            </w:r>
          </w:p>
        </w:tc>
        <w:tc>
          <w:tcPr>
            <w:tcW w:w="760" w:type="dxa"/>
            <w:vAlign w:val="bottom"/>
            <w:gridSpan w:val="2"/>
          </w:tcPr>
          <w:p>
            <w:pPr>
              <w:ind w:left="540"/>
              <w:spacing w:after="0"/>
              <w:rPr>
                <w:sz w:val="20"/>
                <w:szCs w:val="20"/>
                <w:color w:val="auto"/>
              </w:rPr>
            </w:pPr>
            <w:r>
              <w:rPr>
                <w:rFonts w:ascii="Arial" w:cs="Arial" w:eastAsia="Arial" w:hAnsi="Arial"/>
                <w:sz w:val="10"/>
                <w:szCs w:val="10"/>
                <w:color w:val="auto"/>
              </w:rPr>
              <w:t>—</w:t>
            </w:r>
          </w:p>
        </w:tc>
        <w:tc>
          <w:tcPr>
            <w:tcW w:w="880" w:type="dxa"/>
            <w:vAlign w:val="bottom"/>
            <w:gridSpan w:val="2"/>
          </w:tcPr>
          <w:p>
            <w:pPr>
              <w:jc w:val="right"/>
              <w:ind w:right="140"/>
              <w:spacing w:after="0"/>
              <w:rPr>
                <w:sz w:val="20"/>
                <w:szCs w:val="20"/>
                <w:color w:val="auto"/>
              </w:rPr>
            </w:pPr>
            <w:r>
              <w:rPr>
                <w:rFonts w:ascii="Arial" w:cs="Arial" w:eastAsia="Arial" w:hAnsi="Arial"/>
                <w:sz w:val="10"/>
                <w:szCs w:val="10"/>
                <w:color w:val="auto"/>
              </w:rPr>
              <w:t>—</w:t>
            </w:r>
          </w:p>
        </w:tc>
        <w:tc>
          <w:tcPr>
            <w:tcW w:w="86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300" w:type="dxa"/>
            <w:vAlign w:val="bottom"/>
          </w:tcPr>
          <w:p>
            <w:pPr>
              <w:spacing w:after="0"/>
              <w:rPr>
                <w:sz w:val="12"/>
                <w:szCs w:val="12"/>
                <w:color w:val="auto"/>
              </w:rPr>
            </w:pPr>
          </w:p>
        </w:tc>
        <w:tc>
          <w:tcPr>
            <w:tcW w:w="460" w:type="dxa"/>
            <w:vAlign w:val="bottom"/>
            <w:gridSpan w:val="2"/>
          </w:tcPr>
          <w:p>
            <w:pPr>
              <w:ind w:left="240"/>
              <w:spacing w:after="0"/>
              <w:rPr>
                <w:sz w:val="20"/>
                <w:szCs w:val="20"/>
                <w:color w:val="auto"/>
              </w:rPr>
            </w:pPr>
            <w:r>
              <w:rPr>
                <w:rFonts w:ascii="Arial" w:cs="Arial" w:eastAsia="Arial" w:hAnsi="Arial"/>
                <w:sz w:val="10"/>
                <w:szCs w:val="10"/>
                <w:color w:val="auto"/>
              </w:rPr>
              <w:t>—</w:t>
            </w:r>
          </w:p>
        </w:tc>
        <w:tc>
          <w:tcPr>
            <w:tcW w:w="700" w:type="dxa"/>
            <w:vAlign w:val="bottom"/>
            <w:gridSpan w:val="2"/>
          </w:tcPr>
          <w:p>
            <w:pPr>
              <w:jc w:val="right"/>
              <w:ind w:right="140"/>
              <w:spacing w:after="0"/>
              <w:rPr>
                <w:sz w:val="20"/>
                <w:szCs w:val="20"/>
                <w:color w:val="auto"/>
              </w:rPr>
            </w:pPr>
            <w:r>
              <w:rPr>
                <w:rFonts w:ascii="Arial" w:cs="Arial" w:eastAsia="Arial" w:hAnsi="Arial"/>
                <w:sz w:val="10"/>
                <w:szCs w:val="10"/>
                <w:color w:val="auto"/>
              </w:rPr>
              <w:t>—</w:t>
            </w:r>
          </w:p>
        </w:tc>
        <w:tc>
          <w:tcPr>
            <w:tcW w:w="68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82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80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1020" w:type="dxa"/>
            <w:vAlign w:val="bottom"/>
          </w:tcPr>
          <w:p>
            <w:pPr>
              <w:jc w:val="right"/>
              <w:spacing w:after="0"/>
              <w:rPr>
                <w:sz w:val="20"/>
                <w:szCs w:val="20"/>
                <w:color w:val="auto"/>
              </w:rPr>
            </w:pPr>
            <w:r>
              <w:rPr>
                <w:rFonts w:ascii="Arial" w:cs="Arial" w:eastAsia="Arial" w:hAnsi="Arial"/>
                <w:sz w:val="10"/>
                <w:szCs w:val="10"/>
                <w:color w:val="auto"/>
              </w:rPr>
              <w:t>(331)</w:t>
            </w:r>
          </w:p>
        </w:tc>
        <w:tc>
          <w:tcPr>
            <w:tcW w:w="80" w:type="dxa"/>
            <w:vAlign w:val="bottom"/>
          </w:tcPr>
          <w:p>
            <w:pPr>
              <w:spacing w:after="0"/>
              <w:rPr>
                <w:sz w:val="12"/>
                <w:szCs w:val="12"/>
                <w:color w:val="auto"/>
              </w:rPr>
            </w:pPr>
          </w:p>
        </w:tc>
        <w:tc>
          <w:tcPr>
            <w:tcW w:w="108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780" w:type="dxa"/>
            <w:vAlign w:val="bottom"/>
          </w:tcPr>
          <w:p>
            <w:pPr>
              <w:jc w:val="right"/>
              <w:spacing w:after="0"/>
              <w:rPr>
                <w:sz w:val="20"/>
                <w:szCs w:val="20"/>
                <w:color w:val="auto"/>
              </w:rPr>
            </w:pPr>
            <w:r>
              <w:rPr>
                <w:rFonts w:ascii="Arial" w:cs="Arial" w:eastAsia="Arial" w:hAnsi="Arial"/>
                <w:sz w:val="10"/>
                <w:szCs w:val="10"/>
                <w:color w:val="auto"/>
              </w:rPr>
              <w:t>(331)</w:t>
            </w:r>
          </w:p>
        </w:tc>
        <w:tc>
          <w:tcPr>
            <w:tcW w:w="0" w:type="dxa"/>
            <w:vAlign w:val="bottom"/>
          </w:tcPr>
          <w:p>
            <w:pPr>
              <w:spacing w:after="0"/>
              <w:rPr>
                <w:sz w:val="1"/>
                <w:szCs w:val="1"/>
                <w:color w:val="auto"/>
              </w:rPr>
            </w:pPr>
          </w:p>
        </w:tc>
      </w:tr>
      <w:tr>
        <w:trPr>
          <w:trHeight w:val="157"/>
        </w:trPr>
        <w:tc>
          <w:tcPr>
            <w:tcW w:w="2240" w:type="dxa"/>
            <w:vAlign w:val="bottom"/>
            <w:shd w:val="clear" w:color="auto" w:fill="CCEEFF"/>
          </w:tcPr>
          <w:p>
            <w:pPr>
              <w:ind w:left="20"/>
              <w:spacing w:after="0"/>
              <w:rPr>
                <w:sz w:val="20"/>
                <w:szCs w:val="20"/>
                <w:color w:val="auto"/>
              </w:rPr>
            </w:pPr>
            <w:r>
              <w:rPr>
                <w:rFonts w:ascii="Arial" w:cs="Arial" w:eastAsia="Arial" w:hAnsi="Arial"/>
                <w:sz w:val="10"/>
                <w:szCs w:val="10"/>
                <w:color w:val="auto"/>
              </w:rPr>
              <w:t>Distribution to noncontrolling interests</w:t>
            </w:r>
          </w:p>
        </w:tc>
        <w:tc>
          <w:tcPr>
            <w:tcW w:w="760" w:type="dxa"/>
            <w:vAlign w:val="bottom"/>
            <w:gridSpan w:val="2"/>
            <w:shd w:val="clear" w:color="auto" w:fill="CCEEFF"/>
          </w:tcPr>
          <w:p>
            <w:pPr>
              <w:ind w:left="540"/>
              <w:spacing w:after="0"/>
              <w:rPr>
                <w:sz w:val="20"/>
                <w:szCs w:val="20"/>
                <w:color w:val="auto"/>
              </w:rPr>
            </w:pPr>
            <w:r>
              <w:rPr>
                <w:rFonts w:ascii="Arial" w:cs="Arial" w:eastAsia="Arial" w:hAnsi="Arial"/>
                <w:sz w:val="10"/>
                <w:szCs w:val="10"/>
                <w:color w:val="auto"/>
              </w:rPr>
              <w:t>—</w:t>
            </w:r>
          </w:p>
        </w:tc>
        <w:tc>
          <w:tcPr>
            <w:tcW w:w="880" w:type="dxa"/>
            <w:vAlign w:val="bottom"/>
            <w:gridSpan w:val="2"/>
            <w:shd w:val="clear" w:color="auto" w:fill="CCEEFF"/>
          </w:tcPr>
          <w:p>
            <w:pPr>
              <w:jc w:val="right"/>
              <w:ind w:right="140"/>
              <w:spacing w:after="0"/>
              <w:rPr>
                <w:sz w:val="20"/>
                <w:szCs w:val="20"/>
                <w:color w:val="auto"/>
              </w:rPr>
            </w:pPr>
            <w:r>
              <w:rPr>
                <w:rFonts w:ascii="Arial" w:cs="Arial" w:eastAsia="Arial" w:hAnsi="Arial"/>
                <w:sz w:val="10"/>
                <w:szCs w:val="10"/>
                <w:color w:val="auto"/>
              </w:rPr>
              <w:t>—</w:t>
            </w: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0"/>
                <w:szCs w:val="10"/>
                <w:color w:val="auto"/>
              </w:rPr>
              <w:t>—</w:t>
            </w:r>
          </w:p>
        </w:tc>
        <w:tc>
          <w:tcPr>
            <w:tcW w:w="300" w:type="dxa"/>
            <w:vAlign w:val="bottom"/>
            <w:shd w:val="clear" w:color="auto" w:fill="CCEEFF"/>
          </w:tcPr>
          <w:p>
            <w:pPr>
              <w:spacing w:after="0"/>
              <w:rPr>
                <w:sz w:val="13"/>
                <w:szCs w:val="13"/>
                <w:color w:val="auto"/>
              </w:rPr>
            </w:pPr>
          </w:p>
        </w:tc>
        <w:tc>
          <w:tcPr>
            <w:tcW w:w="460" w:type="dxa"/>
            <w:vAlign w:val="bottom"/>
            <w:gridSpan w:val="2"/>
            <w:shd w:val="clear" w:color="auto" w:fill="CCEEFF"/>
          </w:tcPr>
          <w:p>
            <w:pPr>
              <w:ind w:left="240"/>
              <w:spacing w:after="0"/>
              <w:rPr>
                <w:sz w:val="20"/>
                <w:szCs w:val="20"/>
                <w:color w:val="auto"/>
              </w:rPr>
            </w:pPr>
            <w:r>
              <w:rPr>
                <w:rFonts w:ascii="Arial" w:cs="Arial" w:eastAsia="Arial" w:hAnsi="Arial"/>
                <w:sz w:val="10"/>
                <w:szCs w:val="10"/>
                <w:color w:val="auto"/>
              </w:rPr>
              <w:t>—</w:t>
            </w: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0"/>
                <w:szCs w:val="10"/>
                <w:color w:val="auto"/>
              </w:rPr>
              <w:t>—</w:t>
            </w:r>
          </w:p>
        </w:tc>
        <w:tc>
          <w:tcPr>
            <w:tcW w:w="680" w:type="dxa"/>
            <w:vAlign w:val="bottom"/>
            <w:gridSpan w:val="2"/>
            <w:shd w:val="clear" w:color="auto" w:fill="CCEEFF"/>
          </w:tcPr>
          <w:p>
            <w:pPr>
              <w:jc w:val="right"/>
              <w:ind w:right="120"/>
              <w:spacing w:after="0"/>
              <w:rPr>
                <w:sz w:val="20"/>
                <w:szCs w:val="20"/>
                <w:color w:val="auto"/>
              </w:rPr>
            </w:pPr>
            <w:r>
              <w:rPr>
                <w:rFonts w:ascii="Arial" w:cs="Arial" w:eastAsia="Arial" w:hAnsi="Arial"/>
                <w:sz w:val="10"/>
                <w:szCs w:val="10"/>
                <w:color w:val="auto"/>
              </w:rPr>
              <w:t>—</w:t>
            </w: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0"/>
                <w:szCs w:val="10"/>
                <w:color w:val="auto"/>
              </w:rPr>
              <w:t>—</w:t>
            </w:r>
          </w:p>
        </w:tc>
        <w:tc>
          <w:tcPr>
            <w:tcW w:w="800" w:type="dxa"/>
            <w:vAlign w:val="bottom"/>
            <w:gridSpan w:val="2"/>
            <w:shd w:val="clear" w:color="auto" w:fill="CCEEFF"/>
          </w:tcPr>
          <w:p>
            <w:pPr>
              <w:jc w:val="right"/>
              <w:ind w:right="120"/>
              <w:spacing w:after="0"/>
              <w:rPr>
                <w:sz w:val="20"/>
                <w:szCs w:val="20"/>
                <w:color w:val="auto"/>
              </w:rPr>
            </w:pPr>
            <w:r>
              <w:rPr>
                <w:rFonts w:ascii="Arial" w:cs="Arial" w:eastAsia="Arial" w:hAnsi="Arial"/>
                <w:sz w:val="10"/>
                <w:szCs w:val="10"/>
                <w:color w:val="auto"/>
              </w:rPr>
              <w:t>—</w:t>
            </w:r>
          </w:p>
        </w:tc>
        <w:tc>
          <w:tcPr>
            <w:tcW w:w="1100" w:type="dxa"/>
            <w:vAlign w:val="bottom"/>
            <w:gridSpan w:val="2"/>
            <w:shd w:val="clear" w:color="auto" w:fill="CCEEFF"/>
          </w:tcPr>
          <w:p>
            <w:pPr>
              <w:jc w:val="right"/>
              <w:ind w:right="120"/>
              <w:spacing w:after="0"/>
              <w:rPr>
                <w:sz w:val="20"/>
                <w:szCs w:val="20"/>
                <w:color w:val="auto"/>
              </w:rPr>
            </w:pPr>
            <w:r>
              <w:rPr>
                <w:rFonts w:ascii="Arial" w:cs="Arial" w:eastAsia="Arial" w:hAnsi="Arial"/>
                <w:sz w:val="10"/>
                <w:szCs w:val="10"/>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0"/>
                <w:szCs w:val="10"/>
                <w:color w:val="auto"/>
              </w:rPr>
              <w:t>(22)</w:t>
            </w:r>
          </w:p>
        </w:tc>
        <w:tc>
          <w:tcPr>
            <w:tcW w:w="80" w:type="dxa"/>
            <w:vAlign w:val="bottom"/>
            <w:shd w:val="clear" w:color="auto" w:fill="CCEEFF"/>
          </w:tcPr>
          <w:p>
            <w:pPr>
              <w:spacing w:after="0"/>
              <w:rPr>
                <w:sz w:val="13"/>
                <w:szCs w:val="13"/>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0"/>
                <w:szCs w:val="10"/>
                <w:color w:val="auto"/>
              </w:rPr>
              <w:t>(22)</w:t>
            </w:r>
          </w:p>
        </w:tc>
        <w:tc>
          <w:tcPr>
            <w:tcW w:w="0" w:type="dxa"/>
            <w:vAlign w:val="bottom"/>
          </w:tcPr>
          <w:p>
            <w:pPr>
              <w:spacing w:after="0"/>
              <w:rPr>
                <w:sz w:val="1"/>
                <w:szCs w:val="1"/>
                <w:color w:val="auto"/>
              </w:rPr>
            </w:pPr>
          </w:p>
        </w:tc>
      </w:tr>
      <w:tr>
        <w:trPr>
          <w:trHeight w:val="118"/>
        </w:trPr>
        <w:tc>
          <w:tcPr>
            <w:tcW w:w="2240" w:type="dxa"/>
            <w:vAlign w:val="bottom"/>
          </w:tcPr>
          <w:p>
            <w:pPr>
              <w:ind w:left="20"/>
              <w:spacing w:after="0"/>
              <w:rPr>
                <w:sz w:val="20"/>
                <w:szCs w:val="20"/>
                <w:color w:val="auto"/>
              </w:rPr>
            </w:pPr>
            <w:r>
              <w:rPr>
                <w:rFonts w:ascii="Arial" w:cs="Arial" w:eastAsia="Arial" w:hAnsi="Arial"/>
                <w:sz w:val="10"/>
                <w:szCs w:val="10"/>
                <w:color w:val="auto"/>
                <w:w w:val="92"/>
              </w:rPr>
              <w:t>Cash dividend on Class A and Class B common stock</w:t>
            </w:r>
          </w:p>
        </w:tc>
        <w:tc>
          <w:tcPr>
            <w:tcW w:w="6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4"/>
        </w:trPr>
        <w:tc>
          <w:tcPr>
            <w:tcW w:w="2240" w:type="dxa"/>
            <w:vAlign w:val="bottom"/>
          </w:tcPr>
          <w:p>
            <w:pPr>
              <w:ind w:left="20"/>
              <w:spacing w:after="0"/>
              <w:rPr>
                <w:sz w:val="20"/>
                <w:szCs w:val="20"/>
                <w:color w:val="auto"/>
              </w:rPr>
            </w:pPr>
            <w:r>
              <w:rPr>
                <w:rFonts w:ascii="Arial" w:cs="Arial" w:eastAsia="Arial" w:hAnsi="Arial"/>
                <w:sz w:val="10"/>
                <w:szCs w:val="10"/>
                <w:color w:val="auto"/>
              </w:rPr>
              <w:t>- $0.18 per share</w:t>
            </w:r>
          </w:p>
        </w:tc>
        <w:tc>
          <w:tcPr>
            <w:tcW w:w="760" w:type="dxa"/>
            <w:vAlign w:val="bottom"/>
            <w:gridSpan w:val="2"/>
          </w:tcPr>
          <w:p>
            <w:pPr>
              <w:ind w:left="540"/>
              <w:spacing w:after="0"/>
              <w:rPr>
                <w:sz w:val="20"/>
                <w:szCs w:val="20"/>
                <w:color w:val="auto"/>
              </w:rPr>
            </w:pPr>
            <w:r>
              <w:rPr>
                <w:rFonts w:ascii="Arial" w:cs="Arial" w:eastAsia="Arial" w:hAnsi="Arial"/>
                <w:sz w:val="10"/>
                <w:szCs w:val="10"/>
                <w:color w:val="auto"/>
              </w:rPr>
              <w:t>—</w:t>
            </w:r>
          </w:p>
        </w:tc>
        <w:tc>
          <w:tcPr>
            <w:tcW w:w="880" w:type="dxa"/>
            <w:vAlign w:val="bottom"/>
            <w:gridSpan w:val="2"/>
          </w:tcPr>
          <w:p>
            <w:pPr>
              <w:jc w:val="right"/>
              <w:ind w:right="140"/>
              <w:spacing w:after="0"/>
              <w:rPr>
                <w:sz w:val="20"/>
                <w:szCs w:val="20"/>
                <w:color w:val="auto"/>
              </w:rPr>
            </w:pPr>
            <w:r>
              <w:rPr>
                <w:rFonts w:ascii="Arial" w:cs="Arial" w:eastAsia="Arial" w:hAnsi="Arial"/>
                <w:sz w:val="10"/>
                <w:szCs w:val="10"/>
                <w:color w:val="auto"/>
              </w:rPr>
              <w:t>—</w:t>
            </w:r>
          </w:p>
        </w:tc>
        <w:tc>
          <w:tcPr>
            <w:tcW w:w="86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300" w:type="dxa"/>
            <w:vAlign w:val="bottom"/>
          </w:tcPr>
          <w:p>
            <w:pPr>
              <w:spacing w:after="0"/>
              <w:rPr>
                <w:sz w:val="11"/>
                <w:szCs w:val="11"/>
                <w:color w:val="auto"/>
              </w:rPr>
            </w:pPr>
          </w:p>
        </w:tc>
        <w:tc>
          <w:tcPr>
            <w:tcW w:w="460" w:type="dxa"/>
            <w:vAlign w:val="bottom"/>
            <w:gridSpan w:val="2"/>
          </w:tcPr>
          <w:p>
            <w:pPr>
              <w:ind w:left="240"/>
              <w:spacing w:after="0"/>
              <w:rPr>
                <w:sz w:val="20"/>
                <w:szCs w:val="20"/>
                <w:color w:val="auto"/>
              </w:rPr>
            </w:pPr>
            <w:r>
              <w:rPr>
                <w:rFonts w:ascii="Arial" w:cs="Arial" w:eastAsia="Arial" w:hAnsi="Arial"/>
                <w:sz w:val="10"/>
                <w:szCs w:val="10"/>
                <w:color w:val="auto"/>
              </w:rPr>
              <w:t>—</w:t>
            </w:r>
          </w:p>
        </w:tc>
        <w:tc>
          <w:tcPr>
            <w:tcW w:w="700" w:type="dxa"/>
            <w:vAlign w:val="bottom"/>
            <w:gridSpan w:val="2"/>
          </w:tcPr>
          <w:p>
            <w:pPr>
              <w:jc w:val="right"/>
              <w:ind w:right="140"/>
              <w:spacing w:after="0"/>
              <w:rPr>
                <w:sz w:val="20"/>
                <w:szCs w:val="20"/>
                <w:color w:val="auto"/>
              </w:rPr>
            </w:pPr>
            <w:r>
              <w:rPr>
                <w:rFonts w:ascii="Arial" w:cs="Arial" w:eastAsia="Arial" w:hAnsi="Arial"/>
                <w:sz w:val="10"/>
                <w:szCs w:val="10"/>
                <w:color w:val="auto"/>
              </w:rPr>
              <w:t>—</w:t>
            </w:r>
          </w:p>
        </w:tc>
        <w:tc>
          <w:tcPr>
            <w:tcW w:w="68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82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720" w:type="dxa"/>
            <w:vAlign w:val="bottom"/>
          </w:tcPr>
          <w:p>
            <w:pPr>
              <w:jc w:val="right"/>
              <w:spacing w:after="0"/>
              <w:rPr>
                <w:sz w:val="20"/>
                <w:szCs w:val="20"/>
                <w:color w:val="auto"/>
              </w:rPr>
            </w:pPr>
            <w:r>
              <w:rPr>
                <w:rFonts w:ascii="Arial" w:cs="Arial" w:eastAsia="Arial" w:hAnsi="Arial"/>
                <w:sz w:val="10"/>
                <w:szCs w:val="10"/>
                <w:color w:val="auto"/>
              </w:rPr>
              <w:t>(7,232)</w:t>
            </w:r>
          </w:p>
        </w:tc>
        <w:tc>
          <w:tcPr>
            <w:tcW w:w="80" w:type="dxa"/>
            <w:vAlign w:val="bottom"/>
          </w:tcPr>
          <w:p>
            <w:pPr>
              <w:spacing w:after="0"/>
              <w:rPr>
                <w:sz w:val="11"/>
                <w:szCs w:val="11"/>
                <w:color w:val="auto"/>
              </w:rPr>
            </w:pPr>
          </w:p>
        </w:tc>
        <w:tc>
          <w:tcPr>
            <w:tcW w:w="110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108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780" w:type="dxa"/>
            <w:vAlign w:val="bottom"/>
          </w:tcPr>
          <w:p>
            <w:pPr>
              <w:jc w:val="right"/>
              <w:spacing w:after="0"/>
              <w:rPr>
                <w:sz w:val="20"/>
                <w:szCs w:val="20"/>
                <w:color w:val="auto"/>
              </w:rPr>
            </w:pPr>
            <w:r>
              <w:rPr>
                <w:rFonts w:ascii="Arial" w:cs="Arial" w:eastAsia="Arial" w:hAnsi="Arial"/>
                <w:sz w:val="10"/>
                <w:szCs w:val="10"/>
                <w:color w:val="auto"/>
              </w:rPr>
              <w:t>(7,232)</w:t>
            </w:r>
          </w:p>
        </w:tc>
        <w:tc>
          <w:tcPr>
            <w:tcW w:w="0" w:type="dxa"/>
            <w:vAlign w:val="bottom"/>
          </w:tcPr>
          <w:p>
            <w:pPr>
              <w:spacing w:after="0"/>
              <w:rPr>
                <w:sz w:val="1"/>
                <w:szCs w:val="1"/>
                <w:color w:val="auto"/>
              </w:rPr>
            </w:pPr>
          </w:p>
        </w:tc>
      </w:tr>
      <w:tr>
        <w:trPr>
          <w:trHeight w:val="157"/>
        </w:trPr>
        <w:tc>
          <w:tcPr>
            <w:tcW w:w="2240" w:type="dxa"/>
            <w:vAlign w:val="bottom"/>
            <w:shd w:val="clear" w:color="auto" w:fill="CCEEFF"/>
          </w:tcPr>
          <w:p>
            <w:pPr>
              <w:ind w:left="20"/>
              <w:spacing w:after="0"/>
              <w:rPr>
                <w:sz w:val="20"/>
                <w:szCs w:val="20"/>
                <w:color w:val="auto"/>
              </w:rPr>
            </w:pPr>
            <w:r>
              <w:rPr>
                <w:rFonts w:ascii="Arial" w:cs="Arial" w:eastAsia="Arial" w:hAnsi="Arial"/>
                <w:sz w:val="10"/>
                <w:szCs w:val="10"/>
                <w:color w:val="auto"/>
              </w:rPr>
              <w:t>Issuance of common stock, net of forfeitures</w:t>
            </w:r>
          </w:p>
        </w:tc>
        <w:tc>
          <w:tcPr>
            <w:tcW w:w="760" w:type="dxa"/>
            <w:vAlign w:val="bottom"/>
            <w:gridSpan w:val="2"/>
            <w:shd w:val="clear" w:color="auto" w:fill="CCEEFF"/>
          </w:tcPr>
          <w:p>
            <w:pPr>
              <w:ind w:left="540"/>
              <w:spacing w:after="0"/>
              <w:rPr>
                <w:sz w:val="20"/>
                <w:szCs w:val="20"/>
                <w:color w:val="auto"/>
              </w:rPr>
            </w:pPr>
            <w:r>
              <w:rPr>
                <w:rFonts w:ascii="Arial" w:cs="Arial" w:eastAsia="Arial" w:hAnsi="Arial"/>
                <w:sz w:val="10"/>
                <w:szCs w:val="10"/>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0"/>
                <w:szCs w:val="10"/>
                <w:color w:val="auto"/>
              </w:rPr>
              <w:t>131,391</w:t>
            </w:r>
          </w:p>
        </w:tc>
        <w:tc>
          <w:tcPr>
            <w:tcW w:w="100" w:type="dxa"/>
            <w:vAlign w:val="bottom"/>
            <w:shd w:val="clear" w:color="auto" w:fill="CCEEFF"/>
          </w:tcPr>
          <w:p>
            <w:pPr>
              <w:spacing w:after="0"/>
              <w:rPr>
                <w:sz w:val="13"/>
                <w:szCs w:val="13"/>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0"/>
                <w:szCs w:val="10"/>
                <w:color w:val="auto"/>
              </w:rPr>
              <w:t>—</w:t>
            </w:r>
          </w:p>
        </w:tc>
        <w:tc>
          <w:tcPr>
            <w:tcW w:w="300" w:type="dxa"/>
            <w:vAlign w:val="bottom"/>
            <w:shd w:val="clear" w:color="auto" w:fill="CCEEFF"/>
          </w:tcPr>
          <w:p>
            <w:pPr>
              <w:spacing w:after="0"/>
              <w:rPr>
                <w:sz w:val="13"/>
                <w:szCs w:val="13"/>
                <w:color w:val="auto"/>
              </w:rPr>
            </w:pPr>
          </w:p>
        </w:tc>
        <w:tc>
          <w:tcPr>
            <w:tcW w:w="460" w:type="dxa"/>
            <w:vAlign w:val="bottom"/>
            <w:gridSpan w:val="2"/>
            <w:shd w:val="clear" w:color="auto" w:fill="CCEEFF"/>
          </w:tcPr>
          <w:p>
            <w:pPr>
              <w:ind w:left="240"/>
              <w:spacing w:after="0"/>
              <w:rPr>
                <w:sz w:val="20"/>
                <w:szCs w:val="20"/>
                <w:color w:val="auto"/>
              </w:rPr>
            </w:pPr>
            <w:r>
              <w:rPr>
                <w:rFonts w:ascii="Arial" w:cs="Arial" w:eastAsia="Arial" w:hAnsi="Arial"/>
                <w:sz w:val="10"/>
                <w:szCs w:val="10"/>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0"/>
                <w:szCs w:val="10"/>
                <w:color w:val="auto"/>
              </w:rPr>
              <w:t>1</w:t>
            </w:r>
          </w:p>
        </w:tc>
        <w:tc>
          <w:tcPr>
            <w:tcW w:w="100" w:type="dxa"/>
            <w:vAlign w:val="bottom"/>
            <w:shd w:val="clear" w:color="auto" w:fill="CCEEFF"/>
          </w:tcPr>
          <w:p>
            <w:pPr>
              <w:spacing w:after="0"/>
              <w:rPr>
                <w:sz w:val="13"/>
                <w:szCs w:val="13"/>
                <w:color w:val="auto"/>
              </w:rPr>
            </w:pPr>
          </w:p>
        </w:tc>
        <w:tc>
          <w:tcPr>
            <w:tcW w:w="680" w:type="dxa"/>
            <w:vAlign w:val="bottom"/>
            <w:gridSpan w:val="2"/>
            <w:shd w:val="clear" w:color="auto" w:fill="CCEEFF"/>
          </w:tcPr>
          <w:p>
            <w:pPr>
              <w:jc w:val="right"/>
              <w:ind w:right="120"/>
              <w:spacing w:after="0"/>
              <w:rPr>
                <w:sz w:val="20"/>
                <w:szCs w:val="20"/>
                <w:color w:val="auto"/>
              </w:rPr>
            </w:pPr>
            <w:r>
              <w:rPr>
                <w:rFonts w:ascii="Arial" w:cs="Arial" w:eastAsia="Arial" w:hAnsi="Arial"/>
                <w:sz w:val="10"/>
                <w:szCs w:val="10"/>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0"/>
                <w:szCs w:val="10"/>
                <w:color w:val="auto"/>
              </w:rPr>
              <w:t>2,493</w:t>
            </w:r>
          </w:p>
        </w:tc>
        <w:tc>
          <w:tcPr>
            <w:tcW w:w="80" w:type="dxa"/>
            <w:vAlign w:val="bottom"/>
            <w:shd w:val="clear" w:color="auto" w:fill="CCEEFF"/>
          </w:tcPr>
          <w:p>
            <w:pPr>
              <w:spacing w:after="0"/>
              <w:rPr>
                <w:sz w:val="13"/>
                <w:szCs w:val="13"/>
                <w:color w:val="auto"/>
              </w:rPr>
            </w:pPr>
          </w:p>
        </w:tc>
        <w:tc>
          <w:tcPr>
            <w:tcW w:w="800" w:type="dxa"/>
            <w:vAlign w:val="bottom"/>
            <w:gridSpan w:val="2"/>
            <w:shd w:val="clear" w:color="auto" w:fill="CCEEFF"/>
          </w:tcPr>
          <w:p>
            <w:pPr>
              <w:jc w:val="right"/>
              <w:ind w:right="120"/>
              <w:spacing w:after="0"/>
              <w:rPr>
                <w:sz w:val="20"/>
                <w:szCs w:val="20"/>
                <w:color w:val="auto"/>
              </w:rPr>
            </w:pPr>
            <w:r>
              <w:rPr>
                <w:rFonts w:ascii="Arial" w:cs="Arial" w:eastAsia="Arial" w:hAnsi="Arial"/>
                <w:sz w:val="10"/>
                <w:szCs w:val="10"/>
                <w:color w:val="auto"/>
              </w:rPr>
              <w:t>—</w:t>
            </w:r>
          </w:p>
        </w:tc>
        <w:tc>
          <w:tcPr>
            <w:tcW w:w="1100" w:type="dxa"/>
            <w:vAlign w:val="bottom"/>
            <w:gridSpan w:val="2"/>
            <w:shd w:val="clear" w:color="auto" w:fill="CCEEFF"/>
          </w:tcPr>
          <w:p>
            <w:pPr>
              <w:jc w:val="right"/>
              <w:ind w:right="120"/>
              <w:spacing w:after="0"/>
              <w:rPr>
                <w:sz w:val="20"/>
                <w:szCs w:val="20"/>
                <w:color w:val="auto"/>
              </w:rPr>
            </w:pPr>
            <w:r>
              <w:rPr>
                <w:rFonts w:ascii="Arial" w:cs="Arial" w:eastAsia="Arial" w:hAnsi="Arial"/>
                <w:sz w:val="10"/>
                <w:szCs w:val="10"/>
                <w:color w:val="auto"/>
              </w:rPr>
              <w:t>—</w:t>
            </w:r>
          </w:p>
        </w:tc>
        <w:tc>
          <w:tcPr>
            <w:tcW w:w="1080" w:type="dxa"/>
            <w:vAlign w:val="bottom"/>
            <w:gridSpan w:val="2"/>
            <w:shd w:val="clear" w:color="auto" w:fill="CCEEFF"/>
          </w:tcPr>
          <w:p>
            <w:pPr>
              <w:jc w:val="right"/>
              <w:ind w:right="120"/>
              <w:spacing w:after="0"/>
              <w:rPr>
                <w:sz w:val="20"/>
                <w:szCs w:val="20"/>
                <w:color w:val="auto"/>
              </w:rPr>
            </w:pPr>
            <w:r>
              <w:rPr>
                <w:rFonts w:ascii="Arial" w:cs="Arial" w:eastAsia="Arial" w:hAnsi="Arial"/>
                <w:sz w:val="10"/>
                <w:szCs w:val="10"/>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0"/>
                <w:szCs w:val="10"/>
                <w:color w:val="auto"/>
              </w:rPr>
              <w:t>2,494</w:t>
            </w:r>
          </w:p>
        </w:tc>
        <w:tc>
          <w:tcPr>
            <w:tcW w:w="0" w:type="dxa"/>
            <w:vAlign w:val="bottom"/>
          </w:tcPr>
          <w:p>
            <w:pPr>
              <w:spacing w:after="0"/>
              <w:rPr>
                <w:sz w:val="1"/>
                <w:szCs w:val="1"/>
                <w:color w:val="auto"/>
              </w:rPr>
            </w:pPr>
          </w:p>
        </w:tc>
      </w:tr>
      <w:tr>
        <w:trPr>
          <w:trHeight w:val="144"/>
        </w:trPr>
        <w:tc>
          <w:tcPr>
            <w:tcW w:w="2240" w:type="dxa"/>
            <w:vAlign w:val="bottom"/>
          </w:tcPr>
          <w:p>
            <w:pPr>
              <w:ind w:left="20"/>
              <w:spacing w:after="0"/>
              <w:rPr>
                <w:sz w:val="20"/>
                <w:szCs w:val="20"/>
                <w:color w:val="auto"/>
              </w:rPr>
            </w:pPr>
            <w:r>
              <w:rPr>
                <w:rFonts w:ascii="Arial" w:cs="Arial" w:eastAsia="Arial" w:hAnsi="Arial"/>
                <w:sz w:val="10"/>
                <w:szCs w:val="10"/>
                <w:color w:val="auto"/>
              </w:rPr>
              <w:t>Compensation expense for stock based awards</w:t>
            </w:r>
          </w:p>
        </w:tc>
        <w:tc>
          <w:tcPr>
            <w:tcW w:w="760" w:type="dxa"/>
            <w:vAlign w:val="bottom"/>
            <w:gridSpan w:val="2"/>
          </w:tcPr>
          <w:p>
            <w:pPr>
              <w:ind w:left="540"/>
              <w:spacing w:after="0"/>
              <w:rPr>
                <w:sz w:val="20"/>
                <w:szCs w:val="20"/>
                <w:color w:val="auto"/>
              </w:rPr>
            </w:pPr>
            <w:r>
              <w:rPr>
                <w:rFonts w:ascii="Arial" w:cs="Arial" w:eastAsia="Arial" w:hAnsi="Arial"/>
                <w:sz w:val="10"/>
                <w:szCs w:val="10"/>
                <w:color w:val="auto"/>
              </w:rPr>
              <w:t>—</w:t>
            </w:r>
          </w:p>
        </w:tc>
        <w:tc>
          <w:tcPr>
            <w:tcW w:w="880" w:type="dxa"/>
            <w:vAlign w:val="bottom"/>
            <w:gridSpan w:val="2"/>
          </w:tcPr>
          <w:p>
            <w:pPr>
              <w:jc w:val="right"/>
              <w:ind w:right="140"/>
              <w:spacing w:after="0"/>
              <w:rPr>
                <w:sz w:val="20"/>
                <w:szCs w:val="20"/>
                <w:color w:val="auto"/>
              </w:rPr>
            </w:pPr>
            <w:r>
              <w:rPr>
                <w:rFonts w:ascii="Arial" w:cs="Arial" w:eastAsia="Arial" w:hAnsi="Arial"/>
                <w:sz w:val="10"/>
                <w:szCs w:val="10"/>
                <w:color w:val="auto"/>
              </w:rPr>
              <w:t>—</w:t>
            </w:r>
          </w:p>
        </w:tc>
        <w:tc>
          <w:tcPr>
            <w:tcW w:w="86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300" w:type="dxa"/>
            <w:vAlign w:val="bottom"/>
          </w:tcPr>
          <w:p>
            <w:pPr>
              <w:spacing w:after="0"/>
              <w:rPr>
                <w:sz w:val="12"/>
                <w:szCs w:val="12"/>
                <w:color w:val="auto"/>
              </w:rPr>
            </w:pPr>
          </w:p>
        </w:tc>
        <w:tc>
          <w:tcPr>
            <w:tcW w:w="460" w:type="dxa"/>
            <w:vAlign w:val="bottom"/>
            <w:gridSpan w:val="2"/>
          </w:tcPr>
          <w:p>
            <w:pPr>
              <w:ind w:left="240"/>
              <w:spacing w:after="0"/>
              <w:rPr>
                <w:sz w:val="20"/>
                <w:szCs w:val="20"/>
                <w:color w:val="auto"/>
              </w:rPr>
            </w:pPr>
            <w:r>
              <w:rPr>
                <w:rFonts w:ascii="Arial" w:cs="Arial" w:eastAsia="Arial" w:hAnsi="Arial"/>
                <w:sz w:val="10"/>
                <w:szCs w:val="10"/>
                <w:color w:val="auto"/>
              </w:rPr>
              <w:t>—</w:t>
            </w:r>
          </w:p>
        </w:tc>
        <w:tc>
          <w:tcPr>
            <w:tcW w:w="700" w:type="dxa"/>
            <w:vAlign w:val="bottom"/>
            <w:gridSpan w:val="2"/>
          </w:tcPr>
          <w:p>
            <w:pPr>
              <w:jc w:val="right"/>
              <w:ind w:right="140"/>
              <w:spacing w:after="0"/>
              <w:rPr>
                <w:sz w:val="20"/>
                <w:szCs w:val="20"/>
                <w:color w:val="auto"/>
              </w:rPr>
            </w:pPr>
            <w:r>
              <w:rPr>
                <w:rFonts w:ascii="Arial" w:cs="Arial" w:eastAsia="Arial" w:hAnsi="Arial"/>
                <w:sz w:val="10"/>
                <w:szCs w:val="10"/>
                <w:color w:val="auto"/>
              </w:rPr>
              <w:t>—</w:t>
            </w:r>
          </w:p>
        </w:tc>
        <w:tc>
          <w:tcPr>
            <w:tcW w:w="68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740" w:type="dxa"/>
            <w:vAlign w:val="bottom"/>
          </w:tcPr>
          <w:p>
            <w:pPr>
              <w:jc w:val="right"/>
              <w:spacing w:after="0"/>
              <w:rPr>
                <w:sz w:val="20"/>
                <w:szCs w:val="20"/>
                <w:color w:val="auto"/>
              </w:rPr>
            </w:pPr>
            <w:r>
              <w:rPr>
                <w:rFonts w:ascii="Arial" w:cs="Arial" w:eastAsia="Arial" w:hAnsi="Arial"/>
                <w:sz w:val="10"/>
                <w:szCs w:val="10"/>
                <w:color w:val="auto"/>
              </w:rPr>
              <w:t>1,368</w:t>
            </w:r>
          </w:p>
        </w:tc>
        <w:tc>
          <w:tcPr>
            <w:tcW w:w="80" w:type="dxa"/>
            <w:vAlign w:val="bottom"/>
          </w:tcPr>
          <w:p>
            <w:pPr>
              <w:spacing w:after="0"/>
              <w:rPr>
                <w:sz w:val="12"/>
                <w:szCs w:val="12"/>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110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108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780" w:type="dxa"/>
            <w:vAlign w:val="bottom"/>
          </w:tcPr>
          <w:p>
            <w:pPr>
              <w:jc w:val="right"/>
              <w:spacing w:after="0"/>
              <w:rPr>
                <w:sz w:val="20"/>
                <w:szCs w:val="20"/>
                <w:color w:val="auto"/>
              </w:rPr>
            </w:pPr>
            <w:r>
              <w:rPr>
                <w:rFonts w:ascii="Arial" w:cs="Arial" w:eastAsia="Arial" w:hAnsi="Arial"/>
                <w:sz w:val="10"/>
                <w:szCs w:val="10"/>
                <w:color w:val="auto"/>
              </w:rPr>
              <w:t>1,368</w:t>
            </w:r>
          </w:p>
        </w:tc>
        <w:tc>
          <w:tcPr>
            <w:tcW w:w="0" w:type="dxa"/>
            <w:vAlign w:val="bottom"/>
          </w:tcPr>
          <w:p>
            <w:pPr>
              <w:spacing w:after="0"/>
              <w:rPr>
                <w:sz w:val="1"/>
                <w:szCs w:val="1"/>
                <w:color w:val="auto"/>
              </w:rPr>
            </w:pPr>
          </w:p>
        </w:tc>
      </w:tr>
      <w:tr>
        <w:trPr>
          <w:trHeight w:val="157"/>
        </w:trPr>
        <w:tc>
          <w:tcPr>
            <w:tcW w:w="2240" w:type="dxa"/>
            <w:vAlign w:val="bottom"/>
            <w:shd w:val="clear" w:color="auto" w:fill="CCEEFF"/>
          </w:tcPr>
          <w:p>
            <w:pPr>
              <w:ind w:left="20"/>
              <w:spacing w:after="0"/>
              <w:rPr>
                <w:sz w:val="20"/>
                <w:szCs w:val="20"/>
                <w:color w:val="auto"/>
              </w:rPr>
            </w:pPr>
            <w:r>
              <w:rPr>
                <w:rFonts w:ascii="Arial" w:cs="Arial" w:eastAsia="Arial" w:hAnsi="Arial"/>
                <w:sz w:val="10"/>
                <w:szCs w:val="10"/>
                <w:color w:val="auto"/>
              </w:rPr>
              <w:t>Repurchase of common stock</w:t>
            </w:r>
          </w:p>
        </w:tc>
        <w:tc>
          <w:tcPr>
            <w:tcW w:w="760" w:type="dxa"/>
            <w:vAlign w:val="bottom"/>
            <w:gridSpan w:val="2"/>
            <w:shd w:val="clear" w:color="auto" w:fill="CCEEFF"/>
          </w:tcPr>
          <w:p>
            <w:pPr>
              <w:ind w:left="540"/>
              <w:spacing w:after="0"/>
              <w:rPr>
                <w:sz w:val="20"/>
                <w:szCs w:val="20"/>
                <w:color w:val="auto"/>
              </w:rPr>
            </w:pPr>
            <w:r>
              <w:rPr>
                <w:rFonts w:ascii="Arial" w:cs="Arial" w:eastAsia="Arial" w:hAnsi="Arial"/>
                <w:sz w:val="10"/>
                <w:szCs w:val="10"/>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0"/>
                <w:szCs w:val="10"/>
                <w:color w:val="auto"/>
              </w:rPr>
              <w:t>(301,327)</w:t>
            </w:r>
          </w:p>
        </w:tc>
        <w:tc>
          <w:tcPr>
            <w:tcW w:w="100" w:type="dxa"/>
            <w:vAlign w:val="bottom"/>
            <w:shd w:val="clear" w:color="auto" w:fill="CCEEFF"/>
          </w:tcPr>
          <w:p>
            <w:pPr>
              <w:spacing w:after="0"/>
              <w:rPr>
                <w:sz w:val="13"/>
                <w:szCs w:val="13"/>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0"/>
                <w:szCs w:val="10"/>
                <w:color w:val="auto"/>
              </w:rPr>
              <w:t>—</w:t>
            </w:r>
          </w:p>
        </w:tc>
        <w:tc>
          <w:tcPr>
            <w:tcW w:w="300" w:type="dxa"/>
            <w:vAlign w:val="bottom"/>
            <w:shd w:val="clear" w:color="auto" w:fill="CCEEFF"/>
          </w:tcPr>
          <w:p>
            <w:pPr>
              <w:spacing w:after="0"/>
              <w:rPr>
                <w:sz w:val="13"/>
                <w:szCs w:val="13"/>
                <w:color w:val="auto"/>
              </w:rPr>
            </w:pPr>
          </w:p>
        </w:tc>
        <w:tc>
          <w:tcPr>
            <w:tcW w:w="460" w:type="dxa"/>
            <w:vAlign w:val="bottom"/>
            <w:gridSpan w:val="2"/>
            <w:shd w:val="clear" w:color="auto" w:fill="CCEEFF"/>
          </w:tcPr>
          <w:p>
            <w:pPr>
              <w:ind w:left="240"/>
              <w:spacing w:after="0"/>
              <w:rPr>
                <w:sz w:val="20"/>
                <w:szCs w:val="20"/>
                <w:color w:val="auto"/>
              </w:rPr>
            </w:pPr>
            <w:r>
              <w:rPr>
                <w:rFonts w:ascii="Arial" w:cs="Arial" w:eastAsia="Arial" w:hAnsi="Arial"/>
                <w:sz w:val="10"/>
                <w:szCs w:val="10"/>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0"/>
                <w:szCs w:val="10"/>
                <w:color w:val="auto"/>
              </w:rPr>
              <w:t>(3)</w:t>
            </w:r>
          </w:p>
        </w:tc>
        <w:tc>
          <w:tcPr>
            <w:tcW w:w="100" w:type="dxa"/>
            <w:vAlign w:val="bottom"/>
            <w:shd w:val="clear" w:color="auto" w:fill="CCEEFF"/>
          </w:tcPr>
          <w:p>
            <w:pPr>
              <w:spacing w:after="0"/>
              <w:rPr>
                <w:sz w:val="13"/>
                <w:szCs w:val="13"/>
                <w:color w:val="auto"/>
              </w:rPr>
            </w:pPr>
          </w:p>
        </w:tc>
        <w:tc>
          <w:tcPr>
            <w:tcW w:w="680" w:type="dxa"/>
            <w:vAlign w:val="bottom"/>
            <w:gridSpan w:val="2"/>
            <w:shd w:val="clear" w:color="auto" w:fill="CCEEFF"/>
          </w:tcPr>
          <w:p>
            <w:pPr>
              <w:jc w:val="right"/>
              <w:ind w:right="120"/>
              <w:spacing w:after="0"/>
              <w:rPr>
                <w:sz w:val="20"/>
                <w:szCs w:val="20"/>
                <w:color w:val="auto"/>
              </w:rPr>
            </w:pPr>
            <w:r>
              <w:rPr>
                <w:rFonts w:ascii="Arial" w:cs="Arial" w:eastAsia="Arial" w:hAnsi="Arial"/>
                <w:sz w:val="10"/>
                <w:szCs w:val="10"/>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0"/>
                <w:szCs w:val="10"/>
                <w:color w:val="auto"/>
              </w:rPr>
              <w:t>(3,847)</w:t>
            </w:r>
          </w:p>
        </w:tc>
        <w:tc>
          <w:tcPr>
            <w:tcW w:w="80" w:type="dxa"/>
            <w:vAlign w:val="bottom"/>
            <w:shd w:val="clear" w:color="auto" w:fill="CCEEFF"/>
          </w:tcPr>
          <w:p>
            <w:pPr>
              <w:spacing w:after="0"/>
              <w:rPr>
                <w:sz w:val="13"/>
                <w:szCs w:val="13"/>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0"/>
                <w:szCs w:val="10"/>
                <w:color w:val="auto"/>
              </w:rPr>
              <w:t>(12,508)</w:t>
            </w:r>
          </w:p>
        </w:tc>
        <w:tc>
          <w:tcPr>
            <w:tcW w:w="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120"/>
              <w:spacing w:after="0"/>
              <w:rPr>
                <w:sz w:val="20"/>
                <w:szCs w:val="20"/>
                <w:color w:val="auto"/>
              </w:rPr>
            </w:pPr>
            <w:r>
              <w:rPr>
                <w:rFonts w:ascii="Arial" w:cs="Arial" w:eastAsia="Arial" w:hAnsi="Arial"/>
                <w:sz w:val="10"/>
                <w:szCs w:val="10"/>
                <w:color w:val="auto"/>
              </w:rPr>
              <w:t>—</w:t>
            </w:r>
          </w:p>
        </w:tc>
        <w:tc>
          <w:tcPr>
            <w:tcW w:w="1080" w:type="dxa"/>
            <w:vAlign w:val="bottom"/>
            <w:gridSpan w:val="2"/>
            <w:shd w:val="clear" w:color="auto" w:fill="CCEEFF"/>
          </w:tcPr>
          <w:p>
            <w:pPr>
              <w:jc w:val="right"/>
              <w:ind w:right="120"/>
              <w:spacing w:after="0"/>
              <w:rPr>
                <w:sz w:val="20"/>
                <w:szCs w:val="20"/>
                <w:color w:val="auto"/>
              </w:rPr>
            </w:pPr>
            <w:r>
              <w:rPr>
                <w:rFonts w:ascii="Arial" w:cs="Arial" w:eastAsia="Arial" w:hAnsi="Arial"/>
                <w:sz w:val="10"/>
                <w:szCs w:val="10"/>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0"/>
                <w:szCs w:val="10"/>
                <w:color w:val="auto"/>
              </w:rPr>
              <w:t>(16,358)</w:t>
            </w:r>
          </w:p>
        </w:tc>
        <w:tc>
          <w:tcPr>
            <w:tcW w:w="0" w:type="dxa"/>
            <w:vAlign w:val="bottom"/>
          </w:tcPr>
          <w:p>
            <w:pPr>
              <w:spacing w:after="0"/>
              <w:rPr>
                <w:sz w:val="1"/>
                <w:szCs w:val="1"/>
                <w:color w:val="auto"/>
              </w:rPr>
            </w:pPr>
          </w:p>
        </w:tc>
      </w:tr>
      <w:tr>
        <w:trPr>
          <w:trHeight w:val="144"/>
        </w:trPr>
        <w:tc>
          <w:tcPr>
            <w:tcW w:w="2240" w:type="dxa"/>
            <w:vAlign w:val="bottom"/>
            <w:tcBorders>
              <w:bottom w:val="single" w:sz="8" w:color="CCEEFF"/>
            </w:tcBorders>
          </w:tcPr>
          <w:p>
            <w:pPr>
              <w:ind w:left="20"/>
              <w:spacing w:after="0"/>
              <w:rPr>
                <w:sz w:val="20"/>
                <w:szCs w:val="20"/>
                <w:color w:val="auto"/>
              </w:rPr>
            </w:pPr>
            <w:r>
              <w:rPr>
                <w:rFonts w:ascii="Arial" w:cs="Arial" w:eastAsia="Arial" w:hAnsi="Arial"/>
                <w:sz w:val="10"/>
                <w:szCs w:val="10"/>
                <w:color w:val="auto"/>
              </w:rPr>
              <w:t>Impact of adoption of new accounting standard</w:t>
            </w:r>
          </w:p>
        </w:tc>
        <w:tc>
          <w:tcPr>
            <w:tcW w:w="680" w:type="dxa"/>
            <w:vAlign w:val="bottom"/>
            <w:tcBorders>
              <w:bottom w:val="single" w:sz="8" w:color="auto"/>
            </w:tcBorders>
          </w:tcPr>
          <w:p>
            <w:pPr>
              <w:ind w:left="540"/>
              <w:spacing w:after="0"/>
              <w:rPr>
                <w:sz w:val="20"/>
                <w:szCs w:val="20"/>
                <w:color w:val="auto"/>
              </w:rPr>
            </w:pPr>
            <w:r>
              <w:rPr>
                <w:rFonts w:ascii="Arial" w:cs="Arial" w:eastAsia="Arial" w:hAnsi="Arial"/>
                <w:sz w:val="10"/>
                <w:szCs w:val="10"/>
                <w:color w:val="auto"/>
              </w:rPr>
              <w:t>—</w:t>
            </w:r>
          </w:p>
        </w:tc>
        <w:tc>
          <w:tcPr>
            <w:tcW w:w="80" w:type="dxa"/>
            <w:vAlign w:val="bottom"/>
            <w:tcBorders>
              <w:bottom w:val="single" w:sz="8" w:color="CCEEFF"/>
            </w:tcBorders>
          </w:tcPr>
          <w:p>
            <w:pPr>
              <w:spacing w:after="0"/>
              <w:rPr>
                <w:sz w:val="12"/>
                <w:szCs w:val="12"/>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w:t>
            </w:r>
          </w:p>
        </w:tc>
        <w:tc>
          <w:tcPr>
            <w:tcW w:w="100" w:type="dxa"/>
            <w:vAlign w:val="bottom"/>
            <w:tcBorders>
              <w:bottom w:val="single" w:sz="8" w:color="CCEEFF"/>
            </w:tcBorders>
          </w:tcPr>
          <w:p>
            <w:pPr>
              <w:spacing w:after="0"/>
              <w:rPr>
                <w:sz w:val="12"/>
                <w:szCs w:val="12"/>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w:t>
            </w:r>
          </w:p>
        </w:tc>
        <w:tc>
          <w:tcPr>
            <w:tcW w:w="80" w:type="dxa"/>
            <w:vAlign w:val="bottom"/>
            <w:tcBorders>
              <w:bottom w:val="single" w:sz="8" w:color="CCEEFF"/>
            </w:tcBorders>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380" w:type="dxa"/>
            <w:vAlign w:val="bottom"/>
            <w:tcBorders>
              <w:bottom w:val="single" w:sz="8" w:color="auto"/>
            </w:tcBorders>
          </w:tcPr>
          <w:p>
            <w:pPr>
              <w:ind w:left="240"/>
              <w:spacing w:after="0"/>
              <w:rPr>
                <w:sz w:val="20"/>
                <w:szCs w:val="20"/>
                <w:color w:val="auto"/>
              </w:rPr>
            </w:pPr>
            <w:r>
              <w:rPr>
                <w:rFonts w:ascii="Arial" w:cs="Arial" w:eastAsia="Arial" w:hAnsi="Arial"/>
                <w:sz w:val="10"/>
                <w:szCs w:val="10"/>
                <w:color w:val="auto"/>
              </w:rPr>
              <w:t>—</w:t>
            </w:r>
          </w:p>
        </w:tc>
        <w:tc>
          <w:tcPr>
            <w:tcW w:w="80" w:type="dxa"/>
            <w:vAlign w:val="bottom"/>
            <w:tcBorders>
              <w:bottom w:val="single" w:sz="8" w:color="CCEEFF"/>
            </w:tcBorders>
          </w:tcPr>
          <w:p>
            <w:pPr>
              <w:spacing w:after="0"/>
              <w:rPr>
                <w:sz w:val="12"/>
                <w:szCs w:val="12"/>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w:t>
            </w:r>
          </w:p>
        </w:tc>
        <w:tc>
          <w:tcPr>
            <w:tcW w:w="100" w:type="dxa"/>
            <w:vAlign w:val="bottom"/>
            <w:tcBorders>
              <w:bottom w:val="single" w:sz="8" w:color="CCEEFF"/>
            </w:tcBorders>
          </w:tcPr>
          <w:p>
            <w:pPr>
              <w:spacing w:after="0"/>
              <w:rPr>
                <w:sz w:val="12"/>
                <w:szCs w:val="12"/>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w:t>
            </w:r>
          </w:p>
        </w:tc>
        <w:tc>
          <w:tcPr>
            <w:tcW w:w="80" w:type="dxa"/>
            <w:vAlign w:val="bottom"/>
            <w:tcBorders>
              <w:bottom w:val="single" w:sz="8" w:color="CCEEFF"/>
            </w:tcBorders>
          </w:tcPr>
          <w:p>
            <w:pPr>
              <w:spacing w:after="0"/>
              <w:rPr>
                <w:sz w:val="12"/>
                <w:szCs w:val="12"/>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w:t>
            </w:r>
          </w:p>
        </w:tc>
        <w:tc>
          <w:tcPr>
            <w:tcW w:w="80" w:type="dxa"/>
            <w:vAlign w:val="bottom"/>
            <w:tcBorders>
              <w:bottom w:val="single" w:sz="8" w:color="CCEEFF"/>
            </w:tcBorders>
          </w:tcPr>
          <w:p>
            <w:pPr>
              <w:spacing w:after="0"/>
              <w:rPr>
                <w:sz w:val="12"/>
                <w:szCs w:val="12"/>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w:t>
            </w:r>
          </w:p>
        </w:tc>
        <w:tc>
          <w:tcPr>
            <w:tcW w:w="80" w:type="dxa"/>
            <w:vAlign w:val="bottom"/>
            <w:tcBorders>
              <w:bottom w:val="single" w:sz="8" w:color="CCEEFF"/>
            </w:tcBorders>
          </w:tcPr>
          <w:p>
            <w:pPr>
              <w:spacing w:after="0"/>
              <w:rPr>
                <w:sz w:val="12"/>
                <w:szCs w:val="12"/>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w:t>
            </w:r>
          </w:p>
        </w:tc>
        <w:tc>
          <w:tcPr>
            <w:tcW w:w="80" w:type="dxa"/>
            <w:vAlign w:val="bottom"/>
            <w:tcBorders>
              <w:bottom w:val="single" w:sz="8" w:color="CCEEFF"/>
            </w:tcBorders>
          </w:tcPr>
          <w:p>
            <w:pPr>
              <w:spacing w:after="0"/>
              <w:rPr>
                <w:sz w:val="12"/>
                <w:szCs w:val="12"/>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(6,077)</w:t>
            </w:r>
          </w:p>
        </w:tc>
        <w:tc>
          <w:tcPr>
            <w:tcW w:w="80" w:type="dxa"/>
            <w:vAlign w:val="bottom"/>
            <w:tcBorders>
              <w:bottom w:val="single" w:sz="8" w:color="CCEEFF"/>
            </w:tcBorders>
          </w:tcPr>
          <w:p>
            <w:pPr>
              <w:spacing w:after="0"/>
              <w:rPr>
                <w:sz w:val="12"/>
                <w:szCs w:val="12"/>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(6,077)</w:t>
            </w:r>
          </w:p>
        </w:tc>
        <w:tc>
          <w:tcPr>
            <w:tcW w:w="0" w:type="dxa"/>
            <w:vAlign w:val="bottom"/>
          </w:tcPr>
          <w:p>
            <w:pPr>
              <w:spacing w:after="0"/>
              <w:rPr>
                <w:sz w:val="1"/>
                <w:szCs w:val="1"/>
                <w:color w:val="auto"/>
              </w:rPr>
            </w:pPr>
          </w:p>
        </w:tc>
      </w:tr>
      <w:tr>
        <w:trPr>
          <w:trHeight w:val="148"/>
        </w:trPr>
        <w:tc>
          <w:tcPr>
            <w:tcW w:w="2240" w:type="dxa"/>
            <w:vAlign w:val="bottom"/>
            <w:shd w:val="clear" w:color="auto" w:fill="CCEEFF"/>
          </w:tcPr>
          <w:p>
            <w:pPr>
              <w:ind w:left="20"/>
              <w:spacing w:after="0"/>
              <w:rPr>
                <w:sz w:val="20"/>
                <w:szCs w:val="20"/>
                <w:color w:val="auto"/>
              </w:rPr>
            </w:pPr>
            <w:r>
              <w:rPr>
                <w:rFonts w:ascii="Arial" w:cs="Arial" w:eastAsia="Arial" w:hAnsi="Arial"/>
                <w:sz w:val="10"/>
                <w:szCs w:val="10"/>
                <w:color w:val="auto"/>
              </w:rPr>
              <w:t>Balance as of March 31, 2019</w:t>
            </w:r>
          </w:p>
        </w:tc>
        <w:tc>
          <w:tcPr>
            <w:tcW w:w="760" w:type="dxa"/>
            <w:vAlign w:val="bottom"/>
            <w:gridSpan w:val="2"/>
            <w:shd w:val="clear" w:color="auto" w:fill="CCEEFF"/>
          </w:tcPr>
          <w:p>
            <w:pPr>
              <w:ind w:left="540"/>
              <w:spacing w:after="0"/>
              <w:rPr>
                <w:sz w:val="20"/>
                <w:szCs w:val="20"/>
                <w:color w:val="auto"/>
              </w:rPr>
            </w:pPr>
            <w:r>
              <w:rPr>
                <w:rFonts w:ascii="Arial" w:cs="Arial" w:eastAsia="Arial" w:hAnsi="Arial"/>
                <w:sz w:val="10"/>
                <w:szCs w:val="10"/>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0"/>
                <w:szCs w:val="10"/>
                <w:color w:val="auto"/>
              </w:rPr>
              <w:t>28,628,528</w:t>
            </w:r>
          </w:p>
        </w:tc>
        <w:tc>
          <w:tcPr>
            <w:tcW w:w="10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0"/>
                <w:szCs w:val="10"/>
                <w:color w:val="auto"/>
              </w:rPr>
              <w:t>11,459,641</w:t>
            </w:r>
          </w:p>
        </w:tc>
        <w:tc>
          <w:tcPr>
            <w:tcW w:w="80" w:type="dxa"/>
            <w:vAlign w:val="bottom"/>
            <w:shd w:val="clear" w:color="auto" w:fill="CCEEFF"/>
          </w:tcPr>
          <w:p>
            <w:pPr>
              <w:spacing w:after="0"/>
              <w:rPr>
                <w:sz w:val="12"/>
                <w:szCs w:val="12"/>
                <w:color w:val="auto"/>
              </w:rPr>
            </w:pPr>
          </w:p>
        </w:tc>
        <w:tc>
          <w:tcPr>
            <w:tcW w:w="300" w:type="dxa"/>
            <w:vAlign w:val="bottom"/>
            <w:shd w:val="clear" w:color="auto" w:fill="CCEEFF"/>
          </w:tcPr>
          <w:p>
            <w:pPr>
              <w:jc w:val="right"/>
              <w:ind w:right="171"/>
              <w:spacing w:after="0"/>
              <w:rPr>
                <w:sz w:val="20"/>
                <w:szCs w:val="20"/>
                <w:color w:val="auto"/>
              </w:rPr>
            </w:pPr>
            <w:r>
              <w:rPr>
                <w:rFonts w:ascii="Arial" w:cs="Arial" w:eastAsia="Arial" w:hAnsi="Arial"/>
                <w:sz w:val="10"/>
                <w:szCs w:val="10"/>
                <w:color w:val="auto"/>
              </w:rPr>
              <w:t>$</w:t>
            </w:r>
          </w:p>
        </w:tc>
        <w:tc>
          <w:tcPr>
            <w:tcW w:w="460" w:type="dxa"/>
            <w:vAlign w:val="bottom"/>
            <w:gridSpan w:val="2"/>
            <w:shd w:val="clear" w:color="auto" w:fill="CCEEFF"/>
          </w:tcPr>
          <w:p>
            <w:pPr>
              <w:ind w:left="240"/>
              <w:spacing w:after="0"/>
              <w:rPr>
                <w:sz w:val="20"/>
                <w:szCs w:val="20"/>
                <w:color w:val="auto"/>
              </w:rPr>
            </w:pPr>
            <w:r>
              <w:rPr>
                <w:rFonts w:ascii="Arial" w:cs="Arial" w:eastAsia="Arial" w:hAnsi="Arial"/>
                <w:sz w:val="10"/>
                <w:szCs w:val="10"/>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0"/>
                <w:szCs w:val="10"/>
                <w:color w:val="auto"/>
              </w:rPr>
              <w:t>286</w:t>
            </w: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0"/>
                <w:szCs w:val="10"/>
                <w:color w:val="auto"/>
              </w:rPr>
              <w:t>115</w:t>
            </w:r>
          </w:p>
        </w:tc>
        <w:tc>
          <w:tcPr>
            <w:tcW w:w="80" w:type="dxa"/>
            <w:vAlign w:val="bottom"/>
            <w:shd w:val="clear" w:color="auto" w:fill="CCEEFF"/>
          </w:tcPr>
          <w:p>
            <w:pPr>
              <w:spacing w:after="0"/>
              <w:rPr>
                <w:sz w:val="12"/>
                <w:szCs w:val="12"/>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0"/>
                <w:szCs w:val="10"/>
                <w:color w:val="auto"/>
              </w:rPr>
              <w:t>636</w:t>
            </w:r>
          </w:p>
        </w:tc>
        <w:tc>
          <w:tcPr>
            <w:tcW w:w="80" w:type="dxa"/>
            <w:vAlign w:val="bottom"/>
            <w:shd w:val="clear" w:color="auto" w:fill="CCEEFF"/>
          </w:tcPr>
          <w:p>
            <w:pPr>
              <w:spacing w:after="0"/>
              <w:rPr>
                <w:sz w:val="12"/>
                <w:szCs w:val="12"/>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0"/>
                <w:szCs w:val="10"/>
                <w:color w:val="auto"/>
              </w:rPr>
              <w:t>2,321,407</w:t>
            </w:r>
          </w:p>
        </w:tc>
        <w:tc>
          <w:tcPr>
            <w:tcW w:w="80" w:type="dxa"/>
            <w:vAlign w:val="bottom"/>
            <w:shd w:val="clear" w:color="auto" w:fill="CCEEFF"/>
          </w:tcPr>
          <w:p>
            <w:pPr>
              <w:spacing w:after="0"/>
              <w:rPr>
                <w:sz w:val="12"/>
                <w:szCs w:val="12"/>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0"/>
                <w:szCs w:val="10"/>
                <w:color w:val="auto"/>
              </w:rPr>
              <w:t>3,552</w:t>
            </w:r>
          </w:p>
        </w:tc>
        <w:tc>
          <w:tcPr>
            <w:tcW w:w="80" w:type="dxa"/>
            <w:vAlign w:val="bottom"/>
            <w:shd w:val="clear" w:color="auto" w:fill="CCEEFF"/>
          </w:tcPr>
          <w:p>
            <w:pPr>
              <w:spacing w:after="0"/>
              <w:rPr>
                <w:sz w:val="12"/>
                <w:szCs w:val="12"/>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0"/>
                <w:szCs w:val="10"/>
                <w:color w:val="auto"/>
              </w:rPr>
              <w:t>4,298</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0"/>
                <w:szCs w:val="10"/>
                <w:color w:val="auto"/>
              </w:rPr>
              <w:t>2,330,294</w:t>
            </w:r>
          </w:p>
        </w:tc>
        <w:tc>
          <w:tcPr>
            <w:tcW w:w="0" w:type="dxa"/>
            <w:vAlign w:val="bottom"/>
          </w:tcPr>
          <w:p>
            <w:pPr>
              <w:spacing w:after="0"/>
              <w:rPr>
                <w:sz w:val="1"/>
                <w:szCs w:val="1"/>
                <w:color w:val="auto"/>
              </w:rPr>
            </w:pPr>
          </w:p>
        </w:tc>
      </w:tr>
    </w:tbl>
    <w:p>
      <w:pPr>
        <w:spacing w:after="0" w:line="193" w:lineRule="exact"/>
        <w:rPr>
          <w:sz w:val="20"/>
          <w:szCs w:val="20"/>
          <w:color w:val="auto"/>
        </w:rPr>
      </w:pPr>
    </w:p>
    <w:p>
      <w:pPr>
        <w:spacing w:after="0"/>
        <w:rPr>
          <w:sz w:val="20"/>
          <w:szCs w:val="20"/>
          <w:color w:val="auto"/>
        </w:rPr>
      </w:pPr>
      <w:r>
        <w:rPr>
          <w:rFonts w:ascii="Arial" w:cs="Arial" w:eastAsia="Arial" w:hAnsi="Arial"/>
          <w:sz w:val="10"/>
          <w:szCs w:val="10"/>
          <w:color w:val="auto"/>
        </w:rPr>
        <w:t>See accompanying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5</w:t>
      </w:r>
    </w:p>
    <w:p>
      <w:pPr>
        <w:sectPr>
          <w:pgSz w:w="11900" w:h="16838" w:orient="portrait"/>
          <w:cols w:equalWidth="0" w:num="1">
            <w:col w:w="11460"/>
          </w:cols>
          <w:pgMar w:left="220" w:top="672" w:right="219" w:bottom="1440" w:gutter="0" w:footer="0" w:header="0"/>
        </w:sectPr>
      </w:pPr>
    </w:p>
    <w:bookmarkStart w:id="6" w:name="page7"/>
    <w:bookmarkEnd w:id="6"/>
    <w:p>
      <w:pPr>
        <w:jc w:val="center"/>
        <w:spacing w:after="0"/>
        <w:rPr>
          <w:sz w:val="20"/>
          <w:szCs w:val="20"/>
          <w:color w:val="auto"/>
        </w:rPr>
      </w:pPr>
      <w:r>
        <w:rPr>
          <w:rFonts w:ascii="Arial" w:cs="Arial" w:eastAsia="Arial" w:hAnsi="Arial"/>
          <w:sz w:val="14"/>
          <w:szCs w:val="14"/>
          <w:b w:val="1"/>
          <w:bCs w:val="1"/>
          <w:color w:val="auto"/>
        </w:rPr>
        <w:t>NELNET, INC. AND SUBSIDIARIES</w:t>
      </w:r>
    </w:p>
    <w:p>
      <w:pPr>
        <w:spacing w:after="0" w:line="55"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CONSOLIDATED STATEMENTS OF CASH FLOWS</w:t>
      </w:r>
    </w:p>
    <w:p>
      <w:pPr>
        <w:spacing w:after="0" w:line="55"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(Dollars in thousands)</w:t>
      </w:r>
    </w:p>
    <w:p>
      <w:pPr>
        <w:spacing w:after="0" w:line="55"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(unaudited)</w:t>
      </w:r>
    </w:p>
    <w:p>
      <w:pPr>
        <w:spacing w:after="0" w:line="59" w:lineRule="exact"/>
        <w:rPr>
          <w:sz w:val="20"/>
          <w:szCs w:val="20"/>
          <w:color w:val="auto"/>
        </w:rPr>
      </w:pPr>
    </w:p>
    <w:p>
      <w:pPr>
        <w:jc w:val="center"/>
        <w:ind w:left="8880"/>
        <w:spacing w:after="0"/>
        <w:rPr>
          <w:sz w:val="20"/>
          <w:szCs w:val="20"/>
          <w:color w:val="auto"/>
        </w:rPr>
      </w:pPr>
      <w:r>
        <w:rPr>
          <w:rFonts w:ascii="Arial" w:cs="Arial" w:eastAsia="Arial" w:hAnsi="Arial"/>
          <w:sz w:val="13"/>
          <w:szCs w:val="13"/>
          <w:b w:val="1"/>
          <w:bCs w:val="1"/>
          <w:color w:val="auto"/>
        </w:rPr>
        <w:t>Three months ended</w:t>
      </w:r>
    </w:p>
    <w:p>
      <w:pPr>
        <w:spacing w:after="0" w:line="55" w:lineRule="exact"/>
        <w:rPr>
          <w:sz w:val="20"/>
          <w:szCs w:val="20"/>
          <w:color w:val="auto"/>
        </w:rPr>
      </w:pPr>
    </w:p>
    <w:p>
      <w:pPr>
        <w:jc w:val="center"/>
        <w:ind w:left="8880"/>
        <w:spacing w:after="0"/>
        <w:rPr>
          <w:sz w:val="20"/>
          <w:szCs w:val="20"/>
          <w:color w:val="auto"/>
        </w:rPr>
      </w:pPr>
      <w:r>
        <w:rPr>
          <w:rFonts w:ascii="Arial" w:cs="Arial" w:eastAsia="Arial" w:hAnsi="Arial"/>
          <w:sz w:val="13"/>
          <w:szCs w:val="13"/>
          <w:b w:val="1"/>
          <w:bCs w:val="1"/>
          <w:color w:val="auto"/>
        </w:rPr>
        <w:t>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5676900</wp:posOffset>
            </wp:positionH>
            <wp:positionV relativeFrom="paragraph">
              <wp:posOffset>27940</wp:posOffset>
            </wp:positionV>
            <wp:extent cx="1574165" cy="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74165" cy="6985"/>
                    </a:xfrm>
                    <a:prstGeom prst="rect">
                      <a:avLst/>
                    </a:prstGeom>
                    <a:noFill/>
                  </pic:spPr>
                </pic:pic>
              </a:graphicData>
            </a:graphic>
          </wp:anchor>
        </w:drawing>
      </w:r>
    </w:p>
    <w:p>
      <w:pPr>
        <w:spacing w:after="0" w:line="46" w:lineRule="exact"/>
        <w:rPr>
          <w:sz w:val="20"/>
          <w:szCs w:val="20"/>
          <w:color w:val="auto"/>
        </w:rPr>
      </w:pPr>
    </w:p>
    <w:p>
      <w:pPr>
        <w:jc w:val="both"/>
        <w:ind w:left="9400"/>
        <w:spacing w:after="0"/>
        <w:tabs>
          <w:tab w:leader="none" w:pos="10680" w:val="left"/>
        </w:tabs>
        <w:rPr>
          <w:sz w:val="20"/>
          <w:szCs w:val="20"/>
          <w:color w:val="auto"/>
        </w:rPr>
      </w:pPr>
      <w:r>
        <w:rPr>
          <w:rFonts w:ascii="Arial" w:cs="Arial" w:eastAsia="Arial" w:hAnsi="Arial"/>
          <w:sz w:val="13"/>
          <w:szCs w:val="13"/>
          <w:b w:val="1"/>
          <w:bCs w:val="1"/>
          <w:color w:val="auto"/>
        </w:rPr>
        <w:t>2019</w:t>
      </w:r>
      <w:r>
        <w:rPr>
          <w:sz w:val="20"/>
          <w:szCs w:val="20"/>
          <w:color w:val="auto"/>
        </w:rPr>
        <w:tab/>
      </w:r>
      <w:r>
        <w:rPr>
          <w:rFonts w:ascii="Arial" w:cs="Arial" w:eastAsia="Arial" w:hAnsi="Arial"/>
          <w:sz w:val="13"/>
          <w:szCs w:val="13"/>
          <w:b w:val="1"/>
          <w:bCs w:val="1"/>
          <w:color w:val="auto"/>
        </w:rPr>
        <w:t>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27940</wp:posOffset>
            </wp:positionV>
            <wp:extent cx="7246620" cy="137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137160"/>
                    </a:xfrm>
                    <a:prstGeom prst="rect">
                      <a:avLst/>
                    </a:prstGeom>
                    <a:noFill/>
                  </pic:spPr>
                </pic:pic>
              </a:graphicData>
            </a:graphic>
          </wp:anchor>
        </w:drawing>
      </w:r>
    </w:p>
    <w:p>
      <w:pPr>
        <w:sectPr>
          <w:pgSz w:w="11900" w:h="16838" w:orient="portrait"/>
          <w:cols w:equalWidth="0" w:num="1">
            <w:col w:w="11420"/>
          </w:cols>
          <w:pgMar w:left="220" w:top="685" w:right="259" w:bottom="1440" w:gutter="0" w:footer="0" w:header="0"/>
        </w:sectPr>
      </w:pPr>
    </w:p>
    <w:p>
      <w:pPr>
        <w:spacing w:after="0" w:line="70" w:lineRule="exact"/>
        <w:rPr>
          <w:sz w:val="20"/>
          <w:szCs w:val="20"/>
          <w:color w:val="auto"/>
        </w:rPr>
      </w:pPr>
    </w:p>
    <w:p>
      <w:pPr>
        <w:ind w:left="20"/>
        <w:spacing w:after="0"/>
        <w:rPr>
          <w:sz w:val="20"/>
          <w:szCs w:val="20"/>
          <w:color w:val="auto"/>
        </w:rPr>
      </w:pPr>
      <w:r>
        <w:rPr>
          <w:rFonts w:ascii="Arial" w:cs="Arial" w:eastAsia="Arial" w:hAnsi="Arial"/>
          <w:sz w:val="13"/>
          <w:szCs w:val="13"/>
          <w:color w:val="auto"/>
        </w:rPr>
        <w:t>Net income attributable to Nelnet, Inc.</w:t>
      </w:r>
    </w:p>
    <w:p>
      <w:pPr>
        <w:spacing w:after="0" w:line="77" w:lineRule="exact"/>
        <w:rPr>
          <w:sz w:val="20"/>
          <w:szCs w:val="20"/>
          <w:color w:val="auto"/>
        </w:rPr>
      </w:pPr>
    </w:p>
    <w:p>
      <w:pPr>
        <w:ind w:left="20"/>
        <w:spacing w:after="0"/>
        <w:rPr>
          <w:sz w:val="20"/>
          <w:szCs w:val="20"/>
          <w:color w:val="auto"/>
        </w:rPr>
      </w:pPr>
      <w:r>
        <w:rPr>
          <w:rFonts w:ascii="Arial" w:cs="Arial" w:eastAsia="Arial" w:hAnsi="Arial"/>
          <w:sz w:val="13"/>
          <w:szCs w:val="13"/>
          <w:color w:val="auto"/>
        </w:rPr>
        <w:t>Net income (loss) attributable to noncontrolling interests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12065</wp:posOffset>
            </wp:positionV>
            <wp:extent cx="7246620" cy="137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137160"/>
                    </a:xfrm>
                    <a:prstGeom prst="rect">
                      <a:avLst/>
                    </a:prstGeom>
                    <a:noFill/>
                  </pic:spPr>
                </pic:pic>
              </a:graphicData>
            </a:graphic>
          </wp:anchor>
        </w:drawing>
      </w:r>
    </w:p>
    <w:p>
      <w:pPr>
        <w:spacing w:after="0" w:line="46" w:lineRule="exact"/>
        <w:rPr>
          <w:sz w:val="20"/>
          <w:szCs w:val="20"/>
          <w:color w:val="auto"/>
        </w:rPr>
      </w:pPr>
    </w:p>
    <w:p>
      <w:pPr>
        <w:ind w:left="280"/>
        <w:spacing w:after="0"/>
        <w:rPr>
          <w:sz w:val="20"/>
          <w:szCs w:val="20"/>
          <w:color w:val="auto"/>
        </w:rPr>
      </w:pPr>
      <w:r>
        <w:rPr>
          <w:rFonts w:ascii="Arial" w:cs="Arial" w:eastAsia="Arial" w:hAnsi="Arial"/>
          <w:sz w:val="13"/>
          <w:szCs w:val="13"/>
          <w:color w:val="auto"/>
        </w:rPr>
        <w:t>Net income</w:t>
      </w:r>
    </w:p>
    <w:p>
      <w:pPr>
        <w:spacing w:after="0" w:line="55" w:lineRule="exact"/>
        <w:rPr>
          <w:sz w:val="20"/>
          <w:szCs w:val="20"/>
          <w:color w:val="auto"/>
        </w:rPr>
      </w:pPr>
    </w:p>
    <w:p>
      <w:pPr>
        <w:ind w:left="20"/>
        <w:spacing w:after="0"/>
        <w:rPr>
          <w:sz w:val="20"/>
          <w:szCs w:val="20"/>
          <w:color w:val="auto"/>
        </w:rPr>
      </w:pPr>
      <w:r>
        <w:rPr>
          <w:rFonts w:ascii="Arial" w:cs="Arial" w:eastAsia="Arial" w:hAnsi="Arial"/>
          <w:sz w:val="11"/>
          <w:szCs w:val="11"/>
          <w:color w:val="auto"/>
        </w:rPr>
        <w:t>Adjustments to reconcile net income to net cash (used in) provided by operating activities, net of acquisition:</w:t>
      </w:r>
    </w:p>
    <w:p>
      <w:pPr>
        <w:spacing w:after="0" w:line="20" w:lineRule="exact"/>
        <w:rPr>
          <w:sz w:val="20"/>
          <w:szCs w:val="20"/>
          <w:color w:val="auto"/>
        </w:rPr>
      </w:pPr>
      <w:r>
        <w:rPr>
          <w:sz w:val="20"/>
          <w:szCs w:val="20"/>
          <w:color w:val="auto"/>
        </w:rPr>
        <w:br w:type="column"/>
      </w:r>
    </w:p>
    <w:p>
      <w:pPr>
        <w:spacing w:after="0" w:line="5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3"/>
        </w:trPr>
        <w:tc>
          <w:tcPr>
            <w:tcW w:w="440" w:type="dxa"/>
            <w:vAlign w:val="bottom"/>
          </w:tcPr>
          <w:p>
            <w:pPr>
              <w:jc w:val="right"/>
              <w:ind w:right="295"/>
              <w:spacing w:after="0"/>
              <w:rPr>
                <w:sz w:val="20"/>
                <w:szCs w:val="20"/>
                <w:color w:val="auto"/>
              </w:rPr>
            </w:pPr>
            <w:r>
              <w:rPr>
                <w:rFonts w:ascii="Arial" w:cs="Arial" w:eastAsia="Arial" w:hAnsi="Arial"/>
                <w:sz w:val="13"/>
                <w:szCs w:val="13"/>
                <w:color w:val="auto"/>
                <w:w w:val="82"/>
              </w:rPr>
              <w:t>$</w:t>
            </w:r>
          </w:p>
        </w:tc>
        <w:tc>
          <w:tcPr>
            <w:tcW w:w="740" w:type="dxa"/>
            <w:vAlign w:val="bottom"/>
          </w:tcPr>
          <w:p>
            <w:pPr>
              <w:jc w:val="right"/>
              <w:spacing w:after="0"/>
              <w:rPr>
                <w:sz w:val="20"/>
                <w:szCs w:val="20"/>
                <w:color w:val="auto"/>
              </w:rPr>
            </w:pPr>
            <w:r>
              <w:rPr>
                <w:rFonts w:ascii="Arial" w:cs="Arial" w:eastAsia="Arial" w:hAnsi="Arial"/>
                <w:sz w:val="13"/>
                <w:szCs w:val="13"/>
                <w:color w:val="auto"/>
              </w:rPr>
              <w:t>41,591</w:t>
            </w:r>
          </w:p>
        </w:tc>
        <w:tc>
          <w:tcPr>
            <w:tcW w:w="100" w:type="dxa"/>
            <w:vAlign w:val="bottom"/>
          </w:tcPr>
          <w:p>
            <w:pPr>
              <w:spacing w:after="0"/>
              <w:rPr>
                <w:sz w:val="14"/>
                <w:szCs w:val="14"/>
                <w:color w:val="auto"/>
              </w:rPr>
            </w:pPr>
          </w:p>
        </w:tc>
        <w:tc>
          <w:tcPr>
            <w:tcW w:w="1200" w:type="dxa"/>
            <w:vAlign w:val="bottom"/>
          </w:tcPr>
          <w:p>
            <w:pPr>
              <w:jc w:val="right"/>
              <w:spacing w:after="0"/>
              <w:rPr>
                <w:sz w:val="20"/>
                <w:szCs w:val="20"/>
                <w:color w:val="auto"/>
              </w:rPr>
            </w:pPr>
            <w:r>
              <w:rPr>
                <w:rFonts w:ascii="Arial" w:cs="Arial" w:eastAsia="Arial" w:hAnsi="Arial"/>
                <w:sz w:val="13"/>
                <w:szCs w:val="13"/>
                <w:color w:val="auto"/>
              </w:rPr>
              <w:t>113,925</w:t>
            </w:r>
          </w:p>
        </w:tc>
      </w:tr>
      <w:tr>
        <w:trPr>
          <w:trHeight w:val="205"/>
        </w:trPr>
        <w:tc>
          <w:tcPr>
            <w:tcW w:w="44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Arial" w:cs="Arial" w:eastAsia="Arial" w:hAnsi="Arial"/>
                <w:sz w:val="13"/>
                <w:szCs w:val="13"/>
                <w:color w:val="auto"/>
              </w:rPr>
              <w:t>56</w:t>
            </w:r>
          </w:p>
        </w:tc>
        <w:tc>
          <w:tcPr>
            <w:tcW w:w="10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3"/>
                <w:szCs w:val="13"/>
                <w:color w:val="auto"/>
              </w:rPr>
              <w:t>(740)</w:t>
            </w:r>
          </w:p>
        </w:tc>
      </w:tr>
      <w:tr>
        <w:trPr>
          <w:trHeight w:val="27"/>
        </w:trPr>
        <w:tc>
          <w:tcPr>
            <w:tcW w:w="44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169"/>
        </w:trPr>
        <w:tc>
          <w:tcPr>
            <w:tcW w:w="440" w:type="dxa"/>
            <w:vAlign w:val="bottom"/>
          </w:tcPr>
          <w:p>
            <w:pPr>
              <w:spacing w:after="0"/>
              <w:rPr>
                <w:sz w:val="14"/>
                <w:szCs w:val="14"/>
                <w:color w:val="auto"/>
              </w:rPr>
            </w:pPr>
          </w:p>
        </w:tc>
        <w:tc>
          <w:tcPr>
            <w:tcW w:w="740" w:type="dxa"/>
            <w:vAlign w:val="bottom"/>
          </w:tcPr>
          <w:p>
            <w:pPr>
              <w:jc w:val="right"/>
              <w:spacing w:after="0"/>
              <w:rPr>
                <w:sz w:val="20"/>
                <w:szCs w:val="20"/>
                <w:color w:val="auto"/>
              </w:rPr>
            </w:pPr>
            <w:r>
              <w:rPr>
                <w:rFonts w:ascii="Arial" w:cs="Arial" w:eastAsia="Arial" w:hAnsi="Arial"/>
                <w:sz w:val="13"/>
                <w:szCs w:val="13"/>
                <w:color w:val="auto"/>
              </w:rPr>
              <w:t>41,647</w:t>
            </w:r>
          </w:p>
        </w:tc>
        <w:tc>
          <w:tcPr>
            <w:tcW w:w="100" w:type="dxa"/>
            <w:vAlign w:val="bottom"/>
          </w:tcPr>
          <w:p>
            <w:pPr>
              <w:spacing w:after="0"/>
              <w:rPr>
                <w:sz w:val="14"/>
                <w:szCs w:val="14"/>
                <w:color w:val="auto"/>
              </w:rPr>
            </w:pPr>
          </w:p>
        </w:tc>
        <w:tc>
          <w:tcPr>
            <w:tcW w:w="1200" w:type="dxa"/>
            <w:vAlign w:val="bottom"/>
          </w:tcPr>
          <w:p>
            <w:pPr>
              <w:jc w:val="right"/>
              <w:spacing w:after="0"/>
              <w:rPr>
                <w:sz w:val="20"/>
                <w:szCs w:val="20"/>
                <w:color w:val="auto"/>
              </w:rPr>
            </w:pPr>
            <w:r>
              <w:rPr>
                <w:rFonts w:ascii="Arial" w:cs="Arial" w:eastAsia="Arial" w:hAnsi="Arial"/>
                <w:sz w:val="13"/>
                <w:szCs w:val="13"/>
                <w:color w:val="auto"/>
              </w:rPr>
              <w:t>113,185</w:t>
            </w:r>
          </w:p>
        </w:tc>
      </w:tr>
    </w:tbl>
    <w:p>
      <w:pPr>
        <w:spacing w:after="0" w:line="246" w:lineRule="exact"/>
        <w:rPr>
          <w:sz w:val="20"/>
          <w:szCs w:val="20"/>
          <w:color w:val="auto"/>
        </w:rPr>
      </w:pPr>
    </w:p>
    <w:p>
      <w:pPr>
        <w:sectPr>
          <w:pgSz w:w="11900" w:h="16838" w:orient="portrait"/>
          <w:cols w:equalWidth="0" w:num="2">
            <w:col w:w="8220" w:space="720"/>
            <w:col w:w="2480"/>
          </w:cols>
          <w:pgMar w:left="220" w:top="685" w:right="259" w:bottom="1440" w:gutter="0" w:footer="0" w:header="0"/>
          <w:type w:val="continuous"/>
        </w:sectPr>
      </w:pPr>
    </w:p>
    <w:tbl>
      <w:tblPr>
        <w:tblLayout w:type="fixed"/>
        <w:tblInd w:w="0" w:type="dxa"/>
        <w:tblCellMar>
          <w:top w:w="0" w:type="dxa"/>
          <w:left w:w="0" w:type="dxa"/>
          <w:bottom w:w="0" w:type="dxa"/>
          <w:right w:w="0" w:type="dxa"/>
        </w:tblCellMar>
      </w:tblPr>
      <w:tr>
        <w:trPr>
          <w:trHeight w:val="190"/>
        </w:trPr>
        <w:tc>
          <w:tcPr>
            <w:tcW w:w="8940" w:type="dxa"/>
            <w:vAlign w:val="bottom"/>
            <w:shd w:val="clear" w:color="auto" w:fill="CCEEFF"/>
          </w:tcPr>
          <w:p>
            <w:pPr>
              <w:ind w:left="200"/>
              <w:spacing w:after="0"/>
              <w:rPr>
                <w:sz w:val="20"/>
                <w:szCs w:val="20"/>
                <w:color w:val="auto"/>
              </w:rPr>
            </w:pPr>
            <w:r>
              <w:rPr>
                <w:rFonts w:ascii="Arial" w:cs="Arial" w:eastAsia="Arial" w:hAnsi="Arial"/>
                <w:sz w:val="13"/>
                <w:szCs w:val="13"/>
                <w:color w:val="auto"/>
              </w:rPr>
              <w:t>Depreciation and amortization, including debt discounts and loan premiums and deferred origination costs</w:t>
            </w:r>
          </w:p>
        </w:tc>
        <w:tc>
          <w:tcPr>
            <w:tcW w:w="360" w:type="dxa"/>
            <w:vAlign w:val="bottom"/>
            <w:shd w:val="clear" w:color="auto" w:fill="CCEEFF"/>
          </w:tcPr>
          <w:p>
            <w:pPr>
              <w:spacing w:after="0"/>
              <w:rPr>
                <w:sz w:val="16"/>
                <w:szCs w:val="16"/>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46,948</w:t>
            </w:r>
          </w:p>
        </w:tc>
        <w:tc>
          <w:tcPr>
            <w:tcW w:w="100" w:type="dxa"/>
            <w:vAlign w:val="bottom"/>
            <w:shd w:val="clear" w:color="auto" w:fill="CCEEFF"/>
          </w:tcPr>
          <w:p>
            <w:pPr>
              <w:spacing w:after="0"/>
              <w:rPr>
                <w:sz w:val="16"/>
                <w:szCs w:val="16"/>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43,301</w:t>
            </w:r>
          </w:p>
        </w:tc>
      </w:tr>
      <w:tr>
        <w:trPr>
          <w:trHeight w:val="178"/>
        </w:trPr>
        <w:tc>
          <w:tcPr>
            <w:tcW w:w="8940" w:type="dxa"/>
            <w:vAlign w:val="bottom"/>
          </w:tcPr>
          <w:p>
            <w:pPr>
              <w:ind w:left="180"/>
              <w:spacing w:after="0"/>
              <w:rPr>
                <w:sz w:val="20"/>
                <w:szCs w:val="20"/>
                <w:color w:val="auto"/>
              </w:rPr>
            </w:pPr>
            <w:r>
              <w:rPr>
                <w:rFonts w:ascii="Arial" w:cs="Arial" w:eastAsia="Arial" w:hAnsi="Arial"/>
                <w:sz w:val="13"/>
                <w:szCs w:val="13"/>
                <w:color w:val="auto"/>
              </w:rPr>
              <w:t>Loan discount accretion</w:t>
            </w:r>
          </w:p>
        </w:tc>
        <w:tc>
          <w:tcPr>
            <w:tcW w:w="36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(9,693)</w:t>
            </w:r>
          </w:p>
        </w:tc>
        <w:tc>
          <w:tcPr>
            <w:tcW w:w="100" w:type="dxa"/>
            <w:vAlign w:val="bottom"/>
          </w:tcPr>
          <w:p>
            <w:pPr>
              <w:spacing w:after="0"/>
              <w:rPr>
                <w:sz w:val="15"/>
                <w:szCs w:val="15"/>
                <w:color w:val="auto"/>
              </w:rPr>
            </w:pPr>
          </w:p>
        </w:tc>
        <w:tc>
          <w:tcPr>
            <w:tcW w:w="1200" w:type="dxa"/>
            <w:vAlign w:val="bottom"/>
          </w:tcPr>
          <w:p>
            <w:pPr>
              <w:jc w:val="right"/>
              <w:spacing w:after="0"/>
              <w:rPr>
                <w:sz w:val="20"/>
                <w:szCs w:val="20"/>
                <w:color w:val="auto"/>
              </w:rPr>
            </w:pPr>
            <w:r>
              <w:rPr>
                <w:rFonts w:ascii="Arial" w:cs="Arial" w:eastAsia="Arial" w:hAnsi="Arial"/>
                <w:sz w:val="13"/>
                <w:szCs w:val="13"/>
                <w:color w:val="auto"/>
              </w:rPr>
              <w:t>(11,691)</w:t>
            </w:r>
          </w:p>
        </w:tc>
      </w:tr>
      <w:tr>
        <w:trPr>
          <w:trHeight w:val="27"/>
        </w:trPr>
        <w:tc>
          <w:tcPr>
            <w:tcW w:w="8940" w:type="dxa"/>
            <w:vAlign w:val="bottom"/>
          </w:tcPr>
          <w:p>
            <w:pPr>
              <w:spacing w:after="0"/>
              <w:rPr>
                <w:sz w:val="2"/>
                <w:szCs w:val="2"/>
                <w:color w:val="auto"/>
              </w:rPr>
            </w:pPr>
          </w:p>
        </w:tc>
        <w:tc>
          <w:tcPr>
            <w:tcW w:w="36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185"/>
        </w:trPr>
        <w:tc>
          <w:tcPr>
            <w:tcW w:w="89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3"/>
                <w:szCs w:val="13"/>
                <w:color w:val="auto"/>
              </w:rPr>
              <w:t>Provision for loan losses</w:t>
            </w:r>
          </w:p>
        </w:tc>
        <w:tc>
          <w:tcPr>
            <w:tcW w:w="360" w:type="dxa"/>
            <w:vAlign w:val="bottom"/>
            <w:tcBorders>
              <w:bottom w:val="single" w:sz="8" w:color="CCEEFF"/>
            </w:tcBorders>
            <w:shd w:val="clear" w:color="auto" w:fill="CCEEFF"/>
          </w:tcPr>
          <w:p>
            <w:pPr>
              <w:spacing w:after="0"/>
              <w:rPr>
                <w:sz w:val="16"/>
                <w:szCs w:val="16"/>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7,000</w:t>
            </w:r>
          </w:p>
        </w:tc>
        <w:tc>
          <w:tcPr>
            <w:tcW w:w="100" w:type="dxa"/>
            <w:vAlign w:val="bottom"/>
            <w:tcBorders>
              <w:bottom w:val="single" w:sz="8" w:color="CCEEFF"/>
            </w:tcBorders>
            <w:shd w:val="clear" w:color="auto" w:fill="CCEEFF"/>
          </w:tcPr>
          <w:p>
            <w:pPr>
              <w:spacing w:after="0"/>
              <w:rPr>
                <w:sz w:val="16"/>
                <w:szCs w:val="16"/>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4,000</w:t>
            </w:r>
          </w:p>
        </w:tc>
      </w:tr>
      <w:tr>
        <w:trPr>
          <w:trHeight w:val="178"/>
        </w:trPr>
        <w:tc>
          <w:tcPr>
            <w:tcW w:w="8940" w:type="dxa"/>
            <w:vAlign w:val="bottom"/>
          </w:tcPr>
          <w:p>
            <w:pPr>
              <w:ind w:left="180"/>
              <w:spacing w:after="0"/>
              <w:rPr>
                <w:sz w:val="20"/>
                <w:szCs w:val="20"/>
                <w:color w:val="auto"/>
              </w:rPr>
            </w:pPr>
            <w:r>
              <w:rPr>
                <w:rFonts w:ascii="Arial" w:cs="Arial" w:eastAsia="Arial" w:hAnsi="Arial"/>
                <w:sz w:val="13"/>
                <w:szCs w:val="13"/>
                <w:color w:val="auto"/>
              </w:rPr>
              <w:t>Derivative market value adjustments</w:t>
            </w:r>
          </w:p>
        </w:tc>
        <w:tc>
          <w:tcPr>
            <w:tcW w:w="36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30,574</w:t>
            </w:r>
          </w:p>
        </w:tc>
        <w:tc>
          <w:tcPr>
            <w:tcW w:w="100" w:type="dxa"/>
            <w:vAlign w:val="bottom"/>
          </w:tcPr>
          <w:p>
            <w:pPr>
              <w:spacing w:after="0"/>
              <w:rPr>
                <w:sz w:val="15"/>
                <w:szCs w:val="15"/>
                <w:color w:val="auto"/>
              </w:rPr>
            </w:pPr>
          </w:p>
        </w:tc>
        <w:tc>
          <w:tcPr>
            <w:tcW w:w="1200" w:type="dxa"/>
            <w:vAlign w:val="bottom"/>
          </w:tcPr>
          <w:p>
            <w:pPr>
              <w:jc w:val="right"/>
              <w:spacing w:after="0"/>
              <w:rPr>
                <w:sz w:val="20"/>
                <w:szCs w:val="20"/>
                <w:color w:val="auto"/>
              </w:rPr>
            </w:pPr>
            <w:r>
              <w:rPr>
                <w:rFonts w:ascii="Arial" w:cs="Arial" w:eastAsia="Arial" w:hAnsi="Arial"/>
                <w:sz w:val="13"/>
                <w:szCs w:val="13"/>
                <w:color w:val="auto"/>
              </w:rPr>
              <w:t>(60,033)</w:t>
            </w:r>
          </w:p>
        </w:tc>
      </w:tr>
      <w:tr>
        <w:trPr>
          <w:trHeight w:val="27"/>
        </w:trPr>
        <w:tc>
          <w:tcPr>
            <w:tcW w:w="8940" w:type="dxa"/>
            <w:vAlign w:val="bottom"/>
          </w:tcPr>
          <w:p>
            <w:pPr>
              <w:spacing w:after="0"/>
              <w:rPr>
                <w:sz w:val="2"/>
                <w:szCs w:val="2"/>
                <w:color w:val="auto"/>
              </w:rPr>
            </w:pPr>
          </w:p>
        </w:tc>
        <w:tc>
          <w:tcPr>
            <w:tcW w:w="36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185"/>
        </w:trPr>
        <w:tc>
          <w:tcPr>
            <w:tcW w:w="89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3"/>
                <w:szCs w:val="13"/>
                <w:color w:val="auto"/>
              </w:rPr>
              <w:t>Proceeds from termination of derivative instruments</w:t>
            </w:r>
          </w:p>
        </w:tc>
        <w:tc>
          <w:tcPr>
            <w:tcW w:w="360" w:type="dxa"/>
            <w:vAlign w:val="bottom"/>
            <w:tcBorders>
              <w:bottom w:val="single" w:sz="8" w:color="CCEEFF"/>
            </w:tcBorders>
            <w:shd w:val="clear" w:color="auto" w:fill="CCEEFF"/>
          </w:tcPr>
          <w:p>
            <w:pPr>
              <w:spacing w:after="0"/>
              <w:rPr>
                <w:sz w:val="16"/>
                <w:szCs w:val="16"/>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2,119</w:t>
            </w:r>
          </w:p>
        </w:tc>
        <w:tc>
          <w:tcPr>
            <w:tcW w:w="100" w:type="dxa"/>
            <w:vAlign w:val="bottom"/>
            <w:tcBorders>
              <w:bottom w:val="single" w:sz="8" w:color="CCEEFF"/>
            </w:tcBorders>
            <w:shd w:val="clear" w:color="auto" w:fill="CCEEFF"/>
          </w:tcPr>
          <w:p>
            <w:pPr>
              <w:spacing w:after="0"/>
              <w:rPr>
                <w:sz w:val="16"/>
                <w:szCs w:val="16"/>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w:t>
            </w:r>
          </w:p>
        </w:tc>
      </w:tr>
      <w:tr>
        <w:trPr>
          <w:trHeight w:val="178"/>
        </w:trPr>
        <w:tc>
          <w:tcPr>
            <w:tcW w:w="8940" w:type="dxa"/>
            <w:vAlign w:val="bottom"/>
          </w:tcPr>
          <w:p>
            <w:pPr>
              <w:ind w:left="180"/>
              <w:spacing w:after="0"/>
              <w:rPr>
                <w:sz w:val="20"/>
                <w:szCs w:val="20"/>
                <w:color w:val="auto"/>
              </w:rPr>
            </w:pPr>
            <w:r>
              <w:rPr>
                <w:rFonts w:ascii="Arial" w:cs="Arial" w:eastAsia="Arial" w:hAnsi="Arial"/>
                <w:sz w:val="13"/>
                <w:szCs w:val="13"/>
                <w:color w:val="auto"/>
              </w:rPr>
              <w:t>(Payments to) proceeds from clearinghouse - initial and variation margin, net</w:t>
            </w:r>
          </w:p>
        </w:tc>
        <w:tc>
          <w:tcPr>
            <w:tcW w:w="36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(13,974)</w:t>
            </w:r>
          </w:p>
        </w:tc>
        <w:tc>
          <w:tcPr>
            <w:tcW w:w="100" w:type="dxa"/>
            <w:vAlign w:val="bottom"/>
          </w:tcPr>
          <w:p>
            <w:pPr>
              <w:spacing w:after="0"/>
              <w:rPr>
                <w:sz w:val="15"/>
                <w:szCs w:val="15"/>
                <w:color w:val="auto"/>
              </w:rPr>
            </w:pPr>
          </w:p>
        </w:tc>
        <w:tc>
          <w:tcPr>
            <w:tcW w:w="1200" w:type="dxa"/>
            <w:vAlign w:val="bottom"/>
          </w:tcPr>
          <w:p>
            <w:pPr>
              <w:jc w:val="right"/>
              <w:spacing w:after="0"/>
              <w:rPr>
                <w:sz w:val="20"/>
                <w:szCs w:val="20"/>
                <w:color w:val="auto"/>
              </w:rPr>
            </w:pPr>
            <w:r>
              <w:rPr>
                <w:rFonts w:ascii="Arial" w:cs="Arial" w:eastAsia="Arial" w:hAnsi="Arial"/>
                <w:sz w:val="13"/>
                <w:szCs w:val="13"/>
                <w:color w:val="auto"/>
              </w:rPr>
              <w:t>62,689</w:t>
            </w:r>
          </w:p>
        </w:tc>
      </w:tr>
      <w:tr>
        <w:trPr>
          <w:trHeight w:val="27"/>
        </w:trPr>
        <w:tc>
          <w:tcPr>
            <w:tcW w:w="8940" w:type="dxa"/>
            <w:vAlign w:val="bottom"/>
          </w:tcPr>
          <w:p>
            <w:pPr>
              <w:spacing w:after="0"/>
              <w:rPr>
                <w:sz w:val="2"/>
                <w:szCs w:val="2"/>
                <w:color w:val="auto"/>
              </w:rPr>
            </w:pPr>
          </w:p>
        </w:tc>
        <w:tc>
          <w:tcPr>
            <w:tcW w:w="36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05"/>
        </w:trPr>
        <w:tc>
          <w:tcPr>
            <w:tcW w:w="8940" w:type="dxa"/>
            <w:vAlign w:val="bottom"/>
            <w:shd w:val="clear" w:color="auto" w:fill="CCEEFF"/>
          </w:tcPr>
          <w:p>
            <w:pPr>
              <w:ind w:left="200"/>
              <w:spacing w:after="0"/>
              <w:rPr>
                <w:sz w:val="20"/>
                <w:szCs w:val="20"/>
                <w:color w:val="auto"/>
              </w:rPr>
            </w:pPr>
            <w:r>
              <w:rPr>
                <w:rFonts w:ascii="Arial" w:cs="Arial" w:eastAsia="Arial" w:hAnsi="Arial"/>
                <w:sz w:val="13"/>
                <w:szCs w:val="13"/>
                <w:color w:val="auto"/>
              </w:rPr>
              <w:t>Gain from debt repurchases</w:t>
            </w:r>
          </w:p>
        </w:tc>
        <w:tc>
          <w:tcPr>
            <w:tcW w:w="360" w:type="dxa"/>
            <w:vAlign w:val="bottom"/>
            <w:shd w:val="clear" w:color="auto" w:fill="CCEEFF"/>
          </w:tcPr>
          <w:p>
            <w:pPr>
              <w:spacing w:after="0"/>
              <w:rPr>
                <w:sz w:val="17"/>
                <w:szCs w:val="17"/>
                <w:color w:val="auto"/>
              </w:rPr>
            </w:pPr>
          </w:p>
        </w:tc>
        <w:tc>
          <w:tcPr>
            <w:tcW w:w="9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(359)</w:t>
            </w:r>
          </w:p>
        </w:tc>
      </w:tr>
      <w:tr>
        <w:trPr>
          <w:trHeight w:val="178"/>
        </w:trPr>
        <w:tc>
          <w:tcPr>
            <w:tcW w:w="8940" w:type="dxa"/>
            <w:vAlign w:val="bottom"/>
          </w:tcPr>
          <w:p>
            <w:pPr>
              <w:ind w:left="180"/>
              <w:spacing w:after="0"/>
              <w:rPr>
                <w:sz w:val="20"/>
                <w:szCs w:val="20"/>
                <w:color w:val="auto"/>
              </w:rPr>
            </w:pPr>
            <w:r>
              <w:rPr>
                <w:rFonts w:ascii="Arial" w:cs="Arial" w:eastAsia="Arial" w:hAnsi="Arial"/>
                <w:sz w:val="13"/>
                <w:szCs w:val="13"/>
                <w:color w:val="auto"/>
              </w:rPr>
              <w:t>Loss (gain) from investments and notes receivable, net</w:t>
            </w:r>
          </w:p>
        </w:tc>
        <w:tc>
          <w:tcPr>
            <w:tcW w:w="36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1,151</w:t>
            </w:r>
          </w:p>
        </w:tc>
        <w:tc>
          <w:tcPr>
            <w:tcW w:w="100" w:type="dxa"/>
            <w:vAlign w:val="bottom"/>
          </w:tcPr>
          <w:p>
            <w:pPr>
              <w:spacing w:after="0"/>
              <w:rPr>
                <w:sz w:val="15"/>
                <w:szCs w:val="15"/>
                <w:color w:val="auto"/>
              </w:rPr>
            </w:pPr>
          </w:p>
        </w:tc>
        <w:tc>
          <w:tcPr>
            <w:tcW w:w="1200" w:type="dxa"/>
            <w:vAlign w:val="bottom"/>
          </w:tcPr>
          <w:p>
            <w:pPr>
              <w:jc w:val="right"/>
              <w:spacing w:after="0"/>
              <w:rPr>
                <w:sz w:val="20"/>
                <w:szCs w:val="20"/>
                <w:color w:val="auto"/>
              </w:rPr>
            </w:pPr>
            <w:r>
              <w:rPr>
                <w:rFonts w:ascii="Arial" w:cs="Arial" w:eastAsia="Arial" w:hAnsi="Arial"/>
                <w:sz w:val="13"/>
                <w:szCs w:val="13"/>
                <w:color w:val="auto"/>
              </w:rPr>
              <w:t>(8,249)</w:t>
            </w:r>
          </w:p>
        </w:tc>
      </w:tr>
      <w:tr>
        <w:trPr>
          <w:trHeight w:val="27"/>
        </w:trPr>
        <w:tc>
          <w:tcPr>
            <w:tcW w:w="8940" w:type="dxa"/>
            <w:vAlign w:val="bottom"/>
          </w:tcPr>
          <w:p>
            <w:pPr>
              <w:spacing w:after="0"/>
              <w:rPr>
                <w:sz w:val="2"/>
                <w:szCs w:val="2"/>
                <w:color w:val="auto"/>
              </w:rPr>
            </w:pPr>
          </w:p>
        </w:tc>
        <w:tc>
          <w:tcPr>
            <w:tcW w:w="36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185"/>
        </w:trPr>
        <w:tc>
          <w:tcPr>
            <w:tcW w:w="89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3"/>
                <w:szCs w:val="13"/>
                <w:color w:val="auto"/>
              </w:rPr>
              <w:t>Deferred income tax (benefit) expense</w:t>
            </w:r>
          </w:p>
        </w:tc>
        <w:tc>
          <w:tcPr>
            <w:tcW w:w="360" w:type="dxa"/>
            <w:vAlign w:val="bottom"/>
            <w:tcBorders>
              <w:bottom w:val="single" w:sz="8" w:color="CCEEFF"/>
            </w:tcBorders>
            <w:shd w:val="clear" w:color="auto" w:fill="CCEEFF"/>
          </w:tcPr>
          <w:p>
            <w:pPr>
              <w:spacing w:after="0"/>
              <w:rPr>
                <w:sz w:val="16"/>
                <w:szCs w:val="16"/>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(2,807)</w:t>
            </w:r>
          </w:p>
        </w:tc>
        <w:tc>
          <w:tcPr>
            <w:tcW w:w="100" w:type="dxa"/>
            <w:vAlign w:val="bottom"/>
            <w:tcBorders>
              <w:bottom w:val="single" w:sz="8" w:color="CCEEFF"/>
            </w:tcBorders>
            <w:shd w:val="clear" w:color="auto" w:fill="CCEEFF"/>
          </w:tcPr>
          <w:p>
            <w:pPr>
              <w:spacing w:after="0"/>
              <w:rPr>
                <w:sz w:val="16"/>
                <w:szCs w:val="16"/>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16,883</w:t>
            </w:r>
          </w:p>
        </w:tc>
      </w:tr>
      <w:tr>
        <w:trPr>
          <w:trHeight w:val="178"/>
        </w:trPr>
        <w:tc>
          <w:tcPr>
            <w:tcW w:w="8940" w:type="dxa"/>
            <w:vAlign w:val="bottom"/>
          </w:tcPr>
          <w:p>
            <w:pPr>
              <w:ind w:left="180"/>
              <w:spacing w:after="0"/>
              <w:rPr>
                <w:sz w:val="20"/>
                <w:szCs w:val="20"/>
                <w:color w:val="auto"/>
              </w:rPr>
            </w:pPr>
            <w:r>
              <w:rPr>
                <w:rFonts w:ascii="Arial" w:cs="Arial" w:eastAsia="Arial" w:hAnsi="Arial"/>
                <w:sz w:val="13"/>
                <w:szCs w:val="13"/>
                <w:color w:val="auto"/>
              </w:rPr>
              <w:t>Non-cash compensation expense</w:t>
            </w:r>
          </w:p>
        </w:tc>
        <w:tc>
          <w:tcPr>
            <w:tcW w:w="36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1,476</w:t>
            </w:r>
          </w:p>
        </w:tc>
        <w:tc>
          <w:tcPr>
            <w:tcW w:w="100" w:type="dxa"/>
            <w:vAlign w:val="bottom"/>
          </w:tcPr>
          <w:p>
            <w:pPr>
              <w:spacing w:after="0"/>
              <w:rPr>
                <w:sz w:val="15"/>
                <w:szCs w:val="15"/>
                <w:color w:val="auto"/>
              </w:rPr>
            </w:pPr>
          </w:p>
        </w:tc>
        <w:tc>
          <w:tcPr>
            <w:tcW w:w="1200" w:type="dxa"/>
            <w:vAlign w:val="bottom"/>
          </w:tcPr>
          <w:p>
            <w:pPr>
              <w:jc w:val="right"/>
              <w:spacing w:after="0"/>
              <w:rPr>
                <w:sz w:val="20"/>
                <w:szCs w:val="20"/>
                <w:color w:val="auto"/>
              </w:rPr>
            </w:pPr>
            <w:r>
              <w:rPr>
                <w:rFonts w:ascii="Arial" w:cs="Arial" w:eastAsia="Arial" w:hAnsi="Arial"/>
                <w:sz w:val="13"/>
                <w:szCs w:val="13"/>
                <w:color w:val="auto"/>
              </w:rPr>
              <w:t>1,161</w:t>
            </w:r>
          </w:p>
        </w:tc>
      </w:tr>
      <w:tr>
        <w:trPr>
          <w:trHeight w:val="27"/>
        </w:trPr>
        <w:tc>
          <w:tcPr>
            <w:tcW w:w="8940" w:type="dxa"/>
            <w:vAlign w:val="bottom"/>
          </w:tcPr>
          <w:p>
            <w:pPr>
              <w:spacing w:after="0"/>
              <w:rPr>
                <w:sz w:val="2"/>
                <w:szCs w:val="2"/>
                <w:color w:val="auto"/>
              </w:rPr>
            </w:pPr>
          </w:p>
        </w:tc>
        <w:tc>
          <w:tcPr>
            <w:tcW w:w="36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185"/>
        </w:trPr>
        <w:tc>
          <w:tcPr>
            <w:tcW w:w="89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3"/>
                <w:szCs w:val="13"/>
                <w:color w:val="auto"/>
              </w:rPr>
              <w:t>Other</w:t>
            </w:r>
          </w:p>
        </w:tc>
        <w:tc>
          <w:tcPr>
            <w:tcW w:w="360" w:type="dxa"/>
            <w:vAlign w:val="bottom"/>
            <w:tcBorders>
              <w:bottom w:val="single" w:sz="8" w:color="CCEEFF"/>
            </w:tcBorders>
            <w:shd w:val="clear" w:color="auto" w:fill="CCEEFF"/>
          </w:tcPr>
          <w:p>
            <w:pPr>
              <w:spacing w:after="0"/>
              <w:rPr>
                <w:sz w:val="16"/>
                <w:szCs w:val="16"/>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(20)</w:t>
            </w:r>
          </w:p>
        </w:tc>
        <w:tc>
          <w:tcPr>
            <w:tcW w:w="100" w:type="dxa"/>
            <w:vAlign w:val="bottom"/>
            <w:tcBorders>
              <w:bottom w:val="single" w:sz="8" w:color="CCEEFF"/>
            </w:tcBorders>
            <w:shd w:val="clear" w:color="auto" w:fill="CCEEFF"/>
          </w:tcPr>
          <w:p>
            <w:pPr>
              <w:spacing w:after="0"/>
              <w:rPr>
                <w:sz w:val="16"/>
                <w:szCs w:val="16"/>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(2,891)</w:t>
            </w:r>
          </w:p>
        </w:tc>
      </w:tr>
      <w:tr>
        <w:trPr>
          <w:trHeight w:val="178"/>
        </w:trPr>
        <w:tc>
          <w:tcPr>
            <w:tcW w:w="8940" w:type="dxa"/>
            <w:vAlign w:val="bottom"/>
          </w:tcPr>
          <w:p>
            <w:pPr>
              <w:ind w:left="180"/>
              <w:spacing w:after="0"/>
              <w:rPr>
                <w:sz w:val="20"/>
                <w:szCs w:val="20"/>
                <w:color w:val="auto"/>
              </w:rPr>
            </w:pPr>
            <w:r>
              <w:rPr>
                <w:rFonts w:ascii="Arial" w:cs="Arial" w:eastAsia="Arial" w:hAnsi="Arial"/>
                <w:sz w:val="13"/>
                <w:szCs w:val="13"/>
                <w:color w:val="auto"/>
              </w:rPr>
              <w:t>Increase in accrued interest receivable</w:t>
            </w:r>
          </w:p>
        </w:tc>
        <w:tc>
          <w:tcPr>
            <w:tcW w:w="36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(36,722)</w:t>
            </w:r>
          </w:p>
        </w:tc>
        <w:tc>
          <w:tcPr>
            <w:tcW w:w="100" w:type="dxa"/>
            <w:vAlign w:val="bottom"/>
          </w:tcPr>
          <w:p>
            <w:pPr>
              <w:spacing w:after="0"/>
              <w:rPr>
                <w:sz w:val="15"/>
                <w:szCs w:val="15"/>
                <w:color w:val="auto"/>
              </w:rPr>
            </w:pPr>
          </w:p>
        </w:tc>
        <w:tc>
          <w:tcPr>
            <w:tcW w:w="1200" w:type="dxa"/>
            <w:vAlign w:val="bottom"/>
          </w:tcPr>
          <w:p>
            <w:pPr>
              <w:jc w:val="right"/>
              <w:spacing w:after="0"/>
              <w:rPr>
                <w:sz w:val="20"/>
                <w:szCs w:val="20"/>
                <w:color w:val="auto"/>
              </w:rPr>
            </w:pPr>
            <w:r>
              <w:rPr>
                <w:rFonts w:ascii="Arial" w:cs="Arial" w:eastAsia="Arial" w:hAnsi="Arial"/>
                <w:sz w:val="13"/>
                <w:szCs w:val="13"/>
                <w:color w:val="auto"/>
              </w:rPr>
              <w:t>(59,038)</w:t>
            </w:r>
          </w:p>
        </w:tc>
      </w:tr>
      <w:tr>
        <w:trPr>
          <w:trHeight w:val="27"/>
        </w:trPr>
        <w:tc>
          <w:tcPr>
            <w:tcW w:w="8940" w:type="dxa"/>
            <w:vAlign w:val="bottom"/>
          </w:tcPr>
          <w:p>
            <w:pPr>
              <w:spacing w:after="0"/>
              <w:rPr>
                <w:sz w:val="2"/>
                <w:szCs w:val="2"/>
                <w:color w:val="auto"/>
              </w:rPr>
            </w:pPr>
          </w:p>
        </w:tc>
        <w:tc>
          <w:tcPr>
            <w:tcW w:w="36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185"/>
        </w:trPr>
        <w:tc>
          <w:tcPr>
            <w:tcW w:w="89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3"/>
                <w:szCs w:val="13"/>
                <w:color w:val="auto"/>
              </w:rPr>
              <w:t>(Increase) decrease in accounts receivable</w:t>
            </w:r>
          </w:p>
        </w:tc>
        <w:tc>
          <w:tcPr>
            <w:tcW w:w="360" w:type="dxa"/>
            <w:vAlign w:val="bottom"/>
            <w:tcBorders>
              <w:bottom w:val="single" w:sz="8" w:color="CCEEFF"/>
            </w:tcBorders>
            <w:shd w:val="clear" w:color="auto" w:fill="CCEEFF"/>
          </w:tcPr>
          <w:p>
            <w:pPr>
              <w:spacing w:after="0"/>
              <w:rPr>
                <w:sz w:val="16"/>
                <w:szCs w:val="16"/>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(16,571)</w:t>
            </w:r>
          </w:p>
        </w:tc>
        <w:tc>
          <w:tcPr>
            <w:tcW w:w="100" w:type="dxa"/>
            <w:vAlign w:val="bottom"/>
            <w:tcBorders>
              <w:bottom w:val="single" w:sz="8" w:color="CCEEFF"/>
            </w:tcBorders>
            <w:shd w:val="clear" w:color="auto" w:fill="CCEEFF"/>
          </w:tcPr>
          <w:p>
            <w:pPr>
              <w:spacing w:after="0"/>
              <w:rPr>
                <w:sz w:val="16"/>
                <w:szCs w:val="16"/>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177</w:t>
            </w:r>
          </w:p>
        </w:tc>
      </w:tr>
      <w:tr>
        <w:trPr>
          <w:trHeight w:val="178"/>
        </w:trPr>
        <w:tc>
          <w:tcPr>
            <w:tcW w:w="8940" w:type="dxa"/>
            <w:vAlign w:val="bottom"/>
          </w:tcPr>
          <w:p>
            <w:pPr>
              <w:ind w:left="180"/>
              <w:spacing w:after="0"/>
              <w:rPr>
                <w:sz w:val="20"/>
                <w:szCs w:val="20"/>
                <w:color w:val="auto"/>
              </w:rPr>
            </w:pPr>
            <w:r>
              <w:rPr>
                <w:rFonts w:ascii="Arial" w:cs="Arial" w:eastAsia="Arial" w:hAnsi="Arial"/>
                <w:sz w:val="13"/>
                <w:szCs w:val="13"/>
                <w:color w:val="auto"/>
              </w:rPr>
              <w:t>(Increase) decrease in other assets</w:t>
            </w:r>
          </w:p>
        </w:tc>
        <w:tc>
          <w:tcPr>
            <w:tcW w:w="36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(32,324)</w:t>
            </w:r>
          </w:p>
        </w:tc>
        <w:tc>
          <w:tcPr>
            <w:tcW w:w="100" w:type="dxa"/>
            <w:vAlign w:val="bottom"/>
          </w:tcPr>
          <w:p>
            <w:pPr>
              <w:spacing w:after="0"/>
              <w:rPr>
                <w:sz w:val="15"/>
                <w:szCs w:val="15"/>
                <w:color w:val="auto"/>
              </w:rPr>
            </w:pPr>
          </w:p>
        </w:tc>
        <w:tc>
          <w:tcPr>
            <w:tcW w:w="1200" w:type="dxa"/>
            <w:vAlign w:val="bottom"/>
          </w:tcPr>
          <w:p>
            <w:pPr>
              <w:jc w:val="right"/>
              <w:spacing w:after="0"/>
              <w:rPr>
                <w:sz w:val="20"/>
                <w:szCs w:val="20"/>
                <w:color w:val="auto"/>
              </w:rPr>
            </w:pPr>
            <w:r>
              <w:rPr>
                <w:rFonts w:ascii="Arial" w:cs="Arial" w:eastAsia="Arial" w:hAnsi="Arial"/>
                <w:sz w:val="13"/>
                <w:szCs w:val="13"/>
                <w:color w:val="auto"/>
              </w:rPr>
              <w:t>49,415</w:t>
            </w:r>
          </w:p>
        </w:tc>
      </w:tr>
      <w:tr>
        <w:trPr>
          <w:trHeight w:val="27"/>
        </w:trPr>
        <w:tc>
          <w:tcPr>
            <w:tcW w:w="8940" w:type="dxa"/>
            <w:vAlign w:val="bottom"/>
          </w:tcPr>
          <w:p>
            <w:pPr>
              <w:spacing w:after="0"/>
              <w:rPr>
                <w:sz w:val="2"/>
                <w:szCs w:val="2"/>
                <w:color w:val="auto"/>
              </w:rPr>
            </w:pPr>
          </w:p>
        </w:tc>
        <w:tc>
          <w:tcPr>
            <w:tcW w:w="36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185"/>
        </w:trPr>
        <w:tc>
          <w:tcPr>
            <w:tcW w:w="89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3"/>
                <w:szCs w:val="13"/>
                <w:color w:val="auto"/>
              </w:rPr>
              <w:t>Increase in accrued interest payable</w:t>
            </w:r>
          </w:p>
        </w:tc>
        <w:tc>
          <w:tcPr>
            <w:tcW w:w="360" w:type="dxa"/>
            <w:vAlign w:val="bottom"/>
            <w:tcBorders>
              <w:bottom w:val="single" w:sz="8" w:color="CCEEFF"/>
            </w:tcBorders>
            <w:shd w:val="clear" w:color="auto" w:fill="CCEEFF"/>
          </w:tcPr>
          <w:p>
            <w:pPr>
              <w:spacing w:after="0"/>
              <w:rPr>
                <w:sz w:val="16"/>
                <w:szCs w:val="16"/>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479</w:t>
            </w:r>
          </w:p>
        </w:tc>
        <w:tc>
          <w:tcPr>
            <w:tcW w:w="100" w:type="dxa"/>
            <w:vAlign w:val="bottom"/>
            <w:tcBorders>
              <w:bottom w:val="single" w:sz="8" w:color="CCEEFF"/>
            </w:tcBorders>
            <w:shd w:val="clear" w:color="auto" w:fill="CCEEFF"/>
          </w:tcPr>
          <w:p>
            <w:pPr>
              <w:spacing w:after="0"/>
              <w:rPr>
                <w:sz w:val="16"/>
                <w:szCs w:val="16"/>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4,213</w:t>
            </w:r>
          </w:p>
        </w:tc>
      </w:tr>
      <w:tr>
        <w:trPr>
          <w:trHeight w:val="178"/>
        </w:trPr>
        <w:tc>
          <w:tcPr>
            <w:tcW w:w="8940" w:type="dxa"/>
            <w:vAlign w:val="bottom"/>
          </w:tcPr>
          <w:p>
            <w:pPr>
              <w:ind w:left="180"/>
              <w:spacing w:after="0"/>
              <w:rPr>
                <w:sz w:val="20"/>
                <w:szCs w:val="20"/>
                <w:color w:val="auto"/>
              </w:rPr>
            </w:pPr>
            <w:r>
              <w:rPr>
                <w:rFonts w:ascii="Arial" w:cs="Arial" w:eastAsia="Arial" w:hAnsi="Arial"/>
                <w:sz w:val="13"/>
                <w:szCs w:val="13"/>
                <w:color w:val="auto"/>
              </w:rPr>
              <w:t>Decrease in other liabilities</w:t>
            </w:r>
          </w:p>
        </w:tc>
        <w:tc>
          <w:tcPr>
            <w:tcW w:w="36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(5,741)</w:t>
            </w:r>
          </w:p>
        </w:tc>
        <w:tc>
          <w:tcPr>
            <w:tcW w:w="100" w:type="dxa"/>
            <w:vAlign w:val="bottom"/>
          </w:tcPr>
          <w:p>
            <w:pPr>
              <w:spacing w:after="0"/>
              <w:rPr>
                <w:sz w:val="15"/>
                <w:szCs w:val="15"/>
                <w:color w:val="auto"/>
              </w:rPr>
            </w:pPr>
          </w:p>
        </w:tc>
        <w:tc>
          <w:tcPr>
            <w:tcW w:w="1200" w:type="dxa"/>
            <w:vAlign w:val="bottom"/>
          </w:tcPr>
          <w:p>
            <w:pPr>
              <w:jc w:val="right"/>
              <w:spacing w:after="0"/>
              <w:rPr>
                <w:sz w:val="20"/>
                <w:szCs w:val="20"/>
                <w:color w:val="auto"/>
              </w:rPr>
            </w:pPr>
            <w:r>
              <w:rPr>
                <w:rFonts w:ascii="Arial" w:cs="Arial" w:eastAsia="Arial" w:hAnsi="Arial"/>
                <w:sz w:val="13"/>
                <w:szCs w:val="13"/>
                <w:color w:val="auto"/>
              </w:rPr>
              <w:t>(36,205)</w:t>
            </w:r>
          </w:p>
        </w:tc>
      </w:tr>
      <w:tr>
        <w:trPr>
          <w:trHeight w:val="27"/>
        </w:trPr>
        <w:tc>
          <w:tcPr>
            <w:tcW w:w="8940" w:type="dxa"/>
            <w:vAlign w:val="bottom"/>
          </w:tcPr>
          <w:p>
            <w:pPr>
              <w:spacing w:after="0"/>
              <w:rPr>
                <w:sz w:val="2"/>
                <w:szCs w:val="2"/>
                <w:color w:val="auto"/>
              </w:rPr>
            </w:pPr>
          </w:p>
        </w:tc>
        <w:tc>
          <w:tcPr>
            <w:tcW w:w="36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05"/>
        </w:trPr>
        <w:tc>
          <w:tcPr>
            <w:tcW w:w="89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3"/>
                <w:szCs w:val="13"/>
                <w:color w:val="auto"/>
              </w:rPr>
              <w:t>Decrease in due to customers</w:t>
            </w:r>
          </w:p>
        </w:tc>
        <w:tc>
          <w:tcPr>
            <w:tcW w:w="360" w:type="dxa"/>
            <w:vAlign w:val="bottom"/>
            <w:tcBorders>
              <w:bottom w:val="single" w:sz="8" w:color="CCEEFF"/>
            </w:tcBorders>
            <w:shd w:val="clear" w:color="auto" w:fill="CCEEFF"/>
          </w:tcPr>
          <w:p>
            <w:pPr>
              <w:spacing w:after="0"/>
              <w:rPr>
                <w:sz w:val="17"/>
                <w:szCs w:val="17"/>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(153,207)</w:t>
            </w:r>
          </w:p>
        </w:tc>
        <w:tc>
          <w:tcPr>
            <w:tcW w:w="100" w:type="dxa"/>
            <w:vAlign w:val="bottom"/>
            <w:tcBorders>
              <w:bottom w:val="single" w:sz="8" w:color="CCEEFF"/>
            </w:tcBorders>
            <w:shd w:val="clear" w:color="auto" w:fill="CCEEFF"/>
          </w:tcPr>
          <w:p>
            <w:pPr>
              <w:spacing w:after="0"/>
              <w:rPr>
                <w:sz w:val="17"/>
                <w:szCs w:val="17"/>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(58,606)</w:t>
            </w:r>
          </w:p>
        </w:tc>
      </w:tr>
      <w:tr>
        <w:trPr>
          <w:trHeight w:val="169"/>
        </w:trPr>
        <w:tc>
          <w:tcPr>
            <w:tcW w:w="8940" w:type="dxa"/>
            <w:vAlign w:val="bottom"/>
          </w:tcPr>
          <w:p>
            <w:pPr>
              <w:ind w:left="260"/>
              <w:spacing w:after="0"/>
              <w:rPr>
                <w:sz w:val="20"/>
                <w:szCs w:val="20"/>
                <w:color w:val="auto"/>
              </w:rPr>
            </w:pPr>
            <w:r>
              <w:rPr>
                <w:rFonts w:ascii="Arial" w:cs="Arial" w:eastAsia="Arial" w:hAnsi="Arial"/>
                <w:sz w:val="13"/>
                <w:szCs w:val="13"/>
                <w:color w:val="auto"/>
              </w:rPr>
              <w:t>Net cash (used in) provided by operating activities</w:t>
            </w:r>
          </w:p>
        </w:tc>
        <w:tc>
          <w:tcPr>
            <w:tcW w:w="360" w:type="dxa"/>
            <w:vAlign w:val="bottom"/>
            <w:tcBorders>
              <w:top w:val="single" w:sz="8" w:color="auto"/>
            </w:tcBorders>
          </w:tcPr>
          <w:p>
            <w:pPr>
              <w:spacing w:after="0"/>
              <w:rPr>
                <w:sz w:val="14"/>
                <w:szCs w:val="14"/>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(139,665)</w:t>
            </w:r>
          </w:p>
        </w:tc>
        <w:tc>
          <w:tcPr>
            <w:tcW w:w="100" w:type="dxa"/>
            <w:vAlign w:val="bottom"/>
          </w:tcPr>
          <w:p>
            <w:pPr>
              <w:spacing w:after="0"/>
              <w:rPr>
                <w:sz w:val="14"/>
                <w:szCs w:val="14"/>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57,952</w:t>
            </w:r>
          </w:p>
        </w:tc>
      </w:tr>
      <w:tr>
        <w:trPr>
          <w:trHeight w:val="27"/>
        </w:trPr>
        <w:tc>
          <w:tcPr>
            <w:tcW w:w="89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163"/>
        </w:trPr>
        <w:tc>
          <w:tcPr>
            <w:tcW w:w="8940" w:type="dxa"/>
            <w:vAlign w:val="bottom"/>
            <w:shd w:val="clear" w:color="auto" w:fill="CCEEFF"/>
          </w:tcPr>
          <w:p>
            <w:pPr>
              <w:ind w:left="20"/>
              <w:spacing w:after="0"/>
              <w:rPr>
                <w:sz w:val="20"/>
                <w:szCs w:val="20"/>
                <w:color w:val="auto"/>
              </w:rPr>
            </w:pPr>
            <w:r>
              <w:rPr>
                <w:rFonts w:ascii="Arial" w:cs="Arial" w:eastAsia="Arial" w:hAnsi="Arial"/>
                <w:sz w:val="13"/>
                <w:szCs w:val="13"/>
                <w:color w:val="auto"/>
              </w:rPr>
              <w:t>Cash flows from investing activities, net of acquisition:</w:t>
            </w:r>
          </w:p>
        </w:tc>
        <w:tc>
          <w:tcPr>
            <w:tcW w:w="360" w:type="dxa"/>
            <w:vAlign w:val="bottom"/>
            <w:shd w:val="clear" w:color="auto" w:fill="CCEEFF"/>
          </w:tcPr>
          <w:p>
            <w:pPr>
              <w:spacing w:after="0"/>
              <w:rPr>
                <w:sz w:val="14"/>
                <w:szCs w:val="14"/>
                <w:color w:val="auto"/>
              </w:rPr>
            </w:pPr>
          </w:p>
        </w:tc>
        <w:tc>
          <w:tcPr>
            <w:tcW w:w="8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200" w:type="dxa"/>
            <w:vAlign w:val="bottom"/>
            <w:shd w:val="clear" w:color="auto" w:fill="CCEEFF"/>
          </w:tcPr>
          <w:p>
            <w:pPr>
              <w:spacing w:after="0"/>
              <w:rPr>
                <w:sz w:val="14"/>
                <w:szCs w:val="14"/>
                <w:color w:val="auto"/>
              </w:rPr>
            </w:pPr>
          </w:p>
        </w:tc>
      </w:tr>
      <w:tr>
        <w:trPr>
          <w:trHeight w:val="202"/>
        </w:trPr>
        <w:tc>
          <w:tcPr>
            <w:tcW w:w="8940" w:type="dxa"/>
            <w:vAlign w:val="bottom"/>
          </w:tcPr>
          <w:p>
            <w:pPr>
              <w:ind w:left="200"/>
              <w:spacing w:after="0"/>
              <w:rPr>
                <w:sz w:val="20"/>
                <w:szCs w:val="20"/>
                <w:color w:val="auto"/>
              </w:rPr>
            </w:pPr>
            <w:r>
              <w:rPr>
                <w:rFonts w:ascii="Arial" w:cs="Arial" w:eastAsia="Arial" w:hAnsi="Arial"/>
                <w:sz w:val="13"/>
                <w:szCs w:val="13"/>
                <w:color w:val="auto"/>
              </w:rPr>
              <w:t>Purchases of loans</w:t>
            </w:r>
          </w:p>
        </w:tc>
        <w:tc>
          <w:tcPr>
            <w:tcW w:w="36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(344,631)</w:t>
            </w:r>
          </w:p>
        </w:tc>
        <w:tc>
          <w:tcPr>
            <w:tcW w:w="10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3"/>
                <w:szCs w:val="13"/>
                <w:color w:val="auto"/>
              </w:rPr>
              <w:t>(610,855)</w:t>
            </w:r>
          </w:p>
        </w:tc>
      </w:tr>
      <w:tr>
        <w:trPr>
          <w:trHeight w:val="207"/>
        </w:trPr>
        <w:tc>
          <w:tcPr>
            <w:tcW w:w="8940" w:type="dxa"/>
            <w:vAlign w:val="bottom"/>
            <w:shd w:val="clear" w:color="auto" w:fill="CCEEFF"/>
          </w:tcPr>
          <w:p>
            <w:pPr>
              <w:ind w:left="200"/>
              <w:spacing w:after="0"/>
              <w:rPr>
                <w:sz w:val="20"/>
                <w:szCs w:val="20"/>
                <w:color w:val="auto"/>
              </w:rPr>
            </w:pPr>
            <w:r>
              <w:rPr>
                <w:rFonts w:ascii="Arial" w:cs="Arial" w:eastAsia="Arial" w:hAnsi="Arial"/>
                <w:sz w:val="13"/>
                <w:szCs w:val="13"/>
                <w:color w:val="auto"/>
              </w:rPr>
              <w:t>Net proceeds from loan repayments, claims, capitalized interest, and other</w:t>
            </w:r>
          </w:p>
        </w:tc>
        <w:tc>
          <w:tcPr>
            <w:tcW w:w="36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769,996</w:t>
            </w:r>
          </w:p>
        </w:tc>
        <w:tc>
          <w:tcPr>
            <w:tcW w:w="10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863,270</w:t>
            </w:r>
          </w:p>
        </w:tc>
      </w:tr>
      <w:tr>
        <w:trPr>
          <w:trHeight w:val="178"/>
        </w:trPr>
        <w:tc>
          <w:tcPr>
            <w:tcW w:w="8940" w:type="dxa"/>
            <w:vAlign w:val="bottom"/>
          </w:tcPr>
          <w:p>
            <w:pPr>
              <w:ind w:left="180"/>
              <w:spacing w:after="0"/>
              <w:rPr>
                <w:sz w:val="20"/>
                <w:szCs w:val="20"/>
                <w:color w:val="auto"/>
              </w:rPr>
            </w:pPr>
            <w:r>
              <w:rPr>
                <w:rFonts w:ascii="Arial" w:cs="Arial" w:eastAsia="Arial" w:hAnsi="Arial"/>
                <w:sz w:val="13"/>
                <w:szCs w:val="13"/>
                <w:color w:val="auto"/>
              </w:rPr>
              <w:t>Purchases of available-for-sale securities</w:t>
            </w:r>
          </w:p>
        </w:tc>
        <w:tc>
          <w:tcPr>
            <w:tcW w:w="360" w:type="dxa"/>
            <w:vAlign w:val="bottom"/>
          </w:tcPr>
          <w:p>
            <w:pPr>
              <w:spacing w:after="0"/>
              <w:rPr>
                <w:sz w:val="15"/>
                <w:szCs w:val="15"/>
                <w:color w:val="auto"/>
              </w:rPr>
            </w:pPr>
          </w:p>
        </w:tc>
        <w:tc>
          <w:tcPr>
            <w:tcW w:w="92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200" w:type="dxa"/>
            <w:vAlign w:val="bottom"/>
          </w:tcPr>
          <w:p>
            <w:pPr>
              <w:jc w:val="right"/>
              <w:spacing w:after="0"/>
              <w:rPr>
                <w:sz w:val="20"/>
                <w:szCs w:val="20"/>
                <w:color w:val="auto"/>
              </w:rPr>
            </w:pPr>
            <w:r>
              <w:rPr>
                <w:rFonts w:ascii="Arial" w:cs="Arial" w:eastAsia="Arial" w:hAnsi="Arial"/>
                <w:sz w:val="13"/>
                <w:szCs w:val="13"/>
                <w:color w:val="auto"/>
              </w:rPr>
              <w:t>(28,164)</w:t>
            </w:r>
          </w:p>
        </w:tc>
      </w:tr>
      <w:tr>
        <w:trPr>
          <w:trHeight w:val="27"/>
        </w:trPr>
        <w:tc>
          <w:tcPr>
            <w:tcW w:w="8940" w:type="dxa"/>
            <w:vAlign w:val="bottom"/>
          </w:tcPr>
          <w:p>
            <w:pPr>
              <w:spacing w:after="0"/>
              <w:rPr>
                <w:sz w:val="2"/>
                <w:szCs w:val="2"/>
                <w:color w:val="auto"/>
              </w:rPr>
            </w:pPr>
          </w:p>
        </w:tc>
        <w:tc>
          <w:tcPr>
            <w:tcW w:w="36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185"/>
        </w:trPr>
        <w:tc>
          <w:tcPr>
            <w:tcW w:w="89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3"/>
                <w:szCs w:val="13"/>
                <w:color w:val="auto"/>
              </w:rPr>
              <w:t>Proceeds from sales of available-for-sale securities</w:t>
            </w:r>
          </w:p>
        </w:tc>
        <w:tc>
          <w:tcPr>
            <w:tcW w:w="360" w:type="dxa"/>
            <w:vAlign w:val="bottom"/>
            <w:tcBorders>
              <w:bottom w:val="single" w:sz="8" w:color="CCEEFF"/>
            </w:tcBorders>
            <w:shd w:val="clear" w:color="auto" w:fill="CCEEFF"/>
          </w:tcPr>
          <w:p>
            <w:pPr>
              <w:spacing w:after="0"/>
              <w:rPr>
                <w:sz w:val="16"/>
                <w:szCs w:val="16"/>
                <w:color w:val="auto"/>
              </w:rPr>
            </w:pPr>
          </w:p>
        </w:tc>
        <w:tc>
          <w:tcPr>
            <w:tcW w:w="92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21,951</w:t>
            </w:r>
          </w:p>
        </w:tc>
      </w:tr>
      <w:tr>
        <w:trPr>
          <w:trHeight w:val="202"/>
        </w:trPr>
        <w:tc>
          <w:tcPr>
            <w:tcW w:w="8940" w:type="dxa"/>
            <w:vAlign w:val="bottom"/>
          </w:tcPr>
          <w:p>
            <w:pPr>
              <w:ind w:left="200"/>
              <w:spacing w:after="0"/>
              <w:rPr>
                <w:sz w:val="20"/>
                <w:szCs w:val="20"/>
                <w:color w:val="auto"/>
              </w:rPr>
            </w:pPr>
            <w:r>
              <w:rPr>
                <w:rFonts w:ascii="Arial" w:cs="Arial" w:eastAsia="Arial" w:hAnsi="Arial"/>
                <w:sz w:val="13"/>
                <w:szCs w:val="13"/>
                <w:color w:val="auto"/>
              </w:rPr>
              <w:t>Purchases of investments and issuance of notes receivable</w:t>
            </w:r>
          </w:p>
        </w:tc>
        <w:tc>
          <w:tcPr>
            <w:tcW w:w="36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(15,970)</w:t>
            </w:r>
          </w:p>
        </w:tc>
        <w:tc>
          <w:tcPr>
            <w:tcW w:w="10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3"/>
                <w:szCs w:val="13"/>
                <w:color w:val="auto"/>
              </w:rPr>
              <w:t>(16,370)</w:t>
            </w:r>
          </w:p>
        </w:tc>
      </w:tr>
      <w:tr>
        <w:trPr>
          <w:trHeight w:val="187"/>
        </w:trPr>
        <w:tc>
          <w:tcPr>
            <w:tcW w:w="89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3"/>
                <w:szCs w:val="13"/>
                <w:color w:val="auto"/>
              </w:rPr>
              <w:t>Proceeds from investments and notes receivable</w:t>
            </w:r>
          </w:p>
        </w:tc>
        <w:tc>
          <w:tcPr>
            <w:tcW w:w="360" w:type="dxa"/>
            <w:vAlign w:val="bottom"/>
            <w:tcBorders>
              <w:bottom w:val="single" w:sz="8" w:color="CCEEFF"/>
            </w:tcBorders>
            <w:shd w:val="clear" w:color="auto" w:fill="CCEEFF"/>
          </w:tcPr>
          <w:p>
            <w:pPr>
              <w:spacing w:after="0"/>
              <w:rPr>
                <w:sz w:val="16"/>
                <w:szCs w:val="16"/>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1,719</w:t>
            </w:r>
          </w:p>
        </w:tc>
        <w:tc>
          <w:tcPr>
            <w:tcW w:w="100" w:type="dxa"/>
            <w:vAlign w:val="bottom"/>
            <w:tcBorders>
              <w:bottom w:val="single" w:sz="8" w:color="CCEEFF"/>
            </w:tcBorders>
            <w:shd w:val="clear" w:color="auto" w:fill="CCEEFF"/>
          </w:tcPr>
          <w:p>
            <w:pPr>
              <w:spacing w:after="0"/>
              <w:rPr>
                <w:sz w:val="16"/>
                <w:szCs w:val="16"/>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9,718</w:t>
            </w:r>
          </w:p>
        </w:tc>
      </w:tr>
      <w:tr>
        <w:trPr>
          <w:trHeight w:val="178"/>
        </w:trPr>
        <w:tc>
          <w:tcPr>
            <w:tcW w:w="8940" w:type="dxa"/>
            <w:vAlign w:val="bottom"/>
          </w:tcPr>
          <w:p>
            <w:pPr>
              <w:ind w:left="180"/>
              <w:spacing w:after="0"/>
              <w:rPr>
                <w:sz w:val="20"/>
                <w:szCs w:val="20"/>
                <w:color w:val="auto"/>
              </w:rPr>
            </w:pPr>
            <w:r>
              <w:rPr>
                <w:rFonts w:ascii="Arial" w:cs="Arial" w:eastAsia="Arial" w:hAnsi="Arial"/>
                <w:sz w:val="13"/>
                <w:szCs w:val="13"/>
                <w:color w:val="auto"/>
              </w:rPr>
              <w:t>Purchases of property and equipment</w:t>
            </w:r>
          </w:p>
        </w:tc>
        <w:tc>
          <w:tcPr>
            <w:tcW w:w="36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(24,813)</w:t>
            </w:r>
          </w:p>
        </w:tc>
        <w:tc>
          <w:tcPr>
            <w:tcW w:w="100" w:type="dxa"/>
            <w:vAlign w:val="bottom"/>
          </w:tcPr>
          <w:p>
            <w:pPr>
              <w:spacing w:after="0"/>
              <w:rPr>
                <w:sz w:val="15"/>
                <w:szCs w:val="15"/>
                <w:color w:val="auto"/>
              </w:rPr>
            </w:pPr>
          </w:p>
        </w:tc>
        <w:tc>
          <w:tcPr>
            <w:tcW w:w="1200" w:type="dxa"/>
            <w:vAlign w:val="bottom"/>
          </w:tcPr>
          <w:p>
            <w:pPr>
              <w:jc w:val="right"/>
              <w:spacing w:after="0"/>
              <w:rPr>
                <w:sz w:val="20"/>
                <w:szCs w:val="20"/>
                <w:color w:val="auto"/>
              </w:rPr>
            </w:pPr>
            <w:r>
              <w:rPr>
                <w:rFonts w:ascii="Arial" w:cs="Arial" w:eastAsia="Arial" w:hAnsi="Arial"/>
                <w:sz w:val="13"/>
                <w:szCs w:val="13"/>
                <w:color w:val="auto"/>
              </w:rPr>
              <w:t>(28,068)</w:t>
            </w:r>
          </w:p>
        </w:tc>
      </w:tr>
      <w:tr>
        <w:trPr>
          <w:trHeight w:val="27"/>
        </w:trPr>
        <w:tc>
          <w:tcPr>
            <w:tcW w:w="8940" w:type="dxa"/>
            <w:vAlign w:val="bottom"/>
          </w:tcPr>
          <w:p>
            <w:pPr>
              <w:spacing w:after="0"/>
              <w:rPr>
                <w:sz w:val="2"/>
                <w:szCs w:val="2"/>
                <w:color w:val="auto"/>
              </w:rPr>
            </w:pPr>
          </w:p>
        </w:tc>
        <w:tc>
          <w:tcPr>
            <w:tcW w:w="36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05"/>
        </w:trPr>
        <w:tc>
          <w:tcPr>
            <w:tcW w:w="89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3"/>
                <w:szCs w:val="13"/>
                <w:color w:val="auto"/>
              </w:rPr>
              <w:t>Business acquisition, net of cash and restricted cash acquired</w:t>
            </w:r>
          </w:p>
        </w:tc>
        <w:tc>
          <w:tcPr>
            <w:tcW w:w="360" w:type="dxa"/>
            <w:vAlign w:val="bottom"/>
            <w:tcBorders>
              <w:bottom w:val="single" w:sz="8" w:color="CCEEFF"/>
            </w:tcBorders>
            <w:shd w:val="clear" w:color="auto" w:fill="CCEEFF"/>
          </w:tcPr>
          <w:p>
            <w:pPr>
              <w:spacing w:after="0"/>
              <w:rPr>
                <w:sz w:val="17"/>
                <w:szCs w:val="17"/>
                <w:color w:val="auto"/>
              </w:rPr>
            </w:pPr>
          </w:p>
        </w:tc>
        <w:tc>
          <w:tcPr>
            <w:tcW w:w="92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(109,152)</w:t>
            </w:r>
          </w:p>
        </w:tc>
      </w:tr>
      <w:tr>
        <w:trPr>
          <w:trHeight w:val="169"/>
        </w:trPr>
        <w:tc>
          <w:tcPr>
            <w:tcW w:w="8940" w:type="dxa"/>
            <w:vAlign w:val="bottom"/>
          </w:tcPr>
          <w:p>
            <w:pPr>
              <w:ind w:left="260"/>
              <w:spacing w:after="0"/>
              <w:rPr>
                <w:sz w:val="20"/>
                <w:szCs w:val="20"/>
                <w:color w:val="auto"/>
              </w:rPr>
            </w:pPr>
            <w:r>
              <w:rPr>
                <w:rFonts w:ascii="Arial" w:cs="Arial" w:eastAsia="Arial" w:hAnsi="Arial"/>
                <w:sz w:val="13"/>
                <w:szCs w:val="13"/>
                <w:color w:val="auto"/>
              </w:rPr>
              <w:t>Net cash provided by investing activities</w:t>
            </w:r>
          </w:p>
        </w:tc>
        <w:tc>
          <w:tcPr>
            <w:tcW w:w="360" w:type="dxa"/>
            <w:vAlign w:val="bottom"/>
            <w:tcBorders>
              <w:top w:val="single" w:sz="8" w:color="auto"/>
            </w:tcBorders>
          </w:tcPr>
          <w:p>
            <w:pPr>
              <w:spacing w:after="0"/>
              <w:rPr>
                <w:sz w:val="14"/>
                <w:szCs w:val="14"/>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386,301</w:t>
            </w:r>
          </w:p>
        </w:tc>
        <w:tc>
          <w:tcPr>
            <w:tcW w:w="100" w:type="dxa"/>
            <w:vAlign w:val="bottom"/>
          </w:tcPr>
          <w:p>
            <w:pPr>
              <w:spacing w:after="0"/>
              <w:rPr>
                <w:sz w:val="14"/>
                <w:szCs w:val="14"/>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102,330</w:t>
            </w:r>
          </w:p>
        </w:tc>
      </w:tr>
      <w:tr>
        <w:trPr>
          <w:trHeight w:val="27"/>
        </w:trPr>
        <w:tc>
          <w:tcPr>
            <w:tcW w:w="89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176"/>
        </w:trPr>
        <w:tc>
          <w:tcPr>
            <w:tcW w:w="89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Cash flows from financing activities:</w:t>
            </w:r>
          </w:p>
        </w:tc>
        <w:tc>
          <w:tcPr>
            <w:tcW w:w="360" w:type="dxa"/>
            <w:vAlign w:val="bottom"/>
            <w:tcBorders>
              <w:bottom w:val="single" w:sz="8" w:color="CCEEFF"/>
            </w:tcBorders>
            <w:shd w:val="clear" w:color="auto" w:fill="CCEEFF"/>
          </w:tcPr>
          <w:p>
            <w:pPr>
              <w:spacing w:after="0"/>
              <w:rPr>
                <w:sz w:val="15"/>
                <w:szCs w:val="15"/>
                <w:color w:val="auto"/>
              </w:rPr>
            </w:pPr>
          </w:p>
        </w:tc>
        <w:tc>
          <w:tcPr>
            <w:tcW w:w="82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200" w:type="dxa"/>
            <w:vAlign w:val="bottom"/>
            <w:tcBorders>
              <w:bottom w:val="single" w:sz="8" w:color="CCEEFF"/>
            </w:tcBorders>
            <w:shd w:val="clear" w:color="auto" w:fill="CCEEFF"/>
          </w:tcPr>
          <w:p>
            <w:pPr>
              <w:spacing w:after="0"/>
              <w:rPr>
                <w:sz w:val="15"/>
                <w:szCs w:val="15"/>
                <w:color w:val="auto"/>
              </w:rPr>
            </w:pPr>
          </w:p>
        </w:tc>
      </w:tr>
      <w:tr>
        <w:trPr>
          <w:trHeight w:val="178"/>
        </w:trPr>
        <w:tc>
          <w:tcPr>
            <w:tcW w:w="8940" w:type="dxa"/>
            <w:vAlign w:val="bottom"/>
          </w:tcPr>
          <w:p>
            <w:pPr>
              <w:ind w:left="180"/>
              <w:spacing w:after="0"/>
              <w:rPr>
                <w:sz w:val="20"/>
                <w:szCs w:val="20"/>
                <w:color w:val="auto"/>
              </w:rPr>
            </w:pPr>
            <w:r>
              <w:rPr>
                <w:rFonts w:ascii="Arial" w:cs="Arial" w:eastAsia="Arial" w:hAnsi="Arial"/>
                <w:sz w:val="13"/>
                <w:szCs w:val="13"/>
                <w:color w:val="auto"/>
              </w:rPr>
              <w:t>Payments on bonds and notes payable</w:t>
            </w:r>
          </w:p>
        </w:tc>
        <w:tc>
          <w:tcPr>
            <w:tcW w:w="36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(932,007)</w:t>
            </w:r>
          </w:p>
        </w:tc>
        <w:tc>
          <w:tcPr>
            <w:tcW w:w="100" w:type="dxa"/>
            <w:vAlign w:val="bottom"/>
          </w:tcPr>
          <w:p>
            <w:pPr>
              <w:spacing w:after="0"/>
              <w:rPr>
                <w:sz w:val="15"/>
                <w:szCs w:val="15"/>
                <w:color w:val="auto"/>
              </w:rPr>
            </w:pPr>
          </w:p>
        </w:tc>
        <w:tc>
          <w:tcPr>
            <w:tcW w:w="1200" w:type="dxa"/>
            <w:vAlign w:val="bottom"/>
          </w:tcPr>
          <w:p>
            <w:pPr>
              <w:jc w:val="right"/>
              <w:spacing w:after="0"/>
              <w:rPr>
                <w:sz w:val="20"/>
                <w:szCs w:val="20"/>
                <w:color w:val="auto"/>
              </w:rPr>
            </w:pPr>
            <w:r>
              <w:rPr>
                <w:rFonts w:ascii="Arial" w:cs="Arial" w:eastAsia="Arial" w:hAnsi="Arial"/>
                <w:sz w:val="13"/>
                <w:szCs w:val="13"/>
                <w:color w:val="auto"/>
              </w:rPr>
              <w:t>(901,008)</w:t>
            </w:r>
          </w:p>
        </w:tc>
      </w:tr>
      <w:tr>
        <w:trPr>
          <w:trHeight w:val="27"/>
        </w:trPr>
        <w:tc>
          <w:tcPr>
            <w:tcW w:w="8940" w:type="dxa"/>
            <w:vAlign w:val="bottom"/>
          </w:tcPr>
          <w:p>
            <w:pPr>
              <w:spacing w:after="0"/>
              <w:rPr>
                <w:sz w:val="2"/>
                <w:szCs w:val="2"/>
                <w:color w:val="auto"/>
              </w:rPr>
            </w:pPr>
          </w:p>
        </w:tc>
        <w:tc>
          <w:tcPr>
            <w:tcW w:w="36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185"/>
        </w:trPr>
        <w:tc>
          <w:tcPr>
            <w:tcW w:w="89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3"/>
                <w:szCs w:val="13"/>
                <w:color w:val="auto"/>
              </w:rPr>
              <w:t>Proceeds from issuance of bonds and notes payable</w:t>
            </w:r>
          </w:p>
        </w:tc>
        <w:tc>
          <w:tcPr>
            <w:tcW w:w="360" w:type="dxa"/>
            <w:vAlign w:val="bottom"/>
            <w:tcBorders>
              <w:bottom w:val="single" w:sz="8" w:color="CCEEFF"/>
            </w:tcBorders>
            <w:shd w:val="clear" w:color="auto" w:fill="CCEEFF"/>
          </w:tcPr>
          <w:p>
            <w:pPr>
              <w:spacing w:after="0"/>
              <w:rPr>
                <w:sz w:val="16"/>
                <w:szCs w:val="16"/>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570,532</w:t>
            </w:r>
          </w:p>
        </w:tc>
        <w:tc>
          <w:tcPr>
            <w:tcW w:w="100" w:type="dxa"/>
            <w:vAlign w:val="bottom"/>
            <w:tcBorders>
              <w:bottom w:val="single" w:sz="8" w:color="CCEEFF"/>
            </w:tcBorders>
            <w:shd w:val="clear" w:color="auto" w:fill="CCEEFF"/>
          </w:tcPr>
          <w:p>
            <w:pPr>
              <w:spacing w:after="0"/>
              <w:rPr>
                <w:sz w:val="16"/>
                <w:szCs w:val="16"/>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756,700</w:t>
            </w:r>
          </w:p>
        </w:tc>
      </w:tr>
      <w:tr>
        <w:trPr>
          <w:trHeight w:val="178"/>
        </w:trPr>
        <w:tc>
          <w:tcPr>
            <w:tcW w:w="8940" w:type="dxa"/>
            <w:vAlign w:val="bottom"/>
          </w:tcPr>
          <w:p>
            <w:pPr>
              <w:ind w:left="180"/>
              <w:spacing w:after="0"/>
              <w:rPr>
                <w:sz w:val="20"/>
                <w:szCs w:val="20"/>
                <w:color w:val="auto"/>
              </w:rPr>
            </w:pPr>
            <w:r>
              <w:rPr>
                <w:rFonts w:ascii="Arial" w:cs="Arial" w:eastAsia="Arial" w:hAnsi="Arial"/>
                <w:sz w:val="13"/>
                <w:szCs w:val="13"/>
                <w:color w:val="auto"/>
              </w:rPr>
              <w:t>Payments of debt issuance costs</w:t>
            </w:r>
          </w:p>
        </w:tc>
        <w:tc>
          <w:tcPr>
            <w:tcW w:w="36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(2,776)</w:t>
            </w:r>
          </w:p>
        </w:tc>
        <w:tc>
          <w:tcPr>
            <w:tcW w:w="100" w:type="dxa"/>
            <w:vAlign w:val="bottom"/>
          </w:tcPr>
          <w:p>
            <w:pPr>
              <w:spacing w:after="0"/>
              <w:rPr>
                <w:sz w:val="15"/>
                <w:szCs w:val="15"/>
                <w:color w:val="auto"/>
              </w:rPr>
            </w:pPr>
          </w:p>
        </w:tc>
        <w:tc>
          <w:tcPr>
            <w:tcW w:w="1200" w:type="dxa"/>
            <w:vAlign w:val="bottom"/>
          </w:tcPr>
          <w:p>
            <w:pPr>
              <w:jc w:val="right"/>
              <w:spacing w:after="0"/>
              <w:rPr>
                <w:sz w:val="20"/>
                <w:szCs w:val="20"/>
                <w:color w:val="auto"/>
              </w:rPr>
            </w:pPr>
            <w:r>
              <w:rPr>
                <w:rFonts w:ascii="Arial" w:cs="Arial" w:eastAsia="Arial" w:hAnsi="Arial"/>
                <w:sz w:val="13"/>
                <w:szCs w:val="13"/>
                <w:color w:val="auto"/>
              </w:rPr>
              <w:t>(1,650)</w:t>
            </w:r>
          </w:p>
        </w:tc>
      </w:tr>
      <w:tr>
        <w:trPr>
          <w:trHeight w:val="27"/>
        </w:trPr>
        <w:tc>
          <w:tcPr>
            <w:tcW w:w="8940" w:type="dxa"/>
            <w:vAlign w:val="bottom"/>
          </w:tcPr>
          <w:p>
            <w:pPr>
              <w:spacing w:after="0"/>
              <w:rPr>
                <w:sz w:val="2"/>
                <w:szCs w:val="2"/>
                <w:color w:val="auto"/>
              </w:rPr>
            </w:pPr>
          </w:p>
        </w:tc>
        <w:tc>
          <w:tcPr>
            <w:tcW w:w="36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185"/>
        </w:trPr>
        <w:tc>
          <w:tcPr>
            <w:tcW w:w="89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3"/>
                <w:szCs w:val="13"/>
                <w:color w:val="auto"/>
              </w:rPr>
              <w:t>Dividends paid</w:t>
            </w:r>
          </w:p>
        </w:tc>
        <w:tc>
          <w:tcPr>
            <w:tcW w:w="360" w:type="dxa"/>
            <w:vAlign w:val="bottom"/>
            <w:tcBorders>
              <w:bottom w:val="single" w:sz="8" w:color="CCEEFF"/>
            </w:tcBorders>
            <w:shd w:val="clear" w:color="auto" w:fill="CCEEFF"/>
          </w:tcPr>
          <w:p>
            <w:pPr>
              <w:spacing w:after="0"/>
              <w:rPr>
                <w:sz w:val="16"/>
                <w:szCs w:val="16"/>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(7,232)</w:t>
            </w:r>
          </w:p>
        </w:tc>
        <w:tc>
          <w:tcPr>
            <w:tcW w:w="100" w:type="dxa"/>
            <w:vAlign w:val="bottom"/>
            <w:tcBorders>
              <w:bottom w:val="single" w:sz="8" w:color="CCEEFF"/>
            </w:tcBorders>
            <w:shd w:val="clear" w:color="auto" w:fill="CCEEFF"/>
          </w:tcPr>
          <w:p>
            <w:pPr>
              <w:spacing w:after="0"/>
              <w:rPr>
                <w:sz w:val="16"/>
                <w:szCs w:val="16"/>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(6,506)</w:t>
            </w:r>
          </w:p>
        </w:tc>
      </w:tr>
      <w:tr>
        <w:trPr>
          <w:trHeight w:val="178"/>
        </w:trPr>
        <w:tc>
          <w:tcPr>
            <w:tcW w:w="8940" w:type="dxa"/>
            <w:vAlign w:val="bottom"/>
          </w:tcPr>
          <w:p>
            <w:pPr>
              <w:ind w:left="180"/>
              <w:spacing w:after="0"/>
              <w:rPr>
                <w:sz w:val="20"/>
                <w:szCs w:val="20"/>
                <w:color w:val="auto"/>
              </w:rPr>
            </w:pPr>
            <w:r>
              <w:rPr>
                <w:rFonts w:ascii="Arial" w:cs="Arial" w:eastAsia="Arial" w:hAnsi="Arial"/>
                <w:sz w:val="13"/>
                <w:szCs w:val="13"/>
                <w:color w:val="auto"/>
              </w:rPr>
              <w:t>Repurchases of common stock</w:t>
            </w:r>
          </w:p>
        </w:tc>
        <w:tc>
          <w:tcPr>
            <w:tcW w:w="36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(16,358)</w:t>
            </w:r>
          </w:p>
        </w:tc>
        <w:tc>
          <w:tcPr>
            <w:tcW w:w="100" w:type="dxa"/>
            <w:vAlign w:val="bottom"/>
          </w:tcPr>
          <w:p>
            <w:pPr>
              <w:spacing w:after="0"/>
              <w:rPr>
                <w:sz w:val="15"/>
                <w:szCs w:val="15"/>
                <w:color w:val="auto"/>
              </w:rPr>
            </w:pPr>
          </w:p>
        </w:tc>
        <w:tc>
          <w:tcPr>
            <w:tcW w:w="1200" w:type="dxa"/>
            <w:vAlign w:val="bottom"/>
          </w:tcPr>
          <w:p>
            <w:pPr>
              <w:jc w:val="right"/>
              <w:spacing w:after="0"/>
              <w:rPr>
                <w:sz w:val="20"/>
                <w:szCs w:val="20"/>
                <w:color w:val="auto"/>
              </w:rPr>
            </w:pPr>
            <w:r>
              <w:rPr>
                <w:rFonts w:ascii="Arial" w:cs="Arial" w:eastAsia="Arial" w:hAnsi="Arial"/>
                <w:sz w:val="13"/>
                <w:szCs w:val="13"/>
                <w:color w:val="auto"/>
              </w:rPr>
              <w:t>(11,418)</w:t>
            </w:r>
          </w:p>
        </w:tc>
      </w:tr>
      <w:tr>
        <w:trPr>
          <w:trHeight w:val="27"/>
        </w:trPr>
        <w:tc>
          <w:tcPr>
            <w:tcW w:w="8940" w:type="dxa"/>
            <w:vAlign w:val="bottom"/>
          </w:tcPr>
          <w:p>
            <w:pPr>
              <w:spacing w:after="0"/>
              <w:rPr>
                <w:sz w:val="2"/>
                <w:szCs w:val="2"/>
                <w:color w:val="auto"/>
              </w:rPr>
            </w:pPr>
          </w:p>
        </w:tc>
        <w:tc>
          <w:tcPr>
            <w:tcW w:w="36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185"/>
        </w:trPr>
        <w:tc>
          <w:tcPr>
            <w:tcW w:w="89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3"/>
                <w:szCs w:val="13"/>
                <w:color w:val="auto"/>
              </w:rPr>
              <w:t>Proceeds from issuance of common stock</w:t>
            </w:r>
          </w:p>
        </w:tc>
        <w:tc>
          <w:tcPr>
            <w:tcW w:w="360" w:type="dxa"/>
            <w:vAlign w:val="bottom"/>
            <w:tcBorders>
              <w:bottom w:val="single" w:sz="8" w:color="CCEEFF"/>
            </w:tcBorders>
            <w:shd w:val="clear" w:color="auto" w:fill="CCEEFF"/>
          </w:tcPr>
          <w:p>
            <w:pPr>
              <w:spacing w:after="0"/>
              <w:rPr>
                <w:sz w:val="16"/>
                <w:szCs w:val="16"/>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461</w:t>
            </w:r>
          </w:p>
        </w:tc>
        <w:tc>
          <w:tcPr>
            <w:tcW w:w="100" w:type="dxa"/>
            <w:vAlign w:val="bottom"/>
            <w:tcBorders>
              <w:bottom w:val="single" w:sz="8" w:color="CCEEFF"/>
            </w:tcBorders>
            <w:shd w:val="clear" w:color="auto" w:fill="CCEEFF"/>
          </w:tcPr>
          <w:p>
            <w:pPr>
              <w:spacing w:after="0"/>
              <w:rPr>
                <w:sz w:val="16"/>
                <w:szCs w:val="16"/>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274</w:t>
            </w:r>
          </w:p>
        </w:tc>
      </w:tr>
      <w:tr>
        <w:trPr>
          <w:trHeight w:val="178"/>
        </w:trPr>
        <w:tc>
          <w:tcPr>
            <w:tcW w:w="8940" w:type="dxa"/>
            <w:vAlign w:val="bottom"/>
          </w:tcPr>
          <w:p>
            <w:pPr>
              <w:ind w:left="180"/>
              <w:spacing w:after="0"/>
              <w:rPr>
                <w:sz w:val="20"/>
                <w:szCs w:val="20"/>
                <w:color w:val="auto"/>
              </w:rPr>
            </w:pPr>
            <w:r>
              <w:rPr>
                <w:rFonts w:ascii="Arial" w:cs="Arial" w:eastAsia="Arial" w:hAnsi="Arial"/>
                <w:sz w:val="13"/>
                <w:szCs w:val="13"/>
                <w:color w:val="auto"/>
              </w:rPr>
              <w:t>Acquisition of noncontrolling interest</w:t>
            </w:r>
          </w:p>
        </w:tc>
        <w:tc>
          <w:tcPr>
            <w:tcW w:w="360" w:type="dxa"/>
            <w:vAlign w:val="bottom"/>
          </w:tcPr>
          <w:p>
            <w:pPr>
              <w:spacing w:after="0"/>
              <w:rPr>
                <w:sz w:val="15"/>
                <w:szCs w:val="15"/>
                <w:color w:val="auto"/>
              </w:rPr>
            </w:pPr>
          </w:p>
        </w:tc>
        <w:tc>
          <w:tcPr>
            <w:tcW w:w="92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200" w:type="dxa"/>
            <w:vAlign w:val="bottom"/>
          </w:tcPr>
          <w:p>
            <w:pPr>
              <w:jc w:val="right"/>
              <w:spacing w:after="0"/>
              <w:rPr>
                <w:sz w:val="20"/>
                <w:szCs w:val="20"/>
                <w:color w:val="auto"/>
              </w:rPr>
            </w:pPr>
            <w:r>
              <w:rPr>
                <w:rFonts w:ascii="Arial" w:cs="Arial" w:eastAsia="Arial" w:hAnsi="Arial"/>
                <w:sz w:val="13"/>
                <w:szCs w:val="13"/>
                <w:color w:val="auto"/>
              </w:rPr>
              <w:t>(13,449)</w:t>
            </w:r>
          </w:p>
        </w:tc>
      </w:tr>
      <w:tr>
        <w:trPr>
          <w:trHeight w:val="27"/>
        </w:trPr>
        <w:tc>
          <w:tcPr>
            <w:tcW w:w="8940" w:type="dxa"/>
            <w:vAlign w:val="bottom"/>
          </w:tcPr>
          <w:p>
            <w:pPr>
              <w:spacing w:after="0"/>
              <w:rPr>
                <w:sz w:val="2"/>
                <w:szCs w:val="2"/>
                <w:color w:val="auto"/>
              </w:rPr>
            </w:pPr>
          </w:p>
        </w:tc>
        <w:tc>
          <w:tcPr>
            <w:tcW w:w="36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05"/>
        </w:trPr>
        <w:tc>
          <w:tcPr>
            <w:tcW w:w="89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3"/>
                <w:szCs w:val="13"/>
                <w:color w:val="auto"/>
              </w:rPr>
              <w:t>Distribution to noncontrolling interests</w:t>
            </w:r>
          </w:p>
        </w:tc>
        <w:tc>
          <w:tcPr>
            <w:tcW w:w="360" w:type="dxa"/>
            <w:vAlign w:val="bottom"/>
            <w:tcBorders>
              <w:bottom w:val="single" w:sz="8" w:color="CCEEFF"/>
            </w:tcBorders>
            <w:shd w:val="clear" w:color="auto" w:fill="CCEEFF"/>
          </w:tcPr>
          <w:p>
            <w:pPr>
              <w:spacing w:after="0"/>
              <w:rPr>
                <w:sz w:val="17"/>
                <w:szCs w:val="17"/>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(22)</w:t>
            </w:r>
          </w:p>
        </w:tc>
        <w:tc>
          <w:tcPr>
            <w:tcW w:w="100" w:type="dxa"/>
            <w:vAlign w:val="bottom"/>
            <w:tcBorders>
              <w:bottom w:val="single" w:sz="8" w:color="CCEEFF"/>
            </w:tcBorders>
            <w:shd w:val="clear" w:color="auto" w:fill="CCEEFF"/>
          </w:tcPr>
          <w:p>
            <w:pPr>
              <w:spacing w:after="0"/>
              <w:rPr>
                <w:sz w:val="17"/>
                <w:szCs w:val="17"/>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(19)</w:t>
            </w:r>
          </w:p>
        </w:tc>
      </w:tr>
      <w:tr>
        <w:trPr>
          <w:trHeight w:val="169"/>
        </w:trPr>
        <w:tc>
          <w:tcPr>
            <w:tcW w:w="8940" w:type="dxa"/>
            <w:vAlign w:val="bottom"/>
          </w:tcPr>
          <w:p>
            <w:pPr>
              <w:ind w:left="260"/>
              <w:spacing w:after="0"/>
              <w:rPr>
                <w:sz w:val="20"/>
                <w:szCs w:val="20"/>
                <w:color w:val="auto"/>
              </w:rPr>
            </w:pPr>
            <w:r>
              <w:rPr>
                <w:rFonts w:ascii="Arial" w:cs="Arial" w:eastAsia="Arial" w:hAnsi="Arial"/>
                <w:sz w:val="13"/>
                <w:szCs w:val="13"/>
                <w:color w:val="auto"/>
              </w:rPr>
              <w:t>Net cash used in financing activities</w:t>
            </w:r>
          </w:p>
        </w:tc>
        <w:tc>
          <w:tcPr>
            <w:tcW w:w="360" w:type="dxa"/>
            <w:vAlign w:val="bottom"/>
            <w:tcBorders>
              <w:top w:val="single" w:sz="8" w:color="auto"/>
            </w:tcBorders>
          </w:tcPr>
          <w:p>
            <w:pPr>
              <w:spacing w:after="0"/>
              <w:rPr>
                <w:sz w:val="14"/>
                <w:szCs w:val="14"/>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(387,402)</w:t>
            </w:r>
          </w:p>
        </w:tc>
        <w:tc>
          <w:tcPr>
            <w:tcW w:w="100" w:type="dxa"/>
            <w:vAlign w:val="bottom"/>
          </w:tcPr>
          <w:p>
            <w:pPr>
              <w:spacing w:after="0"/>
              <w:rPr>
                <w:sz w:val="14"/>
                <w:szCs w:val="14"/>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(177,076)</w:t>
            </w:r>
          </w:p>
        </w:tc>
      </w:tr>
      <w:tr>
        <w:trPr>
          <w:trHeight w:val="27"/>
        </w:trPr>
        <w:tc>
          <w:tcPr>
            <w:tcW w:w="89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176"/>
        </w:trPr>
        <w:tc>
          <w:tcPr>
            <w:tcW w:w="894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3"/>
                <w:szCs w:val="13"/>
                <w:color w:val="auto"/>
              </w:rPr>
              <w:t>Net decrease in cash, cash equivalents, and restricted cash</w:t>
            </w:r>
          </w:p>
        </w:tc>
        <w:tc>
          <w:tcPr>
            <w:tcW w:w="360" w:type="dxa"/>
            <w:vAlign w:val="bottom"/>
            <w:tcBorders>
              <w:bottom w:val="single" w:sz="8" w:color="CCEEFF"/>
            </w:tcBorders>
            <w:shd w:val="clear" w:color="auto" w:fill="CCEEFF"/>
          </w:tcPr>
          <w:p>
            <w:pPr>
              <w:spacing w:after="0"/>
              <w:rPr>
                <w:sz w:val="15"/>
                <w:szCs w:val="15"/>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(140,766)</w:t>
            </w:r>
          </w:p>
        </w:tc>
        <w:tc>
          <w:tcPr>
            <w:tcW w:w="100" w:type="dxa"/>
            <w:vAlign w:val="bottom"/>
            <w:tcBorders>
              <w:bottom w:val="single" w:sz="8" w:color="CCEEFF"/>
            </w:tcBorders>
            <w:shd w:val="clear" w:color="auto" w:fill="CCEEFF"/>
          </w:tcPr>
          <w:p>
            <w:pPr>
              <w:spacing w:after="0"/>
              <w:rPr>
                <w:sz w:val="15"/>
                <w:szCs w:val="15"/>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(16,794)</w:t>
            </w:r>
          </w:p>
        </w:tc>
      </w:tr>
      <w:tr>
        <w:trPr>
          <w:trHeight w:val="178"/>
        </w:trPr>
        <w:tc>
          <w:tcPr>
            <w:tcW w:w="8940" w:type="dxa"/>
            <w:vAlign w:val="bottom"/>
          </w:tcPr>
          <w:p>
            <w:pPr>
              <w:ind w:left="20"/>
              <w:spacing w:after="0"/>
              <w:rPr>
                <w:sz w:val="20"/>
                <w:szCs w:val="20"/>
                <w:color w:val="auto"/>
              </w:rPr>
            </w:pPr>
            <w:r>
              <w:rPr>
                <w:rFonts w:ascii="Arial" w:cs="Arial" w:eastAsia="Arial" w:hAnsi="Arial"/>
                <w:sz w:val="13"/>
                <w:szCs w:val="13"/>
                <w:color w:val="auto"/>
              </w:rPr>
              <w:t>Cash, cash equivalents, and restricted cash, beginning of period</w:t>
            </w:r>
          </w:p>
        </w:tc>
        <w:tc>
          <w:tcPr>
            <w:tcW w:w="36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1,192,391</w:t>
            </w:r>
          </w:p>
        </w:tc>
        <w:tc>
          <w:tcPr>
            <w:tcW w:w="100" w:type="dxa"/>
            <w:vAlign w:val="bottom"/>
          </w:tcPr>
          <w:p>
            <w:pPr>
              <w:spacing w:after="0"/>
              <w:rPr>
                <w:sz w:val="15"/>
                <w:szCs w:val="15"/>
                <w:color w:val="auto"/>
              </w:rPr>
            </w:pPr>
          </w:p>
        </w:tc>
        <w:tc>
          <w:tcPr>
            <w:tcW w:w="1200" w:type="dxa"/>
            <w:vAlign w:val="bottom"/>
          </w:tcPr>
          <w:p>
            <w:pPr>
              <w:jc w:val="right"/>
              <w:spacing w:after="0"/>
              <w:rPr>
                <w:sz w:val="20"/>
                <w:szCs w:val="20"/>
                <w:color w:val="auto"/>
              </w:rPr>
            </w:pPr>
            <w:r>
              <w:rPr>
                <w:rFonts w:ascii="Arial" w:cs="Arial" w:eastAsia="Arial" w:hAnsi="Arial"/>
                <w:sz w:val="13"/>
                <w:szCs w:val="13"/>
                <w:color w:val="auto"/>
              </w:rPr>
              <w:t>942,066</w:t>
            </w:r>
          </w:p>
        </w:tc>
      </w:tr>
      <w:tr>
        <w:trPr>
          <w:trHeight w:val="27"/>
        </w:trPr>
        <w:tc>
          <w:tcPr>
            <w:tcW w:w="89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169"/>
        </w:trPr>
        <w:tc>
          <w:tcPr>
            <w:tcW w:w="8940" w:type="dxa"/>
            <w:vAlign w:val="bottom"/>
            <w:shd w:val="clear" w:color="auto" w:fill="CCEEFF"/>
          </w:tcPr>
          <w:p>
            <w:pPr>
              <w:ind w:left="20"/>
              <w:spacing w:after="0"/>
              <w:rPr>
                <w:sz w:val="20"/>
                <w:szCs w:val="20"/>
                <w:color w:val="auto"/>
              </w:rPr>
            </w:pPr>
            <w:r>
              <w:rPr>
                <w:rFonts w:ascii="Arial" w:cs="Arial" w:eastAsia="Arial" w:hAnsi="Arial"/>
                <w:sz w:val="13"/>
                <w:szCs w:val="13"/>
                <w:color w:val="auto"/>
              </w:rPr>
              <w:t>Cash, cash equivalents, and restricted cash, end of period</w:t>
            </w:r>
          </w:p>
        </w:tc>
        <w:tc>
          <w:tcPr>
            <w:tcW w:w="360" w:type="dxa"/>
            <w:vAlign w:val="bottom"/>
            <w:shd w:val="clear" w:color="auto" w:fill="CCEEFF"/>
          </w:tcPr>
          <w:p>
            <w:pPr>
              <w:jc w:val="right"/>
              <w:ind w:right="215"/>
              <w:spacing w:after="0"/>
              <w:rPr>
                <w:sz w:val="20"/>
                <w:szCs w:val="20"/>
                <w:color w:val="auto"/>
              </w:rPr>
            </w:pPr>
            <w:r>
              <w:rPr>
                <w:rFonts w:ascii="Arial" w:cs="Arial" w:eastAsia="Arial" w:hAnsi="Arial"/>
                <w:sz w:val="13"/>
                <w:szCs w:val="13"/>
                <w:color w:val="auto"/>
                <w:w w:val="82"/>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1,051,625</w:t>
            </w:r>
          </w:p>
        </w:tc>
        <w:tc>
          <w:tcPr>
            <w:tcW w:w="100" w:type="dxa"/>
            <w:vAlign w:val="bottom"/>
            <w:shd w:val="clear" w:color="auto" w:fill="CCEEFF"/>
          </w:tcPr>
          <w:p>
            <w:pPr>
              <w:spacing w:after="0"/>
              <w:rPr>
                <w:sz w:val="14"/>
                <w:szCs w:val="14"/>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925,272</w:t>
            </w:r>
          </w:p>
        </w:tc>
      </w:tr>
      <w:tr>
        <w:trPr>
          <w:trHeight w:val="27"/>
        </w:trPr>
        <w:tc>
          <w:tcPr>
            <w:tcW w:w="8940" w:type="dxa"/>
            <w:vAlign w:val="bottom"/>
            <w:shd w:val="clear" w:color="auto" w:fill="CCEEFF"/>
          </w:tcPr>
          <w:p>
            <w:pPr>
              <w:spacing w:after="0"/>
              <w:rPr>
                <w:sz w:val="2"/>
                <w:szCs w:val="2"/>
                <w:color w:val="auto"/>
              </w:rPr>
            </w:pPr>
          </w:p>
        </w:tc>
        <w:tc>
          <w:tcPr>
            <w:tcW w:w="360" w:type="dxa"/>
            <w:vAlign w:val="bottom"/>
            <w:shd w:val="clear" w:color="auto" w:fill="CCEEFF"/>
          </w:tcPr>
          <w:p>
            <w:pPr>
              <w:spacing w:after="0"/>
              <w:rPr>
                <w:sz w:val="2"/>
                <w:szCs w:val="2"/>
                <w:color w:val="auto"/>
              </w:rPr>
            </w:pPr>
          </w:p>
        </w:tc>
        <w:tc>
          <w:tcPr>
            <w:tcW w:w="8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200" w:type="dxa"/>
            <w:vAlign w:val="bottom"/>
            <w:shd w:val="clear" w:color="auto" w:fill="CCEEFF"/>
          </w:tcPr>
          <w:p>
            <w:pPr>
              <w:spacing w:after="0"/>
              <w:rPr>
                <w:sz w:val="2"/>
                <w:szCs w:val="2"/>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jc w:val="center"/>
        <w:ind w:right="-39"/>
        <w:spacing w:after="0"/>
        <w:rPr>
          <w:sz w:val="20"/>
          <w:szCs w:val="20"/>
          <w:color w:val="auto"/>
        </w:rPr>
      </w:pPr>
      <w:r>
        <w:rPr>
          <w:rFonts w:ascii="Arial" w:cs="Arial" w:eastAsia="Arial" w:hAnsi="Arial"/>
          <w:sz w:val="14"/>
          <w:szCs w:val="14"/>
          <w:color w:val="auto"/>
        </w:rPr>
        <w:t>6</w:t>
      </w:r>
    </w:p>
    <w:p>
      <w:pPr>
        <w:sectPr>
          <w:pgSz w:w="11900" w:h="16838" w:orient="portrait"/>
          <w:cols w:equalWidth="0" w:num="1">
            <w:col w:w="11420"/>
          </w:cols>
          <w:pgMar w:left="220" w:top="685" w:right="259" w:bottom="1440" w:gutter="0" w:footer="0" w:header="0"/>
          <w:type w:val="continuous"/>
        </w:sectPr>
      </w:pPr>
    </w:p>
    <w:bookmarkStart w:id="7" w:name="page8"/>
    <w:bookmarkEnd w:id="7"/>
    <w:p>
      <w:pPr>
        <w:jc w:val="center"/>
        <w:spacing w:after="0"/>
        <w:rPr>
          <w:sz w:val="20"/>
          <w:szCs w:val="20"/>
          <w:color w:val="auto"/>
        </w:rPr>
      </w:pPr>
      <w:r>
        <w:rPr>
          <w:rFonts w:ascii="Arial" w:cs="Arial" w:eastAsia="Arial" w:hAnsi="Arial"/>
          <w:sz w:val="14"/>
          <w:szCs w:val="14"/>
          <w:b w:val="1"/>
          <w:bCs w:val="1"/>
          <w:color w:val="auto"/>
        </w:rPr>
        <w:t>NELNET, INC. AND SUBSIDIARIES</w:t>
      </w:r>
    </w:p>
    <w:p>
      <w:pPr>
        <w:spacing w:after="0" w:line="55"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CONSOLIDATED STATEMENTS OF CASH FLOWS (Continued)</w:t>
      </w:r>
    </w:p>
    <w:p>
      <w:pPr>
        <w:spacing w:after="0" w:line="55"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(Dollars in thousands)</w:t>
      </w:r>
    </w:p>
    <w:p>
      <w:pPr>
        <w:spacing w:after="0" w:line="55"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(unaudited)</w:t>
      </w:r>
    </w:p>
    <w:p>
      <w:pPr>
        <w:spacing w:after="0" w:line="59" w:lineRule="exact"/>
        <w:rPr>
          <w:sz w:val="20"/>
          <w:szCs w:val="20"/>
          <w:color w:val="auto"/>
        </w:rPr>
      </w:pPr>
    </w:p>
    <w:tbl>
      <w:tblPr>
        <w:tblLayout w:type="fixed"/>
        <w:tblInd w:w="20" w:type="dxa"/>
        <w:tblCellMar>
          <w:top w:w="0" w:type="dxa"/>
          <w:left w:w="0" w:type="dxa"/>
          <w:bottom w:w="0" w:type="dxa"/>
          <w:right w:w="0" w:type="dxa"/>
        </w:tblCellMar>
      </w:tblPr>
      <w:tr>
        <w:trPr>
          <w:trHeight w:val="167"/>
        </w:trPr>
        <w:tc>
          <w:tcPr>
            <w:tcW w:w="89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200" w:type="dxa"/>
            <w:vAlign w:val="bottom"/>
            <w:gridSpan w:val="4"/>
          </w:tcPr>
          <w:p>
            <w:pPr>
              <w:jc w:val="center"/>
              <w:ind w:right="215"/>
              <w:spacing w:after="0"/>
              <w:rPr>
                <w:sz w:val="20"/>
                <w:szCs w:val="20"/>
                <w:color w:val="auto"/>
              </w:rPr>
            </w:pPr>
            <w:r>
              <w:rPr>
                <w:rFonts w:ascii="Arial" w:cs="Arial" w:eastAsia="Arial" w:hAnsi="Arial"/>
                <w:sz w:val="13"/>
                <w:szCs w:val="13"/>
                <w:b w:val="1"/>
                <w:bCs w:val="1"/>
                <w:color w:val="auto"/>
                <w:w w:val="87"/>
              </w:rPr>
              <w:t>Three months ended</w:t>
            </w:r>
          </w:p>
        </w:tc>
      </w:tr>
      <w:tr>
        <w:trPr>
          <w:trHeight w:val="205"/>
        </w:trPr>
        <w:tc>
          <w:tcPr>
            <w:tcW w:w="89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360" w:type="dxa"/>
            <w:vAlign w:val="bottom"/>
            <w:gridSpan w:val="3"/>
          </w:tcPr>
          <w:p>
            <w:pPr>
              <w:jc w:val="center"/>
              <w:ind w:left="495"/>
              <w:spacing w:after="0"/>
              <w:rPr>
                <w:sz w:val="20"/>
                <w:szCs w:val="20"/>
                <w:color w:val="auto"/>
              </w:rPr>
            </w:pPr>
            <w:r>
              <w:rPr>
                <w:rFonts w:ascii="Arial" w:cs="Arial" w:eastAsia="Arial" w:hAnsi="Arial"/>
                <w:sz w:val="13"/>
                <w:szCs w:val="13"/>
                <w:b w:val="1"/>
                <w:bCs w:val="1"/>
                <w:color w:val="auto"/>
                <w:w w:val="93"/>
              </w:rPr>
              <w:t>March 31,</w:t>
            </w:r>
          </w:p>
        </w:tc>
        <w:tc>
          <w:tcPr>
            <w:tcW w:w="840" w:type="dxa"/>
            <w:vAlign w:val="bottom"/>
          </w:tcPr>
          <w:p>
            <w:pPr>
              <w:spacing w:after="0"/>
              <w:rPr>
                <w:sz w:val="17"/>
                <w:szCs w:val="17"/>
                <w:color w:val="auto"/>
              </w:rPr>
            </w:pPr>
          </w:p>
        </w:tc>
      </w:tr>
      <w:tr>
        <w:trPr>
          <w:trHeight w:val="27"/>
        </w:trPr>
        <w:tc>
          <w:tcPr>
            <w:tcW w:w="894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r>
      <w:tr>
        <w:trPr>
          <w:trHeight w:val="169"/>
        </w:trPr>
        <w:tc>
          <w:tcPr>
            <w:tcW w:w="89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900" w:type="dxa"/>
            <w:vAlign w:val="bottom"/>
          </w:tcPr>
          <w:p>
            <w:pPr>
              <w:jc w:val="right"/>
              <w:ind w:right="395"/>
              <w:spacing w:after="0"/>
              <w:rPr>
                <w:sz w:val="20"/>
                <w:szCs w:val="20"/>
                <w:color w:val="auto"/>
              </w:rPr>
            </w:pPr>
            <w:r>
              <w:rPr>
                <w:rFonts w:ascii="Arial" w:cs="Arial" w:eastAsia="Arial" w:hAnsi="Arial"/>
                <w:sz w:val="13"/>
                <w:szCs w:val="13"/>
                <w:b w:val="1"/>
                <w:bCs w:val="1"/>
                <w:color w:val="auto"/>
              </w:rPr>
              <w:t>2019</w:t>
            </w:r>
          </w:p>
        </w:tc>
        <w:tc>
          <w:tcPr>
            <w:tcW w:w="1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840" w:type="dxa"/>
            <w:vAlign w:val="bottom"/>
          </w:tcPr>
          <w:p>
            <w:pPr>
              <w:jc w:val="right"/>
              <w:ind w:right="395"/>
              <w:spacing w:after="0"/>
              <w:rPr>
                <w:sz w:val="20"/>
                <w:szCs w:val="20"/>
                <w:color w:val="auto"/>
              </w:rPr>
            </w:pPr>
            <w:r>
              <w:rPr>
                <w:rFonts w:ascii="Arial" w:cs="Arial" w:eastAsia="Arial" w:hAnsi="Arial"/>
                <w:sz w:val="13"/>
                <w:szCs w:val="13"/>
                <w:b w:val="1"/>
                <w:bCs w:val="1"/>
                <w:color w:val="auto"/>
              </w:rPr>
              <w:t>2018</w:t>
            </w:r>
          </w:p>
        </w:tc>
      </w:tr>
      <w:tr>
        <w:trPr>
          <w:trHeight w:val="27"/>
        </w:trPr>
        <w:tc>
          <w:tcPr>
            <w:tcW w:w="894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r>
      <w:tr>
        <w:trPr>
          <w:trHeight w:val="165"/>
        </w:trPr>
        <w:tc>
          <w:tcPr>
            <w:tcW w:w="89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b w:val="1"/>
                <w:bCs w:val="1"/>
                <w:color w:val="auto"/>
              </w:rPr>
              <w:t>Supplemental disclosures of cash flow information:</w:t>
            </w:r>
          </w:p>
        </w:tc>
        <w:tc>
          <w:tcPr>
            <w:tcW w:w="280" w:type="dxa"/>
            <w:vAlign w:val="bottom"/>
            <w:tcBorders>
              <w:bottom w:val="single" w:sz="8" w:color="CCEEFF"/>
            </w:tcBorders>
            <w:shd w:val="clear" w:color="auto" w:fill="CCEEFF"/>
          </w:tcPr>
          <w:p>
            <w:pPr>
              <w:spacing w:after="0"/>
              <w:rPr>
                <w:sz w:val="14"/>
                <w:szCs w:val="14"/>
                <w:color w:val="auto"/>
              </w:rPr>
            </w:pPr>
          </w:p>
        </w:tc>
        <w:tc>
          <w:tcPr>
            <w:tcW w:w="900" w:type="dxa"/>
            <w:vAlign w:val="bottom"/>
            <w:tcBorders>
              <w:bottom w:val="single" w:sz="8" w:color="CCEEFF"/>
            </w:tcBorders>
            <w:shd w:val="clear" w:color="auto" w:fill="CCEEFF"/>
          </w:tcPr>
          <w:p>
            <w:pPr>
              <w:spacing w:after="0"/>
              <w:rPr>
                <w:sz w:val="14"/>
                <w:szCs w:val="14"/>
                <w:color w:val="auto"/>
              </w:rPr>
            </w:pPr>
          </w:p>
        </w:tc>
        <w:tc>
          <w:tcPr>
            <w:tcW w:w="100" w:type="dxa"/>
            <w:vAlign w:val="bottom"/>
            <w:tcBorders>
              <w:bottom w:val="single" w:sz="8" w:color="CCEEFF"/>
            </w:tcBorders>
            <w:shd w:val="clear" w:color="auto" w:fill="CCEEFF"/>
          </w:tcPr>
          <w:p>
            <w:pPr>
              <w:spacing w:after="0"/>
              <w:rPr>
                <w:sz w:val="14"/>
                <w:szCs w:val="14"/>
                <w:color w:val="auto"/>
              </w:rPr>
            </w:pPr>
          </w:p>
        </w:tc>
        <w:tc>
          <w:tcPr>
            <w:tcW w:w="360" w:type="dxa"/>
            <w:vAlign w:val="bottom"/>
            <w:tcBorders>
              <w:bottom w:val="single" w:sz="8" w:color="CCEEFF"/>
            </w:tcBorders>
            <w:shd w:val="clear" w:color="auto" w:fill="CCEEFF"/>
          </w:tcPr>
          <w:p>
            <w:pPr>
              <w:spacing w:after="0"/>
              <w:rPr>
                <w:sz w:val="14"/>
                <w:szCs w:val="14"/>
                <w:color w:val="auto"/>
              </w:rPr>
            </w:pPr>
          </w:p>
        </w:tc>
        <w:tc>
          <w:tcPr>
            <w:tcW w:w="840" w:type="dxa"/>
            <w:vAlign w:val="bottom"/>
            <w:tcBorders>
              <w:bottom w:val="single" w:sz="8" w:color="CCEEFF"/>
            </w:tcBorders>
            <w:shd w:val="clear" w:color="auto" w:fill="CCEEFF"/>
          </w:tcPr>
          <w:p>
            <w:pPr>
              <w:spacing w:after="0"/>
              <w:rPr>
                <w:sz w:val="14"/>
                <w:szCs w:val="14"/>
                <w:color w:val="auto"/>
              </w:rPr>
            </w:pPr>
          </w:p>
        </w:tc>
      </w:tr>
      <w:tr>
        <w:trPr>
          <w:trHeight w:val="202"/>
        </w:trPr>
        <w:tc>
          <w:tcPr>
            <w:tcW w:w="8940" w:type="dxa"/>
            <w:vAlign w:val="bottom"/>
          </w:tcPr>
          <w:p>
            <w:pPr>
              <w:ind w:left="20"/>
              <w:spacing w:after="0"/>
              <w:rPr>
                <w:sz w:val="20"/>
                <w:szCs w:val="20"/>
                <w:color w:val="auto"/>
              </w:rPr>
            </w:pPr>
            <w:r>
              <w:rPr>
                <w:rFonts w:ascii="Arial" w:cs="Arial" w:eastAsia="Arial" w:hAnsi="Arial"/>
                <w:sz w:val="13"/>
                <w:szCs w:val="13"/>
                <w:color w:val="auto"/>
              </w:rPr>
              <w:t>Cash disbursements made for interest</w:t>
            </w:r>
          </w:p>
        </w:tc>
        <w:tc>
          <w:tcPr>
            <w:tcW w:w="280" w:type="dxa"/>
            <w:vAlign w:val="bottom"/>
            <w:tcBorders>
              <w:bottom w:val="single" w:sz="8" w:color="auto"/>
            </w:tcBorders>
          </w:tcPr>
          <w:p>
            <w:pPr>
              <w:jc w:val="right"/>
              <w:ind w:right="135"/>
              <w:spacing w:after="0"/>
              <w:rPr>
                <w:sz w:val="20"/>
                <w:szCs w:val="20"/>
                <w:color w:val="auto"/>
              </w:rPr>
            </w:pPr>
            <w:r>
              <w:rPr>
                <w:rFonts w:ascii="Arial" w:cs="Arial" w:eastAsia="Arial" w:hAnsi="Arial"/>
                <w:sz w:val="13"/>
                <w:szCs w:val="13"/>
                <w:color w:val="auto"/>
                <w:w w:val="82"/>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176,876</w:t>
            </w:r>
          </w:p>
        </w:tc>
        <w:tc>
          <w:tcPr>
            <w:tcW w:w="100" w:type="dxa"/>
            <w:vAlign w:val="bottom"/>
          </w:tcPr>
          <w:p>
            <w:pPr>
              <w:spacing w:after="0"/>
              <w:rPr>
                <w:sz w:val="17"/>
                <w:szCs w:val="17"/>
                <w:color w:val="auto"/>
              </w:rPr>
            </w:pPr>
          </w:p>
        </w:tc>
        <w:tc>
          <w:tcPr>
            <w:tcW w:w="360" w:type="dxa"/>
            <w:vAlign w:val="bottom"/>
            <w:tcBorders>
              <w:bottom w:val="single" w:sz="8" w:color="auto"/>
            </w:tcBorders>
          </w:tcPr>
          <w:p>
            <w:pPr>
              <w:spacing w:after="0"/>
              <w:rPr>
                <w:sz w:val="17"/>
                <w:szCs w:val="17"/>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114,243</w:t>
            </w:r>
          </w:p>
        </w:tc>
      </w:tr>
      <w:tr>
        <w:trPr>
          <w:trHeight w:val="20"/>
        </w:trPr>
        <w:tc>
          <w:tcPr>
            <w:tcW w:w="894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r>
      <w:tr>
        <w:trPr>
          <w:trHeight w:val="213"/>
        </w:trPr>
        <w:tc>
          <w:tcPr>
            <w:tcW w:w="89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Cash refunds received for income taxes, net of payments</w:t>
            </w:r>
          </w:p>
        </w:tc>
        <w:tc>
          <w:tcPr>
            <w:tcW w:w="280" w:type="dxa"/>
            <w:vAlign w:val="bottom"/>
            <w:tcBorders>
              <w:bottom w:val="single" w:sz="8" w:color="auto"/>
            </w:tcBorders>
            <w:shd w:val="clear" w:color="auto" w:fill="CCEEFF"/>
          </w:tcPr>
          <w:p>
            <w:pPr>
              <w:jc w:val="right"/>
              <w:ind w:right="135"/>
              <w:spacing w:after="0"/>
              <w:rPr>
                <w:sz w:val="20"/>
                <w:szCs w:val="20"/>
                <w:color w:val="auto"/>
              </w:rPr>
            </w:pPr>
            <w:r>
              <w:rPr>
                <w:rFonts w:ascii="Arial" w:cs="Arial" w:eastAsia="Arial" w:hAnsi="Arial"/>
                <w:sz w:val="13"/>
                <w:szCs w:val="13"/>
                <w:color w:val="auto"/>
                <w:w w:val="82"/>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9</w:t>
            </w:r>
          </w:p>
        </w:tc>
        <w:tc>
          <w:tcPr>
            <w:tcW w:w="100" w:type="dxa"/>
            <w:vAlign w:val="bottom"/>
            <w:tcBorders>
              <w:bottom w:val="single" w:sz="8" w:color="CCEEFF"/>
            </w:tcBorders>
            <w:shd w:val="clear" w:color="auto" w:fill="CCEEFF"/>
          </w:tcPr>
          <w:p>
            <w:pPr>
              <w:spacing w:after="0"/>
              <w:rPr>
                <w:sz w:val="18"/>
                <w:szCs w:val="18"/>
                <w:color w:val="auto"/>
              </w:rPr>
            </w:pPr>
          </w:p>
        </w:tc>
        <w:tc>
          <w:tcPr>
            <w:tcW w:w="36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30,569</w:t>
            </w:r>
          </w:p>
        </w:tc>
      </w:tr>
      <w:tr>
        <w:trPr>
          <w:trHeight w:val="20"/>
        </w:trPr>
        <w:tc>
          <w:tcPr>
            <w:tcW w:w="894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r>
    </w:tbl>
    <w:p>
      <w:pPr>
        <w:spacing w:after="0" w:line="205" w:lineRule="exact"/>
        <w:rPr>
          <w:sz w:val="20"/>
          <w:szCs w:val="20"/>
          <w:color w:val="auto"/>
        </w:rPr>
      </w:pPr>
    </w:p>
    <w:p>
      <w:pPr>
        <w:spacing w:after="0"/>
        <w:rPr>
          <w:sz w:val="20"/>
          <w:szCs w:val="20"/>
          <w:color w:val="auto"/>
        </w:rPr>
      </w:pPr>
      <w:r>
        <w:rPr>
          <w:rFonts w:ascii="Arial" w:cs="Arial" w:eastAsia="Arial" w:hAnsi="Arial"/>
          <w:sz w:val="14"/>
          <w:szCs w:val="14"/>
          <w:color w:val="auto"/>
        </w:rPr>
        <w:t>Supplemental disclosures of noncash activities regarding the adoption of the new lease standard on January 1, 2019 are contained in note 1.</w:t>
      </w:r>
    </w:p>
    <w:p>
      <w:pPr>
        <w:spacing w:after="0" w:line="141" w:lineRule="exact"/>
        <w:rPr>
          <w:sz w:val="20"/>
          <w:szCs w:val="20"/>
          <w:color w:val="auto"/>
        </w:rPr>
      </w:pPr>
    </w:p>
    <w:p>
      <w:pPr>
        <w:jc w:val="both"/>
        <w:spacing w:after="0" w:line="288" w:lineRule="auto"/>
        <w:rPr>
          <w:sz w:val="20"/>
          <w:szCs w:val="20"/>
          <w:color w:val="auto"/>
        </w:rPr>
      </w:pPr>
      <w:r>
        <w:rPr>
          <w:rFonts w:ascii="Arial" w:cs="Arial" w:eastAsia="Arial" w:hAnsi="Arial"/>
          <w:sz w:val="14"/>
          <w:szCs w:val="14"/>
          <w:color w:val="auto"/>
        </w:rPr>
        <w:t>The following table provides a reconciliation of cash, cash equivalents, and restricted cash reported in the consolidated balance sheets to the total of the amounts reported in the consolidated statements of cash flows.</w:t>
      </w:r>
    </w:p>
    <w:p>
      <w:pPr>
        <w:spacing w:after="0" w:line="45" w:lineRule="exact"/>
        <w:rPr>
          <w:sz w:val="20"/>
          <w:szCs w:val="20"/>
          <w:color w:val="auto"/>
        </w:rPr>
      </w:pPr>
    </w:p>
    <w:tbl>
      <w:tblPr>
        <w:tblLayout w:type="fixed"/>
        <w:tblInd w:w="20" w:type="dxa"/>
        <w:tblCellMar>
          <w:top w:w="0" w:type="dxa"/>
          <w:left w:w="0" w:type="dxa"/>
          <w:bottom w:w="0" w:type="dxa"/>
          <w:right w:w="0" w:type="dxa"/>
        </w:tblCellMar>
      </w:tblPr>
      <w:tr>
        <w:trPr>
          <w:trHeight w:val="167"/>
        </w:trPr>
        <w:tc>
          <w:tcPr>
            <w:tcW w:w="38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640" w:type="dxa"/>
            <w:vAlign w:val="bottom"/>
            <w:gridSpan w:val="2"/>
          </w:tcPr>
          <w:p>
            <w:pPr>
              <w:jc w:val="center"/>
              <w:ind w:right="400"/>
              <w:spacing w:after="0"/>
              <w:rPr>
                <w:sz w:val="20"/>
                <w:szCs w:val="20"/>
                <w:color w:val="auto"/>
              </w:rPr>
            </w:pPr>
            <w:r>
              <w:rPr>
                <w:rFonts w:ascii="Arial" w:cs="Arial" w:eastAsia="Arial" w:hAnsi="Arial"/>
                <w:sz w:val="13"/>
                <w:szCs w:val="13"/>
                <w:b w:val="1"/>
                <w:bCs w:val="1"/>
                <w:color w:val="auto"/>
                <w:w w:val="86"/>
              </w:rPr>
              <w:t>As of</w:t>
            </w:r>
          </w:p>
        </w:tc>
        <w:tc>
          <w:tcPr>
            <w:tcW w:w="192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92"/>
              </w:rPr>
              <w:t>As of</w:t>
            </w:r>
          </w:p>
        </w:tc>
        <w:tc>
          <w:tcPr>
            <w:tcW w:w="194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86"/>
              </w:rPr>
              <w:t>As of</w:t>
            </w:r>
          </w:p>
        </w:tc>
        <w:tc>
          <w:tcPr>
            <w:tcW w:w="1840" w:type="dxa"/>
            <w:vAlign w:val="bottom"/>
          </w:tcPr>
          <w:p>
            <w:pPr>
              <w:jc w:val="right"/>
              <w:ind w:right="715"/>
              <w:spacing w:after="0"/>
              <w:rPr>
                <w:sz w:val="20"/>
                <w:szCs w:val="20"/>
                <w:color w:val="auto"/>
              </w:rPr>
            </w:pPr>
            <w:r>
              <w:rPr>
                <w:rFonts w:ascii="Arial" w:cs="Arial" w:eastAsia="Arial" w:hAnsi="Arial"/>
                <w:sz w:val="13"/>
                <w:szCs w:val="13"/>
                <w:b w:val="1"/>
                <w:bCs w:val="1"/>
                <w:color w:val="auto"/>
              </w:rPr>
              <w:t>As of</w:t>
            </w:r>
          </w:p>
        </w:tc>
        <w:tc>
          <w:tcPr>
            <w:tcW w:w="0" w:type="dxa"/>
            <w:vAlign w:val="bottom"/>
          </w:tcPr>
          <w:p>
            <w:pPr>
              <w:spacing w:after="0"/>
              <w:rPr>
                <w:sz w:val="1"/>
                <w:szCs w:val="1"/>
                <w:color w:val="auto"/>
              </w:rPr>
            </w:pPr>
          </w:p>
        </w:tc>
      </w:tr>
      <w:tr>
        <w:trPr>
          <w:trHeight w:val="205"/>
        </w:trPr>
        <w:tc>
          <w:tcPr>
            <w:tcW w:w="38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640" w:type="dxa"/>
            <w:vAlign w:val="bottom"/>
            <w:gridSpan w:val="2"/>
          </w:tcPr>
          <w:p>
            <w:pPr>
              <w:jc w:val="center"/>
              <w:ind w:right="380"/>
              <w:spacing w:after="0"/>
              <w:rPr>
                <w:sz w:val="20"/>
                <w:szCs w:val="20"/>
                <w:color w:val="auto"/>
              </w:rPr>
            </w:pPr>
            <w:r>
              <w:rPr>
                <w:rFonts w:ascii="Arial" w:cs="Arial" w:eastAsia="Arial" w:hAnsi="Arial"/>
                <w:sz w:val="13"/>
                <w:szCs w:val="13"/>
                <w:b w:val="1"/>
                <w:bCs w:val="1"/>
                <w:color w:val="auto"/>
                <w:w w:val="92"/>
              </w:rPr>
              <w:t>March 31, 2019</w:t>
            </w:r>
          </w:p>
        </w:tc>
        <w:tc>
          <w:tcPr>
            <w:tcW w:w="192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90"/>
              </w:rPr>
              <w:t>December 31, 2018</w:t>
            </w:r>
          </w:p>
        </w:tc>
        <w:tc>
          <w:tcPr>
            <w:tcW w:w="194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90"/>
              </w:rPr>
              <w:t>March 31, 2018</w:t>
            </w:r>
          </w:p>
        </w:tc>
        <w:tc>
          <w:tcPr>
            <w:tcW w:w="1840" w:type="dxa"/>
            <w:vAlign w:val="bottom"/>
          </w:tcPr>
          <w:p>
            <w:pPr>
              <w:jc w:val="right"/>
              <w:ind w:right="335"/>
              <w:spacing w:after="0"/>
              <w:rPr>
                <w:sz w:val="20"/>
                <w:szCs w:val="20"/>
                <w:color w:val="auto"/>
              </w:rPr>
            </w:pPr>
            <w:r>
              <w:rPr>
                <w:rFonts w:ascii="Arial" w:cs="Arial" w:eastAsia="Arial" w:hAnsi="Arial"/>
                <w:sz w:val="13"/>
                <w:szCs w:val="13"/>
                <w:b w:val="1"/>
                <w:bCs w:val="1"/>
                <w:color w:val="auto"/>
              </w:rPr>
              <w:t>December 31, 2017</w:t>
            </w:r>
          </w:p>
        </w:tc>
        <w:tc>
          <w:tcPr>
            <w:tcW w:w="0" w:type="dxa"/>
            <w:vAlign w:val="bottom"/>
          </w:tcPr>
          <w:p>
            <w:pPr>
              <w:spacing w:after="0"/>
              <w:rPr>
                <w:sz w:val="1"/>
                <w:szCs w:val="1"/>
                <w:color w:val="auto"/>
              </w:rPr>
            </w:pPr>
          </w:p>
        </w:tc>
      </w:tr>
      <w:tr>
        <w:trPr>
          <w:trHeight w:val="27"/>
        </w:trPr>
        <w:tc>
          <w:tcPr>
            <w:tcW w:w="38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76"/>
        </w:trPr>
        <w:tc>
          <w:tcPr>
            <w:tcW w:w="38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Total cash and cash equivalents</w:t>
            </w:r>
          </w:p>
        </w:tc>
        <w:tc>
          <w:tcPr>
            <w:tcW w:w="280" w:type="dxa"/>
            <w:vAlign w:val="bottom"/>
            <w:tcBorders>
              <w:bottom w:val="single" w:sz="8" w:color="CCEEFF"/>
            </w:tcBorders>
            <w:shd w:val="clear" w:color="auto" w:fill="CCEEFF"/>
          </w:tcPr>
          <w:p>
            <w:pPr>
              <w:jc w:val="right"/>
              <w:ind w:right="135"/>
              <w:spacing w:after="0"/>
              <w:rPr>
                <w:sz w:val="20"/>
                <w:szCs w:val="20"/>
                <w:color w:val="auto"/>
              </w:rPr>
            </w:pPr>
            <w:r>
              <w:rPr>
                <w:rFonts w:ascii="Arial" w:cs="Arial" w:eastAsia="Arial" w:hAnsi="Arial"/>
                <w:sz w:val="13"/>
                <w:szCs w:val="13"/>
                <w:color w:val="auto"/>
                <w:w w:val="82"/>
              </w:rPr>
              <w:t>$</w:t>
            </w: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74,881</w:t>
            </w:r>
          </w:p>
        </w:tc>
        <w:tc>
          <w:tcPr>
            <w:tcW w:w="100" w:type="dxa"/>
            <w:vAlign w:val="bottom"/>
            <w:tcBorders>
              <w:bottom w:val="single" w:sz="8" w:color="CCEEFF"/>
            </w:tcBorders>
            <w:shd w:val="clear" w:color="auto" w:fill="CCEEFF"/>
          </w:tcPr>
          <w:p>
            <w:pPr>
              <w:spacing w:after="0"/>
              <w:rPr>
                <w:sz w:val="15"/>
                <w:szCs w:val="15"/>
                <w:color w:val="auto"/>
              </w:rPr>
            </w:pPr>
          </w:p>
        </w:tc>
        <w:tc>
          <w:tcPr>
            <w:tcW w:w="1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121,347</w:t>
            </w:r>
          </w:p>
        </w:tc>
        <w:tc>
          <w:tcPr>
            <w:tcW w:w="80" w:type="dxa"/>
            <w:vAlign w:val="bottom"/>
            <w:tcBorders>
              <w:bottom w:val="single" w:sz="8" w:color="CCEEFF"/>
            </w:tcBorders>
            <w:shd w:val="clear" w:color="auto" w:fill="CCEEFF"/>
          </w:tcPr>
          <w:p>
            <w:pPr>
              <w:spacing w:after="0"/>
              <w:rPr>
                <w:sz w:val="15"/>
                <w:szCs w:val="15"/>
                <w:color w:val="auto"/>
              </w:rPr>
            </w:pPr>
          </w:p>
        </w:tc>
        <w:tc>
          <w:tcPr>
            <w:tcW w:w="1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69,286</w:t>
            </w:r>
          </w:p>
        </w:tc>
        <w:tc>
          <w:tcPr>
            <w:tcW w:w="100" w:type="dxa"/>
            <w:vAlign w:val="bottom"/>
            <w:tcBorders>
              <w:bottom w:val="single" w:sz="8" w:color="CCEEFF"/>
            </w:tcBorders>
            <w:shd w:val="clear" w:color="auto" w:fill="CCEEFF"/>
          </w:tcPr>
          <w:p>
            <w:pPr>
              <w:spacing w:after="0"/>
              <w:rPr>
                <w:sz w:val="15"/>
                <w:szCs w:val="15"/>
                <w:color w:val="auto"/>
              </w:rPr>
            </w:pPr>
          </w:p>
        </w:tc>
        <w:tc>
          <w:tcPr>
            <w:tcW w:w="1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66,752</w:t>
            </w:r>
          </w:p>
        </w:tc>
        <w:tc>
          <w:tcPr>
            <w:tcW w:w="0" w:type="dxa"/>
            <w:vAlign w:val="bottom"/>
          </w:tcPr>
          <w:p>
            <w:pPr>
              <w:spacing w:after="0"/>
              <w:rPr>
                <w:sz w:val="1"/>
                <w:szCs w:val="1"/>
                <w:color w:val="auto"/>
              </w:rPr>
            </w:pPr>
          </w:p>
        </w:tc>
      </w:tr>
      <w:tr>
        <w:trPr>
          <w:trHeight w:val="178"/>
        </w:trPr>
        <w:tc>
          <w:tcPr>
            <w:tcW w:w="3820" w:type="dxa"/>
            <w:vAlign w:val="bottom"/>
          </w:tcPr>
          <w:p>
            <w:pPr>
              <w:spacing w:after="0"/>
              <w:rPr>
                <w:sz w:val="20"/>
                <w:szCs w:val="20"/>
                <w:color w:val="auto"/>
              </w:rPr>
            </w:pPr>
            <w:r>
              <w:rPr>
                <w:rFonts w:ascii="Arial" w:cs="Arial" w:eastAsia="Arial" w:hAnsi="Arial"/>
                <w:sz w:val="13"/>
                <w:szCs w:val="13"/>
                <w:color w:val="auto"/>
              </w:rPr>
              <w:t>Restricted cash</w:t>
            </w:r>
          </w:p>
        </w:tc>
        <w:tc>
          <w:tcPr>
            <w:tcW w:w="280" w:type="dxa"/>
            <w:vAlign w:val="bottom"/>
          </w:tcPr>
          <w:p>
            <w:pPr>
              <w:spacing w:after="0"/>
              <w:rPr>
                <w:sz w:val="15"/>
                <w:szCs w:val="15"/>
                <w:color w:val="auto"/>
              </w:rPr>
            </w:pPr>
          </w:p>
        </w:tc>
        <w:tc>
          <w:tcPr>
            <w:tcW w:w="1540" w:type="dxa"/>
            <w:vAlign w:val="bottom"/>
          </w:tcPr>
          <w:p>
            <w:pPr>
              <w:jc w:val="right"/>
              <w:spacing w:after="0"/>
              <w:rPr>
                <w:sz w:val="20"/>
                <w:szCs w:val="20"/>
                <w:color w:val="auto"/>
              </w:rPr>
            </w:pPr>
            <w:r>
              <w:rPr>
                <w:rFonts w:ascii="Arial" w:cs="Arial" w:eastAsia="Arial" w:hAnsi="Arial"/>
                <w:sz w:val="13"/>
                <w:szCs w:val="13"/>
                <w:color w:val="auto"/>
              </w:rPr>
              <w:t>760,273</w:t>
            </w:r>
          </w:p>
        </w:tc>
        <w:tc>
          <w:tcPr>
            <w:tcW w:w="100" w:type="dxa"/>
            <w:vAlign w:val="bottom"/>
          </w:tcPr>
          <w:p>
            <w:pPr>
              <w:spacing w:after="0"/>
              <w:rPr>
                <w:sz w:val="15"/>
                <w:szCs w:val="15"/>
                <w:color w:val="auto"/>
              </w:rPr>
            </w:pPr>
          </w:p>
        </w:tc>
        <w:tc>
          <w:tcPr>
            <w:tcW w:w="1840" w:type="dxa"/>
            <w:vAlign w:val="bottom"/>
          </w:tcPr>
          <w:p>
            <w:pPr>
              <w:jc w:val="right"/>
              <w:spacing w:after="0"/>
              <w:rPr>
                <w:sz w:val="20"/>
                <w:szCs w:val="20"/>
                <w:color w:val="auto"/>
              </w:rPr>
            </w:pPr>
            <w:r>
              <w:rPr>
                <w:rFonts w:ascii="Arial" w:cs="Arial" w:eastAsia="Arial" w:hAnsi="Arial"/>
                <w:sz w:val="13"/>
                <w:szCs w:val="13"/>
                <w:color w:val="auto"/>
              </w:rPr>
              <w:t>701,366</w:t>
            </w:r>
          </w:p>
        </w:tc>
        <w:tc>
          <w:tcPr>
            <w:tcW w:w="80" w:type="dxa"/>
            <w:vAlign w:val="bottom"/>
          </w:tcPr>
          <w:p>
            <w:pPr>
              <w:spacing w:after="0"/>
              <w:rPr>
                <w:sz w:val="15"/>
                <w:szCs w:val="15"/>
                <w:color w:val="auto"/>
              </w:rPr>
            </w:pPr>
          </w:p>
        </w:tc>
        <w:tc>
          <w:tcPr>
            <w:tcW w:w="1840" w:type="dxa"/>
            <w:vAlign w:val="bottom"/>
          </w:tcPr>
          <w:p>
            <w:pPr>
              <w:jc w:val="right"/>
              <w:spacing w:after="0"/>
              <w:rPr>
                <w:sz w:val="20"/>
                <w:szCs w:val="20"/>
                <w:color w:val="auto"/>
              </w:rPr>
            </w:pPr>
            <w:r>
              <w:rPr>
                <w:rFonts w:ascii="Arial" w:cs="Arial" w:eastAsia="Arial" w:hAnsi="Arial"/>
                <w:sz w:val="13"/>
                <w:szCs w:val="13"/>
                <w:color w:val="auto"/>
              </w:rPr>
              <w:t>727,471</w:t>
            </w:r>
          </w:p>
        </w:tc>
        <w:tc>
          <w:tcPr>
            <w:tcW w:w="100" w:type="dxa"/>
            <w:vAlign w:val="bottom"/>
          </w:tcPr>
          <w:p>
            <w:pPr>
              <w:spacing w:after="0"/>
              <w:rPr>
                <w:sz w:val="15"/>
                <w:szCs w:val="15"/>
                <w:color w:val="auto"/>
              </w:rPr>
            </w:pPr>
          </w:p>
        </w:tc>
        <w:tc>
          <w:tcPr>
            <w:tcW w:w="1840" w:type="dxa"/>
            <w:vAlign w:val="bottom"/>
          </w:tcPr>
          <w:p>
            <w:pPr>
              <w:jc w:val="right"/>
              <w:spacing w:after="0"/>
              <w:rPr>
                <w:sz w:val="20"/>
                <w:szCs w:val="20"/>
                <w:color w:val="auto"/>
              </w:rPr>
            </w:pPr>
            <w:r>
              <w:rPr>
                <w:rFonts w:ascii="Arial" w:cs="Arial" w:eastAsia="Arial" w:hAnsi="Arial"/>
                <w:sz w:val="13"/>
                <w:szCs w:val="13"/>
                <w:color w:val="auto"/>
              </w:rPr>
              <w:t>688,193</w:t>
            </w:r>
          </w:p>
        </w:tc>
        <w:tc>
          <w:tcPr>
            <w:tcW w:w="0" w:type="dxa"/>
            <w:vAlign w:val="bottom"/>
          </w:tcPr>
          <w:p>
            <w:pPr>
              <w:spacing w:after="0"/>
              <w:rPr>
                <w:sz w:val="1"/>
                <w:szCs w:val="1"/>
                <w:color w:val="auto"/>
              </w:rPr>
            </w:pPr>
          </w:p>
        </w:tc>
      </w:tr>
      <w:tr>
        <w:trPr>
          <w:trHeight w:val="27"/>
        </w:trPr>
        <w:tc>
          <w:tcPr>
            <w:tcW w:w="38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40" w:type="dxa"/>
            <w:vAlign w:val="bottom"/>
          </w:tcPr>
          <w:p>
            <w:pPr>
              <w:spacing w:after="0"/>
              <w:rPr>
                <w:sz w:val="2"/>
                <w:szCs w:val="2"/>
                <w:color w:val="auto"/>
              </w:rPr>
            </w:pPr>
          </w:p>
        </w:tc>
        <w:tc>
          <w:tcPr>
            <w:tcW w:w="80" w:type="dxa"/>
            <w:vAlign w:val="bottom"/>
          </w:tcPr>
          <w:p>
            <w:pPr>
              <w:spacing w:after="0"/>
              <w:rPr>
                <w:sz w:val="2"/>
                <w:szCs w:val="2"/>
                <w:color w:val="auto"/>
              </w:rPr>
            </w:pPr>
          </w:p>
        </w:tc>
        <w:tc>
          <w:tcPr>
            <w:tcW w:w="1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5"/>
        </w:trPr>
        <w:tc>
          <w:tcPr>
            <w:tcW w:w="38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Restricted cash - due to customers</w:t>
            </w:r>
          </w:p>
        </w:tc>
        <w:tc>
          <w:tcPr>
            <w:tcW w:w="280" w:type="dxa"/>
            <w:vAlign w:val="bottom"/>
            <w:tcBorders>
              <w:bottom w:val="single" w:sz="8" w:color="CCEEFF"/>
            </w:tcBorders>
            <w:shd w:val="clear" w:color="auto" w:fill="CCEEFF"/>
          </w:tcPr>
          <w:p>
            <w:pPr>
              <w:spacing w:after="0"/>
              <w:rPr>
                <w:sz w:val="17"/>
                <w:szCs w:val="17"/>
                <w:color w:val="auto"/>
              </w:rPr>
            </w:pP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216,471</w:t>
            </w:r>
          </w:p>
        </w:tc>
        <w:tc>
          <w:tcPr>
            <w:tcW w:w="100" w:type="dxa"/>
            <w:vAlign w:val="bottom"/>
            <w:tcBorders>
              <w:bottom w:val="single" w:sz="8" w:color="CCEEFF"/>
            </w:tcBorders>
            <w:shd w:val="clear" w:color="auto" w:fill="CCEEFF"/>
          </w:tcPr>
          <w:p>
            <w:pPr>
              <w:spacing w:after="0"/>
              <w:rPr>
                <w:sz w:val="17"/>
                <w:szCs w:val="17"/>
                <w:color w:val="auto"/>
              </w:rPr>
            </w:pPr>
          </w:p>
        </w:tc>
        <w:tc>
          <w:tcPr>
            <w:tcW w:w="1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369,678</w:t>
            </w:r>
          </w:p>
        </w:tc>
        <w:tc>
          <w:tcPr>
            <w:tcW w:w="80" w:type="dxa"/>
            <w:vAlign w:val="bottom"/>
            <w:tcBorders>
              <w:bottom w:val="single" w:sz="8" w:color="CCEEFF"/>
            </w:tcBorders>
            <w:shd w:val="clear" w:color="auto" w:fill="CCEEFF"/>
          </w:tcPr>
          <w:p>
            <w:pPr>
              <w:spacing w:after="0"/>
              <w:rPr>
                <w:sz w:val="17"/>
                <w:szCs w:val="17"/>
                <w:color w:val="auto"/>
              </w:rPr>
            </w:pPr>
          </w:p>
        </w:tc>
        <w:tc>
          <w:tcPr>
            <w:tcW w:w="1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128,515</w:t>
            </w:r>
          </w:p>
        </w:tc>
        <w:tc>
          <w:tcPr>
            <w:tcW w:w="100" w:type="dxa"/>
            <w:vAlign w:val="bottom"/>
            <w:tcBorders>
              <w:bottom w:val="single" w:sz="8" w:color="CCEEFF"/>
            </w:tcBorders>
            <w:shd w:val="clear" w:color="auto" w:fill="CCEEFF"/>
          </w:tcPr>
          <w:p>
            <w:pPr>
              <w:spacing w:after="0"/>
              <w:rPr>
                <w:sz w:val="17"/>
                <w:szCs w:val="17"/>
                <w:color w:val="auto"/>
              </w:rPr>
            </w:pPr>
          </w:p>
        </w:tc>
        <w:tc>
          <w:tcPr>
            <w:tcW w:w="1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187,121</w:t>
            </w:r>
          </w:p>
        </w:tc>
        <w:tc>
          <w:tcPr>
            <w:tcW w:w="0" w:type="dxa"/>
            <w:vAlign w:val="bottom"/>
          </w:tcPr>
          <w:p>
            <w:pPr>
              <w:spacing w:after="0"/>
              <w:rPr>
                <w:sz w:val="1"/>
                <w:szCs w:val="1"/>
                <w:color w:val="auto"/>
              </w:rPr>
            </w:pPr>
          </w:p>
        </w:tc>
      </w:tr>
      <w:tr>
        <w:trPr>
          <w:trHeight w:val="169"/>
        </w:trPr>
        <w:tc>
          <w:tcPr>
            <w:tcW w:w="3820" w:type="dxa"/>
            <w:vAlign w:val="bottom"/>
            <w:vMerge w:val="restart"/>
          </w:tcPr>
          <w:p>
            <w:pPr>
              <w:spacing w:after="0"/>
              <w:rPr>
                <w:sz w:val="20"/>
                <w:szCs w:val="20"/>
                <w:color w:val="auto"/>
              </w:rPr>
            </w:pPr>
            <w:r>
              <w:rPr>
                <w:rFonts w:ascii="Arial" w:cs="Arial" w:eastAsia="Arial" w:hAnsi="Arial"/>
                <w:sz w:val="13"/>
                <w:szCs w:val="13"/>
                <w:color w:val="auto"/>
              </w:rPr>
              <w:t>Cash, cash equivalents, and restricted cash</w:t>
            </w:r>
          </w:p>
        </w:tc>
        <w:tc>
          <w:tcPr>
            <w:tcW w:w="280" w:type="dxa"/>
            <w:vAlign w:val="bottom"/>
            <w:tcBorders>
              <w:top w:val="single" w:sz="8" w:color="auto"/>
            </w:tcBorders>
          </w:tcPr>
          <w:p>
            <w:pPr>
              <w:jc w:val="right"/>
              <w:ind w:right="135"/>
              <w:spacing w:after="0"/>
              <w:rPr>
                <w:sz w:val="20"/>
                <w:szCs w:val="20"/>
                <w:color w:val="auto"/>
              </w:rPr>
            </w:pPr>
            <w:r>
              <w:rPr>
                <w:rFonts w:ascii="Arial" w:cs="Arial" w:eastAsia="Arial" w:hAnsi="Arial"/>
                <w:sz w:val="13"/>
                <w:szCs w:val="13"/>
                <w:color w:val="auto"/>
                <w:w w:val="82"/>
              </w:rPr>
              <w:t>$</w:t>
            </w:r>
          </w:p>
        </w:tc>
        <w:tc>
          <w:tcPr>
            <w:tcW w:w="154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1,051,625</w:t>
            </w:r>
          </w:p>
        </w:tc>
        <w:tc>
          <w:tcPr>
            <w:tcW w:w="100" w:type="dxa"/>
            <w:vAlign w:val="bottom"/>
          </w:tcPr>
          <w:p>
            <w:pPr>
              <w:spacing w:after="0"/>
              <w:rPr>
                <w:sz w:val="14"/>
                <w:szCs w:val="14"/>
                <w:color w:val="auto"/>
              </w:rPr>
            </w:pPr>
          </w:p>
        </w:tc>
        <w:tc>
          <w:tcPr>
            <w:tcW w:w="184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1,192,391</w:t>
            </w:r>
          </w:p>
        </w:tc>
        <w:tc>
          <w:tcPr>
            <w:tcW w:w="80" w:type="dxa"/>
            <w:vAlign w:val="bottom"/>
          </w:tcPr>
          <w:p>
            <w:pPr>
              <w:spacing w:after="0"/>
              <w:rPr>
                <w:sz w:val="14"/>
                <w:szCs w:val="14"/>
                <w:color w:val="auto"/>
              </w:rPr>
            </w:pPr>
          </w:p>
        </w:tc>
        <w:tc>
          <w:tcPr>
            <w:tcW w:w="184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925,272</w:t>
            </w:r>
          </w:p>
        </w:tc>
        <w:tc>
          <w:tcPr>
            <w:tcW w:w="100" w:type="dxa"/>
            <w:vAlign w:val="bottom"/>
          </w:tcPr>
          <w:p>
            <w:pPr>
              <w:spacing w:after="0"/>
              <w:rPr>
                <w:sz w:val="14"/>
                <w:szCs w:val="14"/>
                <w:color w:val="auto"/>
              </w:rPr>
            </w:pPr>
          </w:p>
        </w:tc>
        <w:tc>
          <w:tcPr>
            <w:tcW w:w="184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942,066</w:t>
            </w:r>
          </w:p>
        </w:tc>
        <w:tc>
          <w:tcPr>
            <w:tcW w:w="0" w:type="dxa"/>
            <w:vAlign w:val="bottom"/>
          </w:tcPr>
          <w:p>
            <w:pPr>
              <w:spacing w:after="0"/>
              <w:rPr>
                <w:sz w:val="1"/>
                <w:szCs w:val="1"/>
                <w:color w:val="auto"/>
              </w:rPr>
            </w:pPr>
          </w:p>
        </w:tc>
      </w:tr>
      <w:tr>
        <w:trPr>
          <w:trHeight w:val="27"/>
        </w:trPr>
        <w:tc>
          <w:tcPr>
            <w:tcW w:w="3820" w:type="dxa"/>
            <w:vAlign w:val="bottom"/>
            <w:vMerge w:val="continue"/>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4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18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38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2" w:lineRule="exact"/>
        <w:rPr>
          <w:sz w:val="20"/>
          <w:szCs w:val="20"/>
          <w:color w:val="auto"/>
        </w:rPr>
      </w:pPr>
    </w:p>
    <w:p>
      <w:pPr>
        <w:spacing w:after="0"/>
        <w:rPr>
          <w:sz w:val="20"/>
          <w:szCs w:val="20"/>
          <w:color w:val="auto"/>
        </w:rPr>
      </w:pPr>
      <w:r>
        <w:rPr>
          <w:rFonts w:ascii="Arial" w:cs="Arial" w:eastAsia="Arial" w:hAnsi="Arial"/>
          <w:sz w:val="14"/>
          <w:szCs w:val="14"/>
          <w:color w:val="auto"/>
        </w:rPr>
        <w:t>See accompanying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7</w:t>
      </w:r>
    </w:p>
    <w:p>
      <w:pPr>
        <w:sectPr>
          <w:pgSz w:w="11900" w:h="16838" w:orient="portrait"/>
          <w:cols w:equalWidth="0" w:num="1">
            <w:col w:w="11460"/>
          </w:cols>
          <w:pgMar w:left="220" w:top="685" w:right="219" w:bottom="1440" w:gutter="0" w:footer="0" w:header="0"/>
        </w:sectPr>
      </w:pPr>
    </w:p>
    <w:bookmarkStart w:id="8" w:name="page9"/>
    <w:bookmarkEnd w:id="8"/>
    <w:p>
      <w:pPr>
        <w:jc w:val="center"/>
        <w:spacing w:after="0"/>
        <w:rPr>
          <w:sz w:val="20"/>
          <w:szCs w:val="20"/>
          <w:color w:val="auto"/>
        </w:rPr>
      </w:pPr>
      <w:r>
        <w:rPr>
          <w:rFonts w:ascii="Arial" w:cs="Arial" w:eastAsia="Arial" w:hAnsi="Arial"/>
          <w:sz w:val="14"/>
          <w:szCs w:val="14"/>
          <w:b w:val="1"/>
          <w:bCs w:val="1"/>
          <w:color w:val="auto"/>
        </w:rPr>
        <w:t>NELNET, INC. AND SUBSIDIARIES</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NOTES TO CONSOLIDATED FINANCIAL STATEMENTS</w:t>
      </w:r>
    </w:p>
    <w:p>
      <w:pPr>
        <w:spacing w:after="0" w:line="11"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(Dollars in thousands, except per share amounts, unless otherwise noted)</w:t>
      </w:r>
    </w:p>
    <w:p>
      <w:pPr>
        <w:spacing w:after="0" w:line="11"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(unaudited)</w:t>
      </w:r>
    </w:p>
    <w:p>
      <w:pPr>
        <w:spacing w:after="0" w:line="192"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1. Basis of Financial Reporting</w:t>
      </w:r>
    </w:p>
    <w:p>
      <w:pPr>
        <w:spacing w:after="0" w:line="145" w:lineRule="exact"/>
        <w:rPr>
          <w:sz w:val="20"/>
          <w:szCs w:val="20"/>
          <w:color w:val="auto"/>
        </w:rPr>
      </w:pPr>
    </w:p>
    <w:p>
      <w:pPr>
        <w:jc w:val="both"/>
        <w:spacing w:after="0" w:line="262" w:lineRule="auto"/>
        <w:rPr>
          <w:sz w:val="20"/>
          <w:szCs w:val="20"/>
          <w:color w:val="auto"/>
        </w:rPr>
      </w:pPr>
      <w:r>
        <w:rPr>
          <w:rFonts w:ascii="Arial" w:cs="Arial" w:eastAsia="Arial" w:hAnsi="Arial"/>
          <w:sz w:val="14"/>
          <w:szCs w:val="14"/>
          <w:color w:val="auto"/>
        </w:rPr>
        <w:t>The accompanying unaudited consolidated financial statements of Nelnet, Inc. and subsidiaries (the “Company”) as of March 31, 2019 and for the three months ended March 31, 2019 and 2018 have been prepared on the same basis as the audited consolidated financial statements for the year ended December 31, 2018 and, in the opinion of the Company’s management, the unaudited consolidated financial statements reflect all adjustments, consisting of normal recurring adjustments, necessary for a fair presentation of results of operations for the interim periods presented. The preparation of financial statements in conformity with U.S. generally accepted accounting principles requires management to make estimates and assumptions that affect the amounts reported in the consolidated financial statements and accompanying notes. Actual results could differ from those estimates. Operating results for the three months ended March 31, 2019 are not necessarily indicative of the results for the year ending December 31, 2019. The unaudited consolidated financial statements should be read in conjunction with the Company’s Annual Report on Form 10-K for the year ended December 31, 2018 (the "2018 Annual Report").</w:t>
      </w:r>
    </w:p>
    <w:p>
      <w:pPr>
        <w:spacing w:after="0" w:line="106" w:lineRule="exact"/>
        <w:rPr>
          <w:sz w:val="20"/>
          <w:szCs w:val="20"/>
          <w:color w:val="auto"/>
        </w:rPr>
      </w:pPr>
    </w:p>
    <w:p>
      <w:pPr>
        <w:spacing w:after="0"/>
        <w:rPr>
          <w:sz w:val="20"/>
          <w:szCs w:val="20"/>
          <w:color w:val="auto"/>
        </w:rPr>
      </w:pPr>
      <w:r>
        <w:rPr>
          <w:rFonts w:ascii="Arial" w:cs="Arial" w:eastAsia="Arial" w:hAnsi="Arial"/>
          <w:sz w:val="14"/>
          <w:szCs w:val="14"/>
          <w:b w:val="1"/>
          <w:bCs w:val="1"/>
          <w:i w:val="1"/>
          <w:iCs w:val="1"/>
          <w:color w:val="auto"/>
        </w:rPr>
        <w:t>Accounting Standard Adopted in 2019</w:t>
      </w:r>
    </w:p>
    <w:p>
      <w:pPr>
        <w:spacing w:after="0" w:line="141" w:lineRule="exact"/>
        <w:rPr>
          <w:sz w:val="20"/>
          <w:szCs w:val="20"/>
          <w:color w:val="auto"/>
        </w:rPr>
      </w:pPr>
    </w:p>
    <w:p>
      <w:pPr>
        <w:spacing w:after="0"/>
        <w:rPr>
          <w:sz w:val="20"/>
          <w:szCs w:val="20"/>
          <w:color w:val="auto"/>
        </w:rPr>
      </w:pPr>
      <w:r>
        <w:rPr>
          <w:rFonts w:ascii="Arial" w:cs="Arial" w:eastAsia="Arial" w:hAnsi="Arial"/>
          <w:sz w:val="14"/>
          <w:szCs w:val="14"/>
          <w:color w:val="auto"/>
        </w:rPr>
        <w:t>In the first quarter of 2019, the Company adopted the following new accounting standard:</w:t>
      </w:r>
    </w:p>
    <w:p>
      <w:pPr>
        <w:spacing w:after="0" w:line="141" w:lineRule="exact"/>
        <w:rPr>
          <w:sz w:val="20"/>
          <w:szCs w:val="20"/>
          <w:color w:val="auto"/>
        </w:rPr>
      </w:pPr>
    </w:p>
    <w:p>
      <w:pPr>
        <w:spacing w:after="0"/>
        <w:rPr>
          <w:sz w:val="20"/>
          <w:szCs w:val="20"/>
          <w:color w:val="auto"/>
        </w:rPr>
      </w:pPr>
      <w:r>
        <w:rPr>
          <w:rFonts w:ascii="Arial" w:cs="Arial" w:eastAsia="Arial" w:hAnsi="Arial"/>
          <w:sz w:val="14"/>
          <w:szCs w:val="14"/>
          <w:i w:val="1"/>
          <w:iCs w:val="1"/>
          <w:u w:val="single" w:color="auto"/>
          <w:color w:val="auto"/>
        </w:rPr>
        <w:t>Leases</w:t>
      </w:r>
    </w:p>
    <w:p>
      <w:pPr>
        <w:spacing w:after="0" w:line="141" w:lineRule="exact"/>
        <w:rPr>
          <w:sz w:val="20"/>
          <w:szCs w:val="20"/>
          <w:color w:val="auto"/>
        </w:rPr>
      </w:pPr>
    </w:p>
    <w:p>
      <w:pPr>
        <w:jc w:val="both"/>
        <w:spacing w:after="0" w:line="267" w:lineRule="auto"/>
        <w:rPr>
          <w:sz w:val="20"/>
          <w:szCs w:val="20"/>
          <w:color w:val="auto"/>
        </w:rPr>
      </w:pPr>
      <w:r>
        <w:rPr>
          <w:rFonts w:ascii="Arial" w:cs="Arial" w:eastAsia="Arial" w:hAnsi="Arial"/>
          <w:sz w:val="14"/>
          <w:szCs w:val="14"/>
          <w:color w:val="auto"/>
        </w:rPr>
        <w:t xml:space="preserve">In February 2016, the Financial Accounting Standards Board ("FASB") issued Accounting Standards Codification Topic 842, </w:t>
      </w:r>
      <w:r>
        <w:rPr>
          <w:rFonts w:ascii="Arial" w:cs="Arial" w:eastAsia="Arial" w:hAnsi="Arial"/>
          <w:sz w:val="14"/>
          <w:szCs w:val="14"/>
          <w:i w:val="1"/>
          <w:iCs w:val="1"/>
          <w:color w:val="auto"/>
        </w:rPr>
        <w:t>Leases</w:t>
      </w:r>
      <w:r>
        <w:rPr>
          <w:rFonts w:ascii="Arial" w:cs="Arial" w:eastAsia="Arial" w:hAnsi="Arial"/>
          <w:sz w:val="14"/>
          <w:szCs w:val="14"/>
          <w:color w:val="auto"/>
        </w:rPr>
        <w:t xml:space="preserve"> ("ASC Topic 842"). The standard requires the identification of arrangements that should be accounted for as leases by lessees and the disclosure of key information about leasing arrangements. The standard establishes a right-of-use ("ROU") model that requires a lessee to recognize a ROU asset and lease liability for all leases with a term longer than twelve months and classify the lease as operating or financing, with the income statement reflecting lease expense for operating leases and amortization/interest expense for financing leases.</w:t>
      </w:r>
    </w:p>
    <w:p>
      <w:pPr>
        <w:spacing w:after="0" w:line="103" w:lineRule="exact"/>
        <w:rPr>
          <w:sz w:val="20"/>
          <w:szCs w:val="20"/>
          <w:color w:val="auto"/>
        </w:rPr>
      </w:pPr>
    </w:p>
    <w:p>
      <w:pPr>
        <w:jc w:val="both"/>
        <w:spacing w:after="0" w:line="272" w:lineRule="auto"/>
        <w:rPr>
          <w:sz w:val="20"/>
          <w:szCs w:val="20"/>
          <w:color w:val="auto"/>
        </w:rPr>
      </w:pPr>
      <w:r>
        <w:rPr>
          <w:rFonts w:ascii="Arial" w:cs="Arial" w:eastAsia="Arial" w:hAnsi="Arial"/>
          <w:sz w:val="14"/>
          <w:szCs w:val="14"/>
          <w:color w:val="auto"/>
        </w:rPr>
        <w:t>The Company adopted the standard effective January 1, 2019, using the effective date as its date of initial application. Consequently, financial information is not updated and the disclosures required under the new standard are not provided for dates and periods before January 1, 2019. The Company elected to utilize the ‘package of practical expedients’, which permitted it to not reassess under the new standard its prior conclusions about lease identification, lease classification, and initial direct costs.</w:t>
      </w:r>
    </w:p>
    <w:p>
      <w:pPr>
        <w:spacing w:after="0" w:line="99" w:lineRule="exact"/>
        <w:rPr>
          <w:sz w:val="20"/>
          <w:szCs w:val="20"/>
          <w:color w:val="auto"/>
        </w:rPr>
      </w:pPr>
    </w:p>
    <w:p>
      <w:pPr>
        <w:jc w:val="both"/>
        <w:spacing w:after="0" w:line="267" w:lineRule="auto"/>
        <w:rPr>
          <w:sz w:val="20"/>
          <w:szCs w:val="20"/>
          <w:color w:val="auto"/>
        </w:rPr>
      </w:pPr>
      <w:r>
        <w:rPr>
          <w:rFonts w:ascii="Arial" w:cs="Arial" w:eastAsia="Arial" w:hAnsi="Arial"/>
          <w:sz w:val="14"/>
          <w:szCs w:val="14"/>
          <w:color w:val="auto"/>
        </w:rPr>
        <w:t>The most significant impact of the standard relates to (1) the recognition of new ROU assets and lease liabilities on the Company's balance sheet; (2) the deconsolidation of assets and liabilities for certain sale-leaseback transactions arising from build-to-suit lease arrangements for which construction was completed and the Company is leasing the constructed assets that did not qualify for sale accounting prior to the adoption of the new standard; and (3) significant new disclosures about the Company’s leasing activities. The build-to-suit lease arrangements have been reassessed as operating leases as of the effective date under ASC Topic 842.</w:t>
      </w:r>
    </w:p>
    <w:p>
      <w:pPr>
        <w:spacing w:after="0" w:line="200" w:lineRule="exact"/>
        <w:rPr>
          <w:sz w:val="20"/>
          <w:szCs w:val="20"/>
          <w:color w:val="auto"/>
        </w:rPr>
      </w:pPr>
    </w:p>
    <w:p>
      <w:pPr>
        <w:spacing w:after="0" w:line="344"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8</w:t>
      </w:r>
    </w:p>
    <w:p>
      <w:pPr>
        <w:sectPr>
          <w:pgSz w:w="11900" w:h="16838" w:orient="portrait"/>
          <w:cols w:equalWidth="0" w:num="1">
            <w:col w:w="11460"/>
          </w:cols>
          <w:pgMar w:left="220" w:top="739" w:right="219" w:bottom="1440" w:gutter="0" w:footer="0" w:header="0"/>
        </w:sectPr>
      </w:pPr>
    </w:p>
    <w:bookmarkStart w:id="9" w:name="page10"/>
    <w:bookmarkEnd w:id="9"/>
    <w:p>
      <w:pPr>
        <w:jc w:val="both"/>
        <w:spacing w:after="0" w:line="264" w:lineRule="auto"/>
        <w:rPr>
          <w:sz w:val="20"/>
          <w:szCs w:val="20"/>
          <w:color w:val="auto"/>
        </w:rPr>
      </w:pPr>
      <w:r>
        <w:rPr>
          <w:rFonts w:ascii="Arial" w:cs="Arial" w:eastAsia="Arial" w:hAnsi="Arial"/>
          <w:sz w:val="14"/>
          <w:szCs w:val="14"/>
          <w:color w:val="auto"/>
        </w:rPr>
        <w:t>Adoption of the new standard resulted in recognizing lease liabilities of $33.7 million based on the present value of the remaining minimum rental payments. In addition, the Company recognized ROU assets of $32.8 million, which corresponds to the lease liabilities reduced by deferred rent expense as of the effective date. The Company also deconsolidated total assets of $43.8 million and total liabilities of $34.8 million for entities that had been consolidated due to sale-leaseback transactions that failed to qualify for recognition as sales under the prior guidance. Deconsolidation of these entities reduced noncontrolling interests by $6.1 million. The cumulative effect of the changes made to the Company's consolidated balance sheet as of January 1, 2019 for the adoption of the new lease standard was as follows:</w:t>
      </w:r>
    </w:p>
    <w:p>
      <w:pPr>
        <w:spacing w:after="0" w:line="20" w:lineRule="exact"/>
        <w:rPr>
          <w:sz w:val="20"/>
          <w:szCs w:val="20"/>
          <w:color w:val="auto"/>
        </w:rPr>
      </w:pPr>
    </w:p>
    <w:tbl>
      <w:tblPr>
        <w:tblLayout w:type="fixed"/>
        <w:tblInd w:w="380" w:type="dxa"/>
        <w:tblCellMar>
          <w:top w:w="0" w:type="dxa"/>
          <w:left w:w="0" w:type="dxa"/>
          <w:bottom w:w="0" w:type="dxa"/>
          <w:right w:w="0" w:type="dxa"/>
        </w:tblCellMar>
      </w:tblPr>
      <w:tr>
        <w:trPr>
          <w:trHeight w:val="162"/>
        </w:trPr>
        <w:tc>
          <w:tcPr>
            <w:tcW w:w="6120" w:type="dxa"/>
            <w:vAlign w:val="bottom"/>
          </w:tcPr>
          <w:p>
            <w:pPr>
              <w:spacing w:after="0"/>
              <w:rPr>
                <w:sz w:val="14"/>
                <w:szCs w:val="14"/>
                <w:color w:val="auto"/>
              </w:rPr>
            </w:pPr>
          </w:p>
        </w:tc>
        <w:tc>
          <w:tcPr>
            <w:tcW w:w="1420" w:type="dxa"/>
            <w:vAlign w:val="bottom"/>
            <w:gridSpan w:val="3"/>
          </w:tcPr>
          <w:p>
            <w:pPr>
              <w:ind w:left="60"/>
              <w:spacing w:after="0"/>
              <w:rPr>
                <w:sz w:val="20"/>
                <w:szCs w:val="20"/>
                <w:color w:val="auto"/>
              </w:rPr>
            </w:pPr>
            <w:r>
              <w:rPr>
                <w:rFonts w:ascii="Arial" w:cs="Arial" w:eastAsia="Arial" w:hAnsi="Arial"/>
                <w:sz w:val="13"/>
                <w:szCs w:val="13"/>
                <w:b w:val="1"/>
                <w:bCs w:val="1"/>
                <w:color w:val="auto"/>
                <w:w w:val="96"/>
              </w:rPr>
              <w:t>Balances at December</w:t>
            </w:r>
          </w:p>
        </w:tc>
        <w:tc>
          <w:tcPr>
            <w:tcW w:w="184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89"/>
              </w:rPr>
              <w:t>Adjustments from adoption of</w:t>
            </w:r>
          </w:p>
        </w:tc>
        <w:tc>
          <w:tcPr>
            <w:tcW w:w="1340" w:type="dxa"/>
            <w:vAlign w:val="bottom"/>
          </w:tcPr>
          <w:p>
            <w:pPr>
              <w:jc w:val="right"/>
              <w:spacing w:after="0"/>
              <w:rPr>
                <w:sz w:val="20"/>
                <w:szCs w:val="20"/>
                <w:color w:val="auto"/>
              </w:rPr>
            </w:pPr>
            <w:r>
              <w:rPr>
                <w:rFonts w:ascii="Arial" w:cs="Arial" w:eastAsia="Arial" w:hAnsi="Arial"/>
                <w:sz w:val="13"/>
                <w:szCs w:val="13"/>
                <w:b w:val="1"/>
                <w:bCs w:val="1"/>
                <w:color w:val="auto"/>
                <w:w w:val="91"/>
              </w:rPr>
              <w:t>Balances at January 1,</w:t>
            </w:r>
          </w:p>
        </w:tc>
      </w:tr>
      <w:tr>
        <w:trPr>
          <w:trHeight w:val="167"/>
        </w:trPr>
        <w:tc>
          <w:tcPr>
            <w:tcW w:w="61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80" w:type="dxa"/>
            <w:vAlign w:val="bottom"/>
          </w:tcPr>
          <w:p>
            <w:pPr>
              <w:jc w:val="right"/>
              <w:ind w:right="395"/>
              <w:spacing w:after="0"/>
              <w:rPr>
                <w:sz w:val="20"/>
                <w:szCs w:val="20"/>
                <w:color w:val="auto"/>
              </w:rPr>
            </w:pPr>
            <w:r>
              <w:rPr>
                <w:rFonts w:ascii="Arial" w:cs="Arial" w:eastAsia="Arial" w:hAnsi="Arial"/>
                <w:sz w:val="13"/>
                <w:szCs w:val="13"/>
                <w:b w:val="1"/>
                <w:bCs w:val="1"/>
                <w:color w:val="auto"/>
              </w:rPr>
              <w:t>31, 2018</w:t>
            </w:r>
          </w:p>
        </w:tc>
        <w:tc>
          <w:tcPr>
            <w:tcW w:w="80" w:type="dxa"/>
            <w:vAlign w:val="bottom"/>
          </w:tcPr>
          <w:p>
            <w:pPr>
              <w:spacing w:after="0"/>
              <w:rPr>
                <w:sz w:val="14"/>
                <w:szCs w:val="14"/>
                <w:color w:val="auto"/>
              </w:rPr>
            </w:pPr>
          </w:p>
        </w:tc>
        <w:tc>
          <w:tcPr>
            <w:tcW w:w="1840" w:type="dxa"/>
            <w:vAlign w:val="bottom"/>
            <w:gridSpan w:val="2"/>
          </w:tcPr>
          <w:p>
            <w:pPr>
              <w:jc w:val="center"/>
              <w:ind w:right="80"/>
              <w:spacing w:after="0"/>
              <w:rPr>
                <w:sz w:val="20"/>
                <w:szCs w:val="20"/>
                <w:color w:val="auto"/>
              </w:rPr>
            </w:pPr>
            <w:r>
              <w:rPr>
                <w:rFonts w:ascii="Arial" w:cs="Arial" w:eastAsia="Arial" w:hAnsi="Arial"/>
                <w:sz w:val="13"/>
                <w:szCs w:val="13"/>
                <w:b w:val="1"/>
                <w:bCs w:val="1"/>
                <w:color w:val="auto"/>
                <w:w w:val="86"/>
              </w:rPr>
              <w:t>new lease standard</w:t>
            </w:r>
          </w:p>
        </w:tc>
        <w:tc>
          <w:tcPr>
            <w:tcW w:w="1340" w:type="dxa"/>
            <w:vAlign w:val="bottom"/>
          </w:tcPr>
          <w:p>
            <w:pPr>
              <w:jc w:val="right"/>
              <w:ind w:right="475"/>
              <w:spacing w:after="0"/>
              <w:rPr>
                <w:sz w:val="20"/>
                <w:szCs w:val="20"/>
                <w:color w:val="auto"/>
              </w:rPr>
            </w:pPr>
            <w:r>
              <w:rPr>
                <w:rFonts w:ascii="Arial" w:cs="Arial" w:eastAsia="Arial" w:hAnsi="Arial"/>
                <w:sz w:val="13"/>
                <w:szCs w:val="13"/>
                <w:b w:val="1"/>
                <w:bCs w:val="1"/>
                <w:color w:val="auto"/>
              </w:rPr>
              <w:t>2019</w:t>
            </w:r>
          </w:p>
        </w:tc>
      </w:tr>
      <w:tr>
        <w:trPr>
          <w:trHeight w:val="27"/>
        </w:trPr>
        <w:tc>
          <w:tcPr>
            <w:tcW w:w="6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196"/>
        </w:trPr>
        <w:tc>
          <w:tcPr>
            <w:tcW w:w="6120" w:type="dxa"/>
            <w:vAlign w:val="bottom"/>
            <w:shd w:val="clear" w:color="auto" w:fill="CCEEFF"/>
          </w:tcPr>
          <w:p>
            <w:pPr>
              <w:spacing w:after="0"/>
              <w:rPr>
                <w:sz w:val="20"/>
                <w:szCs w:val="20"/>
                <w:color w:val="auto"/>
              </w:rPr>
            </w:pPr>
            <w:r>
              <w:rPr>
                <w:rFonts w:ascii="Arial" w:cs="Arial" w:eastAsia="Arial" w:hAnsi="Arial"/>
                <w:sz w:val="13"/>
                <w:szCs w:val="13"/>
                <w:b w:val="1"/>
                <w:bCs w:val="1"/>
                <w:color w:val="auto"/>
              </w:rPr>
              <w:t>Assets</w:t>
            </w:r>
          </w:p>
        </w:tc>
        <w:tc>
          <w:tcPr>
            <w:tcW w:w="26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7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340" w:type="dxa"/>
            <w:vAlign w:val="bottom"/>
            <w:shd w:val="clear" w:color="auto" w:fill="CCEEFF"/>
          </w:tcPr>
          <w:p>
            <w:pPr>
              <w:spacing w:after="0"/>
              <w:rPr>
                <w:sz w:val="17"/>
                <w:szCs w:val="17"/>
                <w:color w:val="auto"/>
              </w:rPr>
            </w:pPr>
          </w:p>
        </w:tc>
      </w:tr>
      <w:tr>
        <w:trPr>
          <w:trHeight w:val="178"/>
        </w:trPr>
        <w:tc>
          <w:tcPr>
            <w:tcW w:w="6120" w:type="dxa"/>
            <w:vAlign w:val="bottom"/>
          </w:tcPr>
          <w:p>
            <w:pPr>
              <w:spacing w:after="0"/>
              <w:rPr>
                <w:sz w:val="20"/>
                <w:szCs w:val="20"/>
                <w:color w:val="auto"/>
              </w:rPr>
            </w:pPr>
            <w:r>
              <w:rPr>
                <w:rFonts w:ascii="Arial" w:cs="Arial" w:eastAsia="Arial" w:hAnsi="Arial"/>
                <w:sz w:val="13"/>
                <w:szCs w:val="13"/>
                <w:color w:val="auto"/>
              </w:rPr>
              <w:t>Cash and cash equivalents</w:t>
            </w:r>
          </w:p>
        </w:tc>
        <w:tc>
          <w:tcPr>
            <w:tcW w:w="260" w:type="dxa"/>
            <w:vAlign w:val="bottom"/>
          </w:tcPr>
          <w:p>
            <w:pPr>
              <w:jc w:val="right"/>
              <w:ind w:right="115"/>
              <w:spacing w:after="0"/>
              <w:rPr>
                <w:sz w:val="20"/>
                <w:szCs w:val="20"/>
                <w:color w:val="auto"/>
              </w:rPr>
            </w:pPr>
            <w:r>
              <w:rPr>
                <w:rFonts w:ascii="Arial" w:cs="Arial" w:eastAsia="Arial" w:hAnsi="Arial"/>
                <w:sz w:val="13"/>
                <w:szCs w:val="13"/>
                <w:color w:val="auto"/>
                <w:w w:val="82"/>
              </w:rPr>
              <w:t>$</w:t>
            </w:r>
          </w:p>
        </w:tc>
        <w:tc>
          <w:tcPr>
            <w:tcW w:w="1080" w:type="dxa"/>
            <w:vAlign w:val="bottom"/>
          </w:tcPr>
          <w:p>
            <w:pPr>
              <w:jc w:val="right"/>
              <w:spacing w:after="0"/>
              <w:rPr>
                <w:sz w:val="20"/>
                <w:szCs w:val="20"/>
                <w:color w:val="auto"/>
              </w:rPr>
            </w:pPr>
            <w:r>
              <w:rPr>
                <w:rFonts w:ascii="Arial" w:cs="Arial" w:eastAsia="Arial" w:hAnsi="Arial"/>
                <w:sz w:val="13"/>
                <w:szCs w:val="13"/>
                <w:color w:val="auto"/>
              </w:rPr>
              <w:t>121,347</w:t>
            </w:r>
          </w:p>
        </w:tc>
        <w:tc>
          <w:tcPr>
            <w:tcW w:w="80" w:type="dxa"/>
            <w:vAlign w:val="bottom"/>
          </w:tcPr>
          <w:p>
            <w:pPr>
              <w:spacing w:after="0"/>
              <w:rPr>
                <w:sz w:val="15"/>
                <w:szCs w:val="15"/>
                <w:color w:val="auto"/>
              </w:rPr>
            </w:pPr>
          </w:p>
        </w:tc>
        <w:tc>
          <w:tcPr>
            <w:tcW w:w="1760" w:type="dxa"/>
            <w:vAlign w:val="bottom"/>
          </w:tcPr>
          <w:p>
            <w:pPr>
              <w:jc w:val="right"/>
              <w:spacing w:after="0"/>
              <w:rPr>
                <w:sz w:val="20"/>
                <w:szCs w:val="20"/>
                <w:color w:val="auto"/>
              </w:rPr>
            </w:pPr>
            <w:r>
              <w:rPr>
                <w:rFonts w:ascii="Arial" w:cs="Arial" w:eastAsia="Arial" w:hAnsi="Arial"/>
                <w:sz w:val="13"/>
                <w:szCs w:val="13"/>
                <w:color w:val="auto"/>
              </w:rPr>
              <w:t>(646)</w:t>
            </w:r>
          </w:p>
        </w:tc>
        <w:tc>
          <w:tcPr>
            <w:tcW w:w="80" w:type="dxa"/>
            <w:vAlign w:val="bottom"/>
          </w:tcPr>
          <w:p>
            <w:pPr>
              <w:spacing w:after="0"/>
              <w:rPr>
                <w:sz w:val="15"/>
                <w:szCs w:val="15"/>
                <w:color w:val="auto"/>
              </w:rPr>
            </w:pPr>
          </w:p>
        </w:tc>
        <w:tc>
          <w:tcPr>
            <w:tcW w:w="1340" w:type="dxa"/>
            <w:vAlign w:val="bottom"/>
          </w:tcPr>
          <w:p>
            <w:pPr>
              <w:jc w:val="right"/>
              <w:spacing w:after="0"/>
              <w:rPr>
                <w:sz w:val="20"/>
                <w:szCs w:val="20"/>
                <w:color w:val="auto"/>
              </w:rPr>
            </w:pPr>
            <w:r>
              <w:rPr>
                <w:rFonts w:ascii="Arial" w:cs="Arial" w:eastAsia="Arial" w:hAnsi="Arial"/>
                <w:sz w:val="13"/>
                <w:szCs w:val="13"/>
                <w:color w:val="auto"/>
              </w:rPr>
              <w:t>120,701</w:t>
            </w:r>
          </w:p>
        </w:tc>
      </w:tr>
      <w:tr>
        <w:trPr>
          <w:trHeight w:val="27"/>
        </w:trPr>
        <w:tc>
          <w:tcPr>
            <w:tcW w:w="6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80" w:type="dxa"/>
            <w:vAlign w:val="bottom"/>
          </w:tcPr>
          <w:p>
            <w:pPr>
              <w:spacing w:after="0"/>
              <w:rPr>
                <w:sz w:val="2"/>
                <w:szCs w:val="2"/>
                <w:color w:val="auto"/>
              </w:rPr>
            </w:pPr>
          </w:p>
        </w:tc>
        <w:tc>
          <w:tcPr>
            <w:tcW w:w="1760" w:type="dxa"/>
            <w:vAlign w:val="bottom"/>
          </w:tcPr>
          <w:p>
            <w:pPr>
              <w:spacing w:after="0"/>
              <w:rPr>
                <w:sz w:val="2"/>
                <w:szCs w:val="2"/>
                <w:color w:val="auto"/>
              </w:rPr>
            </w:pPr>
          </w:p>
        </w:tc>
        <w:tc>
          <w:tcPr>
            <w:tcW w:w="8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185"/>
        </w:trPr>
        <w:tc>
          <w:tcPr>
            <w:tcW w:w="61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Investments and notes receivable</w:t>
            </w:r>
          </w:p>
        </w:tc>
        <w:tc>
          <w:tcPr>
            <w:tcW w:w="260" w:type="dxa"/>
            <w:vAlign w:val="bottom"/>
            <w:tcBorders>
              <w:bottom w:val="single" w:sz="8" w:color="CCEEFF"/>
            </w:tcBorders>
            <w:shd w:val="clear" w:color="auto" w:fill="CCEEFF"/>
          </w:tcPr>
          <w:p>
            <w:pPr>
              <w:spacing w:after="0"/>
              <w:rPr>
                <w:sz w:val="16"/>
                <w:szCs w:val="16"/>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249,370</w:t>
            </w:r>
          </w:p>
        </w:tc>
        <w:tc>
          <w:tcPr>
            <w:tcW w:w="80" w:type="dxa"/>
            <w:vAlign w:val="bottom"/>
            <w:tcBorders>
              <w:bottom w:val="single" w:sz="8" w:color="CCEEFF"/>
            </w:tcBorders>
            <w:shd w:val="clear" w:color="auto" w:fill="CCEEFF"/>
          </w:tcPr>
          <w:p>
            <w:pPr>
              <w:spacing w:after="0"/>
              <w:rPr>
                <w:sz w:val="16"/>
                <w:szCs w:val="16"/>
                <w:color w:val="auto"/>
              </w:rPr>
            </w:pPr>
          </w:p>
        </w:tc>
        <w:tc>
          <w:tcPr>
            <w:tcW w:w="1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(23,134)</w:t>
            </w:r>
          </w:p>
        </w:tc>
        <w:tc>
          <w:tcPr>
            <w:tcW w:w="80" w:type="dxa"/>
            <w:vAlign w:val="bottom"/>
            <w:tcBorders>
              <w:bottom w:val="single" w:sz="8" w:color="CCEEFF"/>
            </w:tcBorders>
            <w:shd w:val="clear" w:color="auto" w:fill="CCEEFF"/>
          </w:tcPr>
          <w:p>
            <w:pPr>
              <w:spacing w:after="0"/>
              <w:rPr>
                <w:sz w:val="16"/>
                <w:szCs w:val="16"/>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226,236</w:t>
            </w:r>
          </w:p>
        </w:tc>
      </w:tr>
      <w:tr>
        <w:trPr>
          <w:trHeight w:val="178"/>
        </w:trPr>
        <w:tc>
          <w:tcPr>
            <w:tcW w:w="6120" w:type="dxa"/>
            <w:vAlign w:val="bottom"/>
          </w:tcPr>
          <w:p>
            <w:pPr>
              <w:spacing w:after="0"/>
              <w:rPr>
                <w:sz w:val="20"/>
                <w:szCs w:val="20"/>
                <w:color w:val="auto"/>
              </w:rPr>
            </w:pPr>
            <w:r>
              <w:rPr>
                <w:rFonts w:ascii="Arial" w:cs="Arial" w:eastAsia="Arial" w:hAnsi="Arial"/>
                <w:sz w:val="13"/>
                <w:szCs w:val="13"/>
                <w:color w:val="auto"/>
              </w:rPr>
              <w:t>Accounts receivable</w:t>
            </w:r>
          </w:p>
        </w:tc>
        <w:tc>
          <w:tcPr>
            <w:tcW w:w="26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Arial" w:cs="Arial" w:eastAsia="Arial" w:hAnsi="Arial"/>
                <w:sz w:val="13"/>
                <w:szCs w:val="13"/>
                <w:color w:val="auto"/>
              </w:rPr>
              <w:t>59,531</w:t>
            </w:r>
          </w:p>
        </w:tc>
        <w:tc>
          <w:tcPr>
            <w:tcW w:w="80" w:type="dxa"/>
            <w:vAlign w:val="bottom"/>
          </w:tcPr>
          <w:p>
            <w:pPr>
              <w:spacing w:after="0"/>
              <w:rPr>
                <w:sz w:val="15"/>
                <w:szCs w:val="15"/>
                <w:color w:val="auto"/>
              </w:rPr>
            </w:pPr>
          </w:p>
        </w:tc>
        <w:tc>
          <w:tcPr>
            <w:tcW w:w="1760" w:type="dxa"/>
            <w:vAlign w:val="bottom"/>
          </w:tcPr>
          <w:p>
            <w:pPr>
              <w:jc w:val="right"/>
              <w:spacing w:after="0"/>
              <w:rPr>
                <w:sz w:val="20"/>
                <w:szCs w:val="20"/>
                <w:color w:val="auto"/>
              </w:rPr>
            </w:pPr>
            <w:r>
              <w:rPr>
                <w:rFonts w:ascii="Arial" w:cs="Arial" w:eastAsia="Arial" w:hAnsi="Arial"/>
                <w:sz w:val="13"/>
                <w:szCs w:val="13"/>
                <w:color w:val="auto"/>
              </w:rPr>
              <w:t>(89)</w:t>
            </w:r>
          </w:p>
        </w:tc>
        <w:tc>
          <w:tcPr>
            <w:tcW w:w="80" w:type="dxa"/>
            <w:vAlign w:val="bottom"/>
          </w:tcPr>
          <w:p>
            <w:pPr>
              <w:spacing w:after="0"/>
              <w:rPr>
                <w:sz w:val="15"/>
                <w:szCs w:val="15"/>
                <w:color w:val="auto"/>
              </w:rPr>
            </w:pPr>
          </w:p>
        </w:tc>
        <w:tc>
          <w:tcPr>
            <w:tcW w:w="1340" w:type="dxa"/>
            <w:vAlign w:val="bottom"/>
          </w:tcPr>
          <w:p>
            <w:pPr>
              <w:jc w:val="right"/>
              <w:spacing w:after="0"/>
              <w:rPr>
                <w:sz w:val="20"/>
                <w:szCs w:val="20"/>
                <w:color w:val="auto"/>
              </w:rPr>
            </w:pPr>
            <w:r>
              <w:rPr>
                <w:rFonts w:ascii="Arial" w:cs="Arial" w:eastAsia="Arial" w:hAnsi="Arial"/>
                <w:sz w:val="13"/>
                <w:szCs w:val="13"/>
                <w:color w:val="auto"/>
              </w:rPr>
              <w:t>59,442</w:t>
            </w:r>
          </w:p>
        </w:tc>
      </w:tr>
      <w:tr>
        <w:trPr>
          <w:trHeight w:val="27"/>
        </w:trPr>
        <w:tc>
          <w:tcPr>
            <w:tcW w:w="6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80" w:type="dxa"/>
            <w:vAlign w:val="bottom"/>
          </w:tcPr>
          <w:p>
            <w:pPr>
              <w:spacing w:after="0"/>
              <w:rPr>
                <w:sz w:val="2"/>
                <w:szCs w:val="2"/>
                <w:color w:val="auto"/>
              </w:rPr>
            </w:pPr>
          </w:p>
        </w:tc>
        <w:tc>
          <w:tcPr>
            <w:tcW w:w="1760" w:type="dxa"/>
            <w:vAlign w:val="bottom"/>
          </w:tcPr>
          <w:p>
            <w:pPr>
              <w:spacing w:after="0"/>
              <w:rPr>
                <w:sz w:val="2"/>
                <w:szCs w:val="2"/>
                <w:color w:val="auto"/>
              </w:rPr>
            </w:pPr>
          </w:p>
        </w:tc>
        <w:tc>
          <w:tcPr>
            <w:tcW w:w="8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185"/>
        </w:trPr>
        <w:tc>
          <w:tcPr>
            <w:tcW w:w="61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Property and equipment, net</w:t>
            </w:r>
          </w:p>
        </w:tc>
        <w:tc>
          <w:tcPr>
            <w:tcW w:w="260" w:type="dxa"/>
            <w:vAlign w:val="bottom"/>
            <w:tcBorders>
              <w:bottom w:val="single" w:sz="8" w:color="CCEEFF"/>
            </w:tcBorders>
            <w:shd w:val="clear" w:color="auto" w:fill="CCEEFF"/>
          </w:tcPr>
          <w:p>
            <w:pPr>
              <w:spacing w:after="0"/>
              <w:rPr>
                <w:sz w:val="16"/>
                <w:szCs w:val="16"/>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344,784</w:t>
            </w:r>
          </w:p>
        </w:tc>
        <w:tc>
          <w:tcPr>
            <w:tcW w:w="80" w:type="dxa"/>
            <w:vAlign w:val="bottom"/>
            <w:tcBorders>
              <w:bottom w:val="single" w:sz="8" w:color="CCEEFF"/>
            </w:tcBorders>
            <w:shd w:val="clear" w:color="auto" w:fill="CCEEFF"/>
          </w:tcPr>
          <w:p>
            <w:pPr>
              <w:spacing w:after="0"/>
              <w:rPr>
                <w:sz w:val="16"/>
                <w:szCs w:val="16"/>
                <w:color w:val="auto"/>
              </w:rPr>
            </w:pPr>
          </w:p>
        </w:tc>
        <w:tc>
          <w:tcPr>
            <w:tcW w:w="1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(16,974)</w:t>
            </w:r>
          </w:p>
        </w:tc>
        <w:tc>
          <w:tcPr>
            <w:tcW w:w="80" w:type="dxa"/>
            <w:vAlign w:val="bottom"/>
            <w:tcBorders>
              <w:bottom w:val="single" w:sz="8" w:color="CCEEFF"/>
            </w:tcBorders>
            <w:shd w:val="clear" w:color="auto" w:fill="CCEEFF"/>
          </w:tcPr>
          <w:p>
            <w:pPr>
              <w:spacing w:after="0"/>
              <w:rPr>
                <w:sz w:val="16"/>
                <w:szCs w:val="16"/>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327,810</w:t>
            </w:r>
          </w:p>
        </w:tc>
      </w:tr>
      <w:tr>
        <w:trPr>
          <w:trHeight w:val="178"/>
        </w:trPr>
        <w:tc>
          <w:tcPr>
            <w:tcW w:w="6120" w:type="dxa"/>
            <w:vAlign w:val="bottom"/>
          </w:tcPr>
          <w:p>
            <w:pPr>
              <w:spacing w:after="0"/>
              <w:rPr>
                <w:sz w:val="20"/>
                <w:szCs w:val="20"/>
                <w:color w:val="auto"/>
              </w:rPr>
            </w:pPr>
            <w:r>
              <w:rPr>
                <w:rFonts w:ascii="Arial" w:cs="Arial" w:eastAsia="Arial" w:hAnsi="Arial"/>
                <w:sz w:val="13"/>
                <w:szCs w:val="13"/>
                <w:color w:val="auto"/>
              </w:rPr>
              <w:t>Other assets</w:t>
            </w:r>
          </w:p>
        </w:tc>
        <w:tc>
          <w:tcPr>
            <w:tcW w:w="26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Arial" w:cs="Arial" w:eastAsia="Arial" w:hAnsi="Arial"/>
                <w:sz w:val="13"/>
                <w:szCs w:val="13"/>
                <w:color w:val="auto"/>
              </w:rPr>
              <w:t>45,533</w:t>
            </w:r>
          </w:p>
        </w:tc>
        <w:tc>
          <w:tcPr>
            <w:tcW w:w="80" w:type="dxa"/>
            <w:vAlign w:val="bottom"/>
          </w:tcPr>
          <w:p>
            <w:pPr>
              <w:spacing w:after="0"/>
              <w:rPr>
                <w:sz w:val="15"/>
                <w:szCs w:val="15"/>
                <w:color w:val="auto"/>
              </w:rPr>
            </w:pPr>
          </w:p>
        </w:tc>
        <w:tc>
          <w:tcPr>
            <w:tcW w:w="1760" w:type="dxa"/>
            <w:vAlign w:val="bottom"/>
          </w:tcPr>
          <w:p>
            <w:pPr>
              <w:jc w:val="right"/>
              <w:spacing w:after="0"/>
              <w:rPr>
                <w:sz w:val="20"/>
                <w:szCs w:val="20"/>
                <w:color w:val="auto"/>
              </w:rPr>
            </w:pPr>
            <w:r>
              <w:rPr>
                <w:rFonts w:ascii="Arial" w:cs="Arial" w:eastAsia="Arial" w:hAnsi="Arial"/>
                <w:sz w:val="13"/>
                <w:szCs w:val="13"/>
                <w:color w:val="auto"/>
              </w:rPr>
              <w:t>32,804</w:t>
            </w:r>
          </w:p>
        </w:tc>
        <w:tc>
          <w:tcPr>
            <w:tcW w:w="80" w:type="dxa"/>
            <w:vAlign w:val="bottom"/>
          </w:tcPr>
          <w:p>
            <w:pPr>
              <w:spacing w:after="0"/>
              <w:rPr>
                <w:sz w:val="15"/>
                <w:szCs w:val="15"/>
                <w:color w:val="auto"/>
              </w:rPr>
            </w:pPr>
          </w:p>
        </w:tc>
        <w:tc>
          <w:tcPr>
            <w:tcW w:w="1340" w:type="dxa"/>
            <w:vAlign w:val="bottom"/>
          </w:tcPr>
          <w:p>
            <w:pPr>
              <w:jc w:val="right"/>
              <w:spacing w:after="0"/>
              <w:rPr>
                <w:sz w:val="20"/>
                <w:szCs w:val="20"/>
                <w:color w:val="auto"/>
              </w:rPr>
            </w:pPr>
            <w:r>
              <w:rPr>
                <w:rFonts w:ascii="Arial" w:cs="Arial" w:eastAsia="Arial" w:hAnsi="Arial"/>
                <w:sz w:val="13"/>
                <w:szCs w:val="13"/>
                <w:color w:val="auto"/>
              </w:rPr>
              <w:t>78,337</w:t>
            </w:r>
          </w:p>
        </w:tc>
      </w:tr>
      <w:tr>
        <w:trPr>
          <w:trHeight w:val="27"/>
        </w:trPr>
        <w:tc>
          <w:tcPr>
            <w:tcW w:w="6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80" w:type="dxa"/>
            <w:vAlign w:val="bottom"/>
          </w:tcPr>
          <w:p>
            <w:pPr>
              <w:spacing w:after="0"/>
              <w:rPr>
                <w:sz w:val="2"/>
                <w:szCs w:val="2"/>
                <w:color w:val="auto"/>
              </w:rPr>
            </w:pPr>
          </w:p>
        </w:tc>
        <w:tc>
          <w:tcPr>
            <w:tcW w:w="1760" w:type="dxa"/>
            <w:vAlign w:val="bottom"/>
          </w:tcPr>
          <w:p>
            <w:pPr>
              <w:spacing w:after="0"/>
              <w:rPr>
                <w:sz w:val="2"/>
                <w:szCs w:val="2"/>
                <w:color w:val="auto"/>
              </w:rPr>
            </w:pPr>
          </w:p>
        </w:tc>
        <w:tc>
          <w:tcPr>
            <w:tcW w:w="8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172"/>
        </w:trPr>
        <w:tc>
          <w:tcPr>
            <w:tcW w:w="6120" w:type="dxa"/>
            <w:vAlign w:val="bottom"/>
            <w:shd w:val="clear" w:color="auto" w:fill="CCEEFF"/>
          </w:tcPr>
          <w:p>
            <w:pPr>
              <w:spacing w:after="0"/>
              <w:rPr>
                <w:sz w:val="20"/>
                <w:szCs w:val="20"/>
                <w:color w:val="auto"/>
              </w:rPr>
            </w:pPr>
            <w:r>
              <w:rPr>
                <w:rFonts w:ascii="Arial" w:cs="Arial" w:eastAsia="Arial" w:hAnsi="Arial"/>
                <w:sz w:val="13"/>
                <w:szCs w:val="13"/>
                <w:b w:val="1"/>
                <w:bCs w:val="1"/>
                <w:color w:val="auto"/>
              </w:rPr>
              <w:t>Liabilities</w:t>
            </w:r>
          </w:p>
        </w:tc>
        <w:tc>
          <w:tcPr>
            <w:tcW w:w="260" w:type="dxa"/>
            <w:vAlign w:val="bottom"/>
            <w:shd w:val="clear" w:color="auto" w:fill="CCEEFF"/>
          </w:tcPr>
          <w:p>
            <w:pPr>
              <w:spacing w:after="0"/>
              <w:rPr>
                <w:sz w:val="14"/>
                <w:szCs w:val="14"/>
                <w:color w:val="auto"/>
              </w:rPr>
            </w:pPr>
          </w:p>
        </w:tc>
        <w:tc>
          <w:tcPr>
            <w:tcW w:w="10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7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340" w:type="dxa"/>
            <w:vAlign w:val="bottom"/>
            <w:shd w:val="clear" w:color="auto" w:fill="CCEEFF"/>
          </w:tcPr>
          <w:p>
            <w:pPr>
              <w:spacing w:after="0"/>
              <w:rPr>
                <w:sz w:val="14"/>
                <w:szCs w:val="14"/>
                <w:color w:val="auto"/>
              </w:rPr>
            </w:pPr>
          </w:p>
        </w:tc>
      </w:tr>
      <w:tr>
        <w:trPr>
          <w:trHeight w:val="202"/>
        </w:trPr>
        <w:tc>
          <w:tcPr>
            <w:tcW w:w="6120" w:type="dxa"/>
            <w:vAlign w:val="bottom"/>
          </w:tcPr>
          <w:p>
            <w:pPr>
              <w:spacing w:after="0"/>
              <w:rPr>
                <w:sz w:val="20"/>
                <w:szCs w:val="20"/>
                <w:color w:val="auto"/>
              </w:rPr>
            </w:pPr>
            <w:r>
              <w:rPr>
                <w:rFonts w:ascii="Arial" w:cs="Arial" w:eastAsia="Arial" w:hAnsi="Arial"/>
                <w:sz w:val="13"/>
                <w:szCs w:val="13"/>
                <w:color w:val="auto"/>
              </w:rPr>
              <w:t>Bonds and notes payable</w:t>
            </w:r>
          </w:p>
        </w:tc>
        <w:tc>
          <w:tcPr>
            <w:tcW w:w="260" w:type="dxa"/>
            <w:vAlign w:val="bottom"/>
          </w:tcPr>
          <w:p>
            <w:pPr>
              <w:spacing w:after="0"/>
              <w:rPr>
                <w:sz w:val="17"/>
                <w:szCs w:val="17"/>
                <w:color w:val="auto"/>
              </w:rPr>
            </w:pPr>
          </w:p>
        </w:tc>
        <w:tc>
          <w:tcPr>
            <w:tcW w:w="1080" w:type="dxa"/>
            <w:vAlign w:val="bottom"/>
          </w:tcPr>
          <w:p>
            <w:pPr>
              <w:jc w:val="right"/>
              <w:spacing w:after="0"/>
              <w:rPr>
                <w:sz w:val="20"/>
                <w:szCs w:val="20"/>
                <w:color w:val="auto"/>
              </w:rPr>
            </w:pPr>
            <w:r>
              <w:rPr>
                <w:rFonts w:ascii="Arial" w:cs="Arial" w:eastAsia="Arial" w:hAnsi="Arial"/>
                <w:sz w:val="13"/>
                <w:szCs w:val="13"/>
                <w:color w:val="auto"/>
              </w:rPr>
              <w:t>22,218,740</w:t>
            </w:r>
          </w:p>
        </w:tc>
        <w:tc>
          <w:tcPr>
            <w:tcW w:w="80" w:type="dxa"/>
            <w:vAlign w:val="bottom"/>
          </w:tcPr>
          <w:p>
            <w:pPr>
              <w:spacing w:after="0"/>
              <w:rPr>
                <w:sz w:val="17"/>
                <w:szCs w:val="17"/>
                <w:color w:val="auto"/>
              </w:rPr>
            </w:pPr>
          </w:p>
        </w:tc>
        <w:tc>
          <w:tcPr>
            <w:tcW w:w="1760" w:type="dxa"/>
            <w:vAlign w:val="bottom"/>
          </w:tcPr>
          <w:p>
            <w:pPr>
              <w:jc w:val="right"/>
              <w:spacing w:after="0"/>
              <w:rPr>
                <w:sz w:val="20"/>
                <w:szCs w:val="20"/>
                <w:color w:val="auto"/>
              </w:rPr>
            </w:pPr>
            <w:r>
              <w:rPr>
                <w:rFonts w:ascii="Arial" w:cs="Arial" w:eastAsia="Arial" w:hAnsi="Arial"/>
                <w:sz w:val="13"/>
                <w:szCs w:val="13"/>
                <w:color w:val="auto"/>
              </w:rPr>
              <w:t>(33,182)</w:t>
            </w:r>
          </w:p>
        </w:tc>
        <w:tc>
          <w:tcPr>
            <w:tcW w:w="8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Arial" w:cs="Arial" w:eastAsia="Arial" w:hAnsi="Arial"/>
                <w:sz w:val="13"/>
                <w:szCs w:val="13"/>
                <w:color w:val="auto"/>
              </w:rPr>
              <w:t>22,185,558</w:t>
            </w:r>
          </w:p>
        </w:tc>
      </w:tr>
      <w:tr>
        <w:trPr>
          <w:trHeight w:val="187"/>
        </w:trPr>
        <w:tc>
          <w:tcPr>
            <w:tcW w:w="61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Other liabilities</w:t>
            </w:r>
          </w:p>
        </w:tc>
        <w:tc>
          <w:tcPr>
            <w:tcW w:w="260" w:type="dxa"/>
            <w:vAlign w:val="bottom"/>
            <w:tcBorders>
              <w:bottom w:val="single" w:sz="8" w:color="CCEEFF"/>
            </w:tcBorders>
            <w:shd w:val="clear" w:color="auto" w:fill="CCEEFF"/>
          </w:tcPr>
          <w:p>
            <w:pPr>
              <w:spacing w:after="0"/>
              <w:rPr>
                <w:sz w:val="16"/>
                <w:szCs w:val="16"/>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256,092</w:t>
            </w:r>
          </w:p>
        </w:tc>
        <w:tc>
          <w:tcPr>
            <w:tcW w:w="80" w:type="dxa"/>
            <w:vAlign w:val="bottom"/>
            <w:tcBorders>
              <w:bottom w:val="single" w:sz="8" w:color="CCEEFF"/>
            </w:tcBorders>
            <w:shd w:val="clear" w:color="auto" w:fill="CCEEFF"/>
          </w:tcPr>
          <w:p>
            <w:pPr>
              <w:spacing w:after="0"/>
              <w:rPr>
                <w:sz w:val="16"/>
                <w:szCs w:val="16"/>
                <w:color w:val="auto"/>
              </w:rPr>
            </w:pPr>
          </w:p>
        </w:tc>
        <w:tc>
          <w:tcPr>
            <w:tcW w:w="1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31,220</w:t>
            </w:r>
          </w:p>
        </w:tc>
        <w:tc>
          <w:tcPr>
            <w:tcW w:w="80" w:type="dxa"/>
            <w:vAlign w:val="bottom"/>
            <w:tcBorders>
              <w:bottom w:val="single" w:sz="8" w:color="CCEEFF"/>
            </w:tcBorders>
            <w:shd w:val="clear" w:color="auto" w:fill="CCEEFF"/>
          </w:tcPr>
          <w:p>
            <w:pPr>
              <w:spacing w:after="0"/>
              <w:rPr>
                <w:sz w:val="16"/>
                <w:szCs w:val="16"/>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287,312</w:t>
            </w:r>
          </w:p>
        </w:tc>
      </w:tr>
      <w:tr>
        <w:trPr>
          <w:trHeight w:val="178"/>
        </w:trPr>
        <w:tc>
          <w:tcPr>
            <w:tcW w:w="6120" w:type="dxa"/>
            <w:vAlign w:val="bottom"/>
          </w:tcPr>
          <w:p>
            <w:pPr>
              <w:spacing w:after="0"/>
              <w:rPr>
                <w:sz w:val="20"/>
                <w:szCs w:val="20"/>
                <w:color w:val="auto"/>
              </w:rPr>
            </w:pPr>
            <w:r>
              <w:rPr>
                <w:rFonts w:ascii="Arial" w:cs="Arial" w:eastAsia="Arial" w:hAnsi="Arial"/>
                <w:sz w:val="13"/>
                <w:szCs w:val="13"/>
                <w:b w:val="1"/>
                <w:bCs w:val="1"/>
                <w:color w:val="auto"/>
              </w:rPr>
              <w:t>Equity</w:t>
            </w:r>
          </w:p>
        </w:tc>
        <w:tc>
          <w:tcPr>
            <w:tcW w:w="26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7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340" w:type="dxa"/>
            <w:vAlign w:val="bottom"/>
          </w:tcPr>
          <w:p>
            <w:pPr>
              <w:spacing w:after="0"/>
              <w:rPr>
                <w:sz w:val="15"/>
                <w:szCs w:val="15"/>
                <w:color w:val="auto"/>
              </w:rPr>
            </w:pPr>
          </w:p>
        </w:tc>
      </w:tr>
      <w:tr>
        <w:trPr>
          <w:trHeight w:val="27"/>
        </w:trPr>
        <w:tc>
          <w:tcPr>
            <w:tcW w:w="6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80" w:type="dxa"/>
            <w:vAlign w:val="bottom"/>
          </w:tcPr>
          <w:p>
            <w:pPr>
              <w:spacing w:after="0"/>
              <w:rPr>
                <w:sz w:val="2"/>
                <w:szCs w:val="2"/>
                <w:color w:val="auto"/>
              </w:rPr>
            </w:pPr>
          </w:p>
        </w:tc>
        <w:tc>
          <w:tcPr>
            <w:tcW w:w="1760" w:type="dxa"/>
            <w:vAlign w:val="bottom"/>
          </w:tcPr>
          <w:p>
            <w:pPr>
              <w:spacing w:after="0"/>
              <w:rPr>
                <w:sz w:val="2"/>
                <w:szCs w:val="2"/>
                <w:color w:val="auto"/>
              </w:rPr>
            </w:pPr>
          </w:p>
        </w:tc>
        <w:tc>
          <w:tcPr>
            <w:tcW w:w="8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178"/>
        </w:trPr>
        <w:tc>
          <w:tcPr>
            <w:tcW w:w="6120" w:type="dxa"/>
            <w:vAlign w:val="bottom"/>
            <w:shd w:val="clear" w:color="auto" w:fill="CCEEFF"/>
          </w:tcPr>
          <w:p>
            <w:pPr>
              <w:spacing w:after="0"/>
              <w:rPr>
                <w:sz w:val="20"/>
                <w:szCs w:val="20"/>
                <w:color w:val="auto"/>
              </w:rPr>
            </w:pPr>
            <w:r>
              <w:rPr>
                <w:rFonts w:ascii="Arial" w:cs="Arial" w:eastAsia="Arial" w:hAnsi="Arial"/>
                <w:sz w:val="13"/>
                <w:szCs w:val="13"/>
                <w:color w:val="auto"/>
              </w:rPr>
              <w:t>Noncontrolling interests</w:t>
            </w:r>
          </w:p>
        </w:tc>
        <w:tc>
          <w:tcPr>
            <w:tcW w:w="260" w:type="dxa"/>
            <w:vAlign w:val="bottom"/>
            <w:shd w:val="clear" w:color="auto" w:fill="CCEEFF"/>
          </w:tcPr>
          <w:p>
            <w:pPr>
              <w:spacing w:after="0"/>
              <w:rPr>
                <w:sz w:val="15"/>
                <w:szCs w:val="15"/>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10,315</w:t>
            </w:r>
          </w:p>
        </w:tc>
        <w:tc>
          <w:tcPr>
            <w:tcW w:w="80" w:type="dxa"/>
            <w:vAlign w:val="bottom"/>
            <w:shd w:val="clear" w:color="auto" w:fill="CCEEFF"/>
          </w:tcPr>
          <w:p>
            <w:pPr>
              <w:spacing w:after="0"/>
              <w:rPr>
                <w:sz w:val="15"/>
                <w:szCs w:val="15"/>
                <w:color w:val="auto"/>
              </w:rPr>
            </w:pPr>
          </w:p>
        </w:tc>
        <w:tc>
          <w:tcPr>
            <w:tcW w:w="1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(6,077)</w:t>
            </w:r>
          </w:p>
        </w:tc>
        <w:tc>
          <w:tcPr>
            <w:tcW w:w="80" w:type="dxa"/>
            <w:vAlign w:val="bottom"/>
            <w:shd w:val="clear" w:color="auto" w:fill="CCEEFF"/>
          </w:tcPr>
          <w:p>
            <w:pPr>
              <w:spacing w:after="0"/>
              <w:rPr>
                <w:sz w:val="15"/>
                <w:szCs w:val="15"/>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4,238</w:t>
            </w:r>
          </w:p>
        </w:tc>
      </w:tr>
      <w:tr>
        <w:trPr>
          <w:trHeight w:val="27"/>
        </w:trPr>
        <w:tc>
          <w:tcPr>
            <w:tcW w:w="612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108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176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1340" w:type="dxa"/>
            <w:vAlign w:val="bottom"/>
            <w:shd w:val="clear" w:color="auto" w:fill="CCEEFF"/>
          </w:tcPr>
          <w:p>
            <w:pPr>
              <w:spacing w:after="0"/>
              <w:rPr>
                <w:sz w:val="2"/>
                <w:szCs w:val="2"/>
                <w:color w:val="auto"/>
              </w:rPr>
            </w:pPr>
          </w:p>
        </w:tc>
      </w:tr>
    </w:tbl>
    <w:p>
      <w:pPr>
        <w:spacing w:after="0" w:line="119" w:lineRule="exact"/>
        <w:rPr>
          <w:sz w:val="20"/>
          <w:szCs w:val="20"/>
          <w:color w:val="auto"/>
        </w:rPr>
      </w:pPr>
    </w:p>
    <w:p>
      <w:pPr>
        <w:jc w:val="both"/>
        <w:spacing w:after="0" w:line="264" w:lineRule="auto"/>
        <w:rPr>
          <w:sz w:val="20"/>
          <w:szCs w:val="20"/>
          <w:color w:val="auto"/>
        </w:rPr>
      </w:pPr>
      <w:r>
        <w:rPr>
          <w:rFonts w:ascii="Arial" w:cs="Arial" w:eastAsia="Arial" w:hAnsi="Arial"/>
          <w:sz w:val="14"/>
          <w:szCs w:val="14"/>
          <w:color w:val="auto"/>
        </w:rPr>
        <w:t>At the inception of an arrangement, the Company determines if the arrangement is, or contains, a lease and records the lease in the consolidated financial statements upon lease commencement, which is the date when the underlying asset is made available by the lessor. The Company primarily leases dark fiber to support its telecommunications operations and office and data center space. Leases with an initial term of 12 months or less are not recorded on the balance sheet. The lease expense for these leases is recognized on a straight-line basis over the lease term. All other lease assets and lease liabilities are recognized based on the present value of lease payments over the lease term at the commencement date. When the discount rate implicit in the lease cannot be readily determined, the Company uses its incremental borrowing rate.</w:t>
      </w:r>
    </w:p>
    <w:p>
      <w:pPr>
        <w:spacing w:after="0" w:line="106" w:lineRule="exact"/>
        <w:rPr>
          <w:sz w:val="20"/>
          <w:szCs w:val="20"/>
          <w:color w:val="auto"/>
        </w:rPr>
      </w:pPr>
    </w:p>
    <w:p>
      <w:pPr>
        <w:jc w:val="both"/>
        <w:spacing w:after="0" w:line="267" w:lineRule="auto"/>
        <w:rPr>
          <w:sz w:val="20"/>
          <w:szCs w:val="20"/>
          <w:color w:val="auto"/>
        </w:rPr>
      </w:pPr>
      <w:r>
        <w:rPr>
          <w:rFonts w:ascii="Arial" w:cs="Arial" w:eastAsia="Arial" w:hAnsi="Arial"/>
          <w:sz w:val="14"/>
          <w:szCs w:val="14"/>
          <w:color w:val="auto"/>
        </w:rPr>
        <w:t>The Company has elected to utilize the practical expedient to account for lease and non-lease components together as a single, combined lease component for its office and data center space. In addition, the Company has identified itself as the lessor in its Communications operating segment for services provided to customers that include customer-premise equipment. The Company has also elected to utilize the practical expedient to account for those services and associated leases as a single, combined component. The non-lease services are 'predominant' in those contracts. Therefore, the combined component is considered a single performance obligation under ASC Topic 606.</w:t>
      </w:r>
    </w:p>
    <w:p>
      <w:pPr>
        <w:spacing w:after="0" w:line="103" w:lineRule="exact"/>
        <w:rPr>
          <w:sz w:val="20"/>
          <w:szCs w:val="20"/>
          <w:color w:val="auto"/>
        </w:rPr>
      </w:pPr>
    </w:p>
    <w:p>
      <w:pPr>
        <w:jc w:val="both"/>
        <w:spacing w:after="0" w:line="288" w:lineRule="auto"/>
        <w:rPr>
          <w:sz w:val="20"/>
          <w:szCs w:val="20"/>
          <w:color w:val="auto"/>
        </w:rPr>
      </w:pPr>
      <w:r>
        <w:rPr>
          <w:rFonts w:ascii="Arial" w:cs="Arial" w:eastAsia="Arial" w:hAnsi="Arial"/>
          <w:sz w:val="14"/>
          <w:szCs w:val="14"/>
          <w:color w:val="auto"/>
        </w:rPr>
        <w:t>Most leases include one or more options to renew, with renewal terms that can be extended. The exercise of lease renewal options for the majority of leases is at the Company's discretion. Renewal options that the Company is reasonably certain to exercise are included in the lease term.</w:t>
      </w:r>
    </w:p>
    <w:p>
      <w:pPr>
        <w:spacing w:after="0" w:line="88" w:lineRule="exact"/>
        <w:rPr>
          <w:sz w:val="20"/>
          <w:szCs w:val="20"/>
          <w:color w:val="auto"/>
        </w:rPr>
      </w:pPr>
    </w:p>
    <w:p>
      <w:pPr>
        <w:jc w:val="both"/>
        <w:spacing w:after="0" w:line="288" w:lineRule="auto"/>
        <w:rPr>
          <w:sz w:val="20"/>
          <w:szCs w:val="20"/>
          <w:color w:val="auto"/>
        </w:rPr>
      </w:pPr>
      <w:r>
        <w:rPr>
          <w:rFonts w:ascii="Arial" w:cs="Arial" w:eastAsia="Arial" w:hAnsi="Arial"/>
          <w:sz w:val="14"/>
          <w:szCs w:val="14"/>
          <w:color w:val="auto"/>
        </w:rPr>
        <w:t>Certain leases include escalating rental payments or rental payments adjusted periodically for inflation. None of the lease agreements include any residual value guarantees, a transfer of title, or a purchase option that is reasonably certain to be exercised.</w:t>
      </w:r>
    </w:p>
    <w:p>
      <w:pPr>
        <w:spacing w:after="0" w:line="88" w:lineRule="exact"/>
        <w:rPr>
          <w:sz w:val="20"/>
          <w:szCs w:val="20"/>
          <w:color w:val="auto"/>
        </w:rPr>
      </w:pPr>
    </w:p>
    <w:p>
      <w:pPr>
        <w:spacing w:after="0"/>
        <w:rPr>
          <w:sz w:val="20"/>
          <w:szCs w:val="20"/>
          <w:color w:val="auto"/>
        </w:rPr>
      </w:pPr>
      <w:r>
        <w:rPr>
          <w:rFonts w:ascii="Arial" w:cs="Arial" w:eastAsia="Arial" w:hAnsi="Arial"/>
          <w:sz w:val="14"/>
          <w:szCs w:val="14"/>
          <w:color w:val="auto"/>
        </w:rPr>
        <w:t>The following table provides supplemental balance sheet information related to leases:</w:t>
      </w:r>
    </w:p>
    <w:p>
      <w:pPr>
        <w:spacing w:after="0" w:line="55" w:lineRule="exact"/>
        <w:rPr>
          <w:sz w:val="20"/>
          <w:szCs w:val="20"/>
          <w:color w:val="auto"/>
        </w:rPr>
      </w:pPr>
    </w:p>
    <w:tbl>
      <w:tblPr>
        <w:tblLayout w:type="fixed"/>
        <w:tblInd w:w="1800" w:type="dxa"/>
        <w:tblCellMar>
          <w:top w:w="0" w:type="dxa"/>
          <w:left w:w="0" w:type="dxa"/>
          <w:bottom w:w="0" w:type="dxa"/>
          <w:right w:w="0" w:type="dxa"/>
        </w:tblCellMar>
      </w:tblPr>
      <w:tr>
        <w:trPr>
          <w:trHeight w:val="167"/>
        </w:trPr>
        <w:tc>
          <w:tcPr>
            <w:tcW w:w="58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700" w:type="dxa"/>
            <w:vAlign w:val="bottom"/>
          </w:tcPr>
          <w:p>
            <w:pPr>
              <w:jc w:val="right"/>
              <w:ind w:right="815"/>
              <w:spacing w:after="0"/>
              <w:rPr>
                <w:sz w:val="20"/>
                <w:szCs w:val="20"/>
                <w:color w:val="auto"/>
              </w:rPr>
            </w:pPr>
            <w:r>
              <w:rPr>
                <w:rFonts w:ascii="Arial" w:cs="Arial" w:eastAsia="Arial" w:hAnsi="Arial"/>
                <w:sz w:val="13"/>
                <w:szCs w:val="13"/>
                <w:b w:val="1"/>
                <w:bCs w:val="1"/>
                <w:color w:val="auto"/>
              </w:rPr>
              <w:t>As of</w:t>
            </w:r>
          </w:p>
        </w:tc>
        <w:tc>
          <w:tcPr>
            <w:tcW w:w="0" w:type="dxa"/>
            <w:vAlign w:val="bottom"/>
          </w:tcPr>
          <w:p>
            <w:pPr>
              <w:spacing w:after="0"/>
              <w:rPr>
                <w:sz w:val="1"/>
                <w:szCs w:val="1"/>
                <w:color w:val="auto"/>
              </w:rPr>
            </w:pPr>
          </w:p>
        </w:tc>
      </w:tr>
      <w:tr>
        <w:trPr>
          <w:trHeight w:val="205"/>
        </w:trPr>
        <w:tc>
          <w:tcPr>
            <w:tcW w:w="58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700" w:type="dxa"/>
            <w:vAlign w:val="bottom"/>
          </w:tcPr>
          <w:p>
            <w:pPr>
              <w:jc w:val="right"/>
              <w:ind w:right="515"/>
              <w:spacing w:after="0"/>
              <w:rPr>
                <w:sz w:val="20"/>
                <w:szCs w:val="20"/>
                <w:color w:val="auto"/>
              </w:rPr>
            </w:pPr>
            <w:r>
              <w:rPr>
                <w:rFonts w:ascii="Arial" w:cs="Arial" w:eastAsia="Arial" w:hAnsi="Arial"/>
                <w:sz w:val="13"/>
                <w:szCs w:val="13"/>
                <w:b w:val="1"/>
                <w:bCs w:val="1"/>
                <w:color w:val="auto"/>
              </w:rPr>
              <w:t>March 31, 2019</w:t>
            </w:r>
          </w:p>
        </w:tc>
        <w:tc>
          <w:tcPr>
            <w:tcW w:w="0" w:type="dxa"/>
            <w:vAlign w:val="bottom"/>
          </w:tcPr>
          <w:p>
            <w:pPr>
              <w:spacing w:after="0"/>
              <w:rPr>
                <w:sz w:val="1"/>
                <w:szCs w:val="1"/>
                <w:color w:val="auto"/>
              </w:rPr>
            </w:pPr>
          </w:p>
        </w:tc>
      </w:tr>
      <w:tr>
        <w:trPr>
          <w:trHeight w:val="27"/>
        </w:trPr>
        <w:tc>
          <w:tcPr>
            <w:tcW w:w="586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57"/>
        </w:trPr>
        <w:tc>
          <w:tcPr>
            <w:tcW w:w="5860" w:type="dxa"/>
            <w:vAlign w:val="bottom"/>
            <w:shd w:val="clear" w:color="auto" w:fill="CCEEFF"/>
          </w:tcPr>
          <w:p>
            <w:pPr>
              <w:spacing w:after="0"/>
              <w:rPr>
                <w:sz w:val="20"/>
                <w:szCs w:val="20"/>
                <w:color w:val="auto"/>
              </w:rPr>
            </w:pPr>
            <w:r>
              <w:rPr>
                <w:rFonts w:ascii="Arial" w:cs="Arial" w:eastAsia="Arial" w:hAnsi="Arial"/>
                <w:sz w:val="13"/>
                <w:szCs w:val="13"/>
                <w:color w:val="auto"/>
              </w:rPr>
              <w:t>Operating lease ROU assets, which is included in "other assets" on the</w:t>
            </w:r>
          </w:p>
        </w:tc>
        <w:tc>
          <w:tcPr>
            <w:tcW w:w="320" w:type="dxa"/>
            <w:vAlign w:val="bottom"/>
            <w:vMerge w:val="restart"/>
            <w:shd w:val="clear" w:color="auto" w:fill="CCEEFF"/>
          </w:tcPr>
          <w:p>
            <w:pPr>
              <w:jc w:val="right"/>
              <w:ind w:right="175"/>
              <w:spacing w:after="0"/>
              <w:rPr>
                <w:sz w:val="20"/>
                <w:szCs w:val="20"/>
                <w:color w:val="auto"/>
              </w:rPr>
            </w:pPr>
            <w:r>
              <w:rPr>
                <w:rFonts w:ascii="Arial" w:cs="Arial" w:eastAsia="Arial" w:hAnsi="Arial"/>
                <w:sz w:val="13"/>
                <w:szCs w:val="13"/>
                <w:color w:val="auto"/>
                <w:w w:val="82"/>
              </w:rPr>
              <w:t>$</w:t>
            </w:r>
          </w:p>
        </w:tc>
        <w:tc>
          <w:tcPr>
            <w:tcW w:w="1700" w:type="dxa"/>
            <w:vAlign w:val="bottom"/>
            <w:vMerge w:val="restart"/>
            <w:shd w:val="clear" w:color="auto" w:fill="CCEEFF"/>
          </w:tcPr>
          <w:p>
            <w:pPr>
              <w:jc w:val="right"/>
              <w:spacing w:after="0"/>
              <w:rPr>
                <w:sz w:val="20"/>
                <w:szCs w:val="20"/>
                <w:color w:val="auto"/>
              </w:rPr>
            </w:pPr>
            <w:r>
              <w:rPr>
                <w:rFonts w:ascii="Arial" w:cs="Arial" w:eastAsia="Arial" w:hAnsi="Arial"/>
                <w:sz w:val="13"/>
                <w:szCs w:val="13"/>
                <w:color w:val="auto"/>
              </w:rPr>
              <w:t>33,928</w:t>
            </w:r>
          </w:p>
        </w:tc>
        <w:tc>
          <w:tcPr>
            <w:tcW w:w="0" w:type="dxa"/>
            <w:vAlign w:val="bottom"/>
          </w:tcPr>
          <w:p>
            <w:pPr>
              <w:spacing w:after="0"/>
              <w:rPr>
                <w:sz w:val="1"/>
                <w:szCs w:val="1"/>
                <w:color w:val="auto"/>
              </w:rPr>
            </w:pPr>
          </w:p>
        </w:tc>
      </w:tr>
      <w:tr>
        <w:trPr>
          <w:trHeight w:val="186"/>
        </w:trPr>
        <w:tc>
          <w:tcPr>
            <w:tcW w:w="58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consolidated balance sheet</w:t>
            </w:r>
          </w:p>
        </w:tc>
        <w:tc>
          <w:tcPr>
            <w:tcW w:w="320" w:type="dxa"/>
            <w:vAlign w:val="bottom"/>
            <w:tcBorders>
              <w:bottom w:val="single" w:sz="8" w:color="auto"/>
            </w:tcBorders>
            <w:vMerge w:val="continue"/>
            <w:shd w:val="clear" w:color="auto" w:fill="CCEEFF"/>
          </w:tcPr>
          <w:p>
            <w:pPr>
              <w:spacing w:after="0"/>
              <w:rPr>
                <w:sz w:val="16"/>
                <w:szCs w:val="16"/>
                <w:color w:val="auto"/>
              </w:rPr>
            </w:pPr>
          </w:p>
        </w:tc>
        <w:tc>
          <w:tcPr>
            <w:tcW w:w="1700" w:type="dxa"/>
            <w:vAlign w:val="bottom"/>
            <w:tcBorders>
              <w:bottom w:val="single" w:sz="8" w:color="auto"/>
            </w:tcBorders>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586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3"/>
                <w:szCs w:val="13"/>
                <w:color w:val="auto"/>
              </w:rPr>
              <w:t>Operating lease liabilities, which is included in "other liabilities" on the</w:t>
            </w: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7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1"/>
        </w:trPr>
        <w:tc>
          <w:tcPr>
            <w:tcW w:w="5860" w:type="dxa"/>
            <w:vAlign w:val="bottom"/>
            <w:vMerge w:val="continue"/>
          </w:tcPr>
          <w:p>
            <w:pPr>
              <w:spacing w:after="0"/>
              <w:rPr>
                <w:sz w:val="10"/>
                <w:szCs w:val="10"/>
                <w:color w:val="auto"/>
              </w:rPr>
            </w:pPr>
          </w:p>
        </w:tc>
        <w:tc>
          <w:tcPr>
            <w:tcW w:w="320" w:type="dxa"/>
            <w:vAlign w:val="bottom"/>
            <w:vMerge w:val="restart"/>
          </w:tcPr>
          <w:p>
            <w:pPr>
              <w:jc w:val="right"/>
              <w:ind w:right="175"/>
              <w:spacing w:after="0"/>
              <w:rPr>
                <w:sz w:val="20"/>
                <w:szCs w:val="20"/>
                <w:color w:val="auto"/>
              </w:rPr>
            </w:pPr>
            <w:r>
              <w:rPr>
                <w:rFonts w:ascii="Arial" w:cs="Arial" w:eastAsia="Arial" w:hAnsi="Arial"/>
                <w:sz w:val="13"/>
                <w:szCs w:val="13"/>
                <w:color w:val="auto"/>
                <w:w w:val="82"/>
              </w:rPr>
              <w:t>$</w:t>
            </w:r>
          </w:p>
        </w:tc>
        <w:tc>
          <w:tcPr>
            <w:tcW w:w="1700" w:type="dxa"/>
            <w:vAlign w:val="bottom"/>
            <w:vMerge w:val="restart"/>
          </w:tcPr>
          <w:p>
            <w:pPr>
              <w:jc w:val="right"/>
              <w:spacing w:after="0"/>
              <w:rPr>
                <w:sz w:val="20"/>
                <w:szCs w:val="20"/>
                <w:color w:val="auto"/>
              </w:rPr>
            </w:pPr>
            <w:r>
              <w:rPr>
                <w:rFonts w:ascii="Arial" w:cs="Arial" w:eastAsia="Arial" w:hAnsi="Arial"/>
                <w:sz w:val="13"/>
                <w:szCs w:val="13"/>
                <w:color w:val="auto"/>
              </w:rPr>
              <w:t>34,891</w:t>
            </w:r>
          </w:p>
        </w:tc>
        <w:tc>
          <w:tcPr>
            <w:tcW w:w="0" w:type="dxa"/>
            <w:vAlign w:val="bottom"/>
          </w:tcPr>
          <w:p>
            <w:pPr>
              <w:spacing w:after="0"/>
              <w:rPr>
                <w:sz w:val="1"/>
                <w:szCs w:val="1"/>
                <w:color w:val="auto"/>
              </w:rPr>
            </w:pPr>
          </w:p>
        </w:tc>
      </w:tr>
      <w:tr>
        <w:trPr>
          <w:trHeight w:val="171"/>
        </w:trPr>
        <w:tc>
          <w:tcPr>
            <w:tcW w:w="5860" w:type="dxa"/>
            <w:vAlign w:val="bottom"/>
          </w:tcPr>
          <w:p>
            <w:pPr>
              <w:spacing w:after="0"/>
              <w:rPr>
                <w:sz w:val="20"/>
                <w:szCs w:val="20"/>
                <w:color w:val="auto"/>
              </w:rPr>
            </w:pPr>
            <w:r>
              <w:rPr>
                <w:rFonts w:ascii="Arial" w:cs="Arial" w:eastAsia="Arial" w:hAnsi="Arial"/>
                <w:sz w:val="13"/>
                <w:szCs w:val="13"/>
                <w:color w:val="auto"/>
              </w:rPr>
              <w:t>consolidated balance sheet</w:t>
            </w:r>
          </w:p>
        </w:tc>
        <w:tc>
          <w:tcPr>
            <w:tcW w:w="320" w:type="dxa"/>
            <w:vAlign w:val="bottom"/>
            <w:tcBorders>
              <w:bottom w:val="single" w:sz="8" w:color="auto"/>
            </w:tcBorders>
            <w:vMerge w:val="continue"/>
          </w:tcPr>
          <w:p>
            <w:pPr>
              <w:spacing w:after="0"/>
              <w:rPr>
                <w:sz w:val="14"/>
                <w:szCs w:val="14"/>
                <w:color w:val="auto"/>
              </w:rPr>
            </w:pPr>
          </w:p>
        </w:tc>
        <w:tc>
          <w:tcPr>
            <w:tcW w:w="1700" w:type="dxa"/>
            <w:vAlign w:val="bottom"/>
            <w:tcBorders>
              <w:bottom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586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9</w:t>
      </w:r>
    </w:p>
    <w:p>
      <w:pPr>
        <w:sectPr>
          <w:pgSz w:w="11900" w:h="16838" w:orient="portrait"/>
          <w:cols w:equalWidth="0" w:num="1">
            <w:col w:w="11460"/>
          </w:cols>
          <w:pgMar w:left="220" w:top="743" w:right="219" w:bottom="1440" w:gutter="0" w:footer="0" w:header="0"/>
        </w:sectPr>
      </w:pPr>
    </w:p>
    <w:bookmarkStart w:id="10" w:name="page11"/>
    <w:bookmarkEnd w:id="10"/>
    <w:p>
      <w:pPr>
        <w:spacing w:after="0"/>
        <w:rPr>
          <w:sz w:val="20"/>
          <w:szCs w:val="20"/>
          <w:color w:val="auto"/>
        </w:rPr>
      </w:pPr>
      <w:r>
        <w:rPr>
          <w:rFonts w:ascii="Arial" w:cs="Arial" w:eastAsia="Arial" w:hAnsi="Arial"/>
          <w:sz w:val="14"/>
          <w:szCs w:val="14"/>
          <w:color w:val="auto"/>
        </w:rPr>
        <w:t>The following table provides components of lease expense:</w:t>
      </w:r>
    </w:p>
    <w:p>
      <w:pPr>
        <w:spacing w:after="0" w:line="55" w:lineRule="exact"/>
        <w:rPr>
          <w:sz w:val="20"/>
          <w:szCs w:val="20"/>
          <w:color w:val="auto"/>
        </w:rPr>
      </w:pPr>
    </w:p>
    <w:tbl>
      <w:tblPr>
        <w:tblLayout w:type="fixed"/>
        <w:tblInd w:w="1800" w:type="dxa"/>
        <w:tblCellMar>
          <w:top w:w="0" w:type="dxa"/>
          <w:left w:w="0" w:type="dxa"/>
          <w:bottom w:w="0" w:type="dxa"/>
          <w:right w:w="0" w:type="dxa"/>
        </w:tblCellMar>
      </w:tblPr>
      <w:tr>
        <w:trPr>
          <w:trHeight w:val="162"/>
        </w:trPr>
        <w:tc>
          <w:tcPr>
            <w:tcW w:w="58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920" w:type="dxa"/>
            <w:vAlign w:val="bottom"/>
          </w:tcPr>
          <w:p>
            <w:pPr>
              <w:jc w:val="right"/>
              <w:ind w:right="75"/>
              <w:spacing w:after="0"/>
              <w:rPr>
                <w:sz w:val="20"/>
                <w:szCs w:val="20"/>
                <w:color w:val="auto"/>
              </w:rPr>
            </w:pPr>
            <w:r>
              <w:rPr>
                <w:rFonts w:ascii="Arial" w:cs="Arial" w:eastAsia="Arial" w:hAnsi="Arial"/>
                <w:sz w:val="13"/>
                <w:szCs w:val="13"/>
                <w:b w:val="1"/>
                <w:bCs w:val="1"/>
                <w:color w:val="auto"/>
                <w:w w:val="91"/>
              </w:rPr>
              <w:t>Three months ended March 31,</w:t>
            </w:r>
          </w:p>
        </w:tc>
      </w:tr>
      <w:tr>
        <w:trPr>
          <w:trHeight w:val="167"/>
        </w:trPr>
        <w:tc>
          <w:tcPr>
            <w:tcW w:w="58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920" w:type="dxa"/>
            <w:vAlign w:val="bottom"/>
          </w:tcPr>
          <w:p>
            <w:pPr>
              <w:jc w:val="right"/>
              <w:ind w:right="815"/>
              <w:spacing w:after="0"/>
              <w:rPr>
                <w:sz w:val="20"/>
                <w:szCs w:val="20"/>
                <w:color w:val="auto"/>
              </w:rPr>
            </w:pPr>
            <w:r>
              <w:rPr>
                <w:rFonts w:ascii="Arial" w:cs="Arial" w:eastAsia="Arial" w:hAnsi="Arial"/>
                <w:sz w:val="13"/>
                <w:szCs w:val="13"/>
                <w:b w:val="1"/>
                <w:bCs w:val="1"/>
                <w:color w:val="auto"/>
              </w:rPr>
              <w:t>2019</w:t>
            </w:r>
          </w:p>
        </w:tc>
      </w:tr>
      <w:tr>
        <w:trPr>
          <w:trHeight w:val="27"/>
        </w:trPr>
        <w:tc>
          <w:tcPr>
            <w:tcW w:w="586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r>
      <w:tr>
        <w:trPr>
          <w:trHeight w:val="157"/>
        </w:trPr>
        <w:tc>
          <w:tcPr>
            <w:tcW w:w="5860" w:type="dxa"/>
            <w:vAlign w:val="bottom"/>
            <w:shd w:val="clear" w:color="auto" w:fill="CCEEFF"/>
          </w:tcPr>
          <w:p>
            <w:pPr>
              <w:spacing w:after="0"/>
              <w:rPr>
                <w:sz w:val="20"/>
                <w:szCs w:val="20"/>
                <w:color w:val="auto"/>
              </w:rPr>
            </w:pPr>
            <w:r>
              <w:rPr>
                <w:rFonts w:ascii="Arial" w:cs="Arial" w:eastAsia="Arial" w:hAnsi="Arial"/>
                <w:sz w:val="13"/>
                <w:szCs w:val="13"/>
                <w:color w:val="auto"/>
              </w:rPr>
              <w:t>Rental expense, which is included in "other expenses" on the</w:t>
            </w:r>
          </w:p>
        </w:tc>
        <w:tc>
          <w:tcPr>
            <w:tcW w:w="100" w:type="dxa"/>
            <w:vAlign w:val="bottom"/>
            <w:shd w:val="clear" w:color="auto" w:fill="CCEEFF"/>
          </w:tcPr>
          <w:p>
            <w:pPr>
              <w:spacing w:after="0"/>
              <w:rPr>
                <w:sz w:val="13"/>
                <w:szCs w:val="13"/>
                <w:color w:val="auto"/>
              </w:rPr>
            </w:pPr>
          </w:p>
        </w:tc>
        <w:tc>
          <w:tcPr>
            <w:tcW w:w="1920" w:type="dxa"/>
            <w:vAlign w:val="bottom"/>
            <w:shd w:val="clear" w:color="auto" w:fill="CCEEFF"/>
          </w:tcPr>
          <w:p>
            <w:pPr>
              <w:spacing w:after="0"/>
              <w:rPr>
                <w:sz w:val="13"/>
                <w:szCs w:val="13"/>
                <w:color w:val="auto"/>
              </w:rPr>
            </w:pPr>
          </w:p>
        </w:tc>
      </w:tr>
      <w:tr>
        <w:trPr>
          <w:trHeight w:val="170"/>
        </w:trPr>
        <w:tc>
          <w:tcPr>
            <w:tcW w:w="58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consolidated statement of income (a)</w:t>
            </w: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2,795</w:t>
            </w:r>
          </w:p>
        </w:tc>
      </w:tr>
      <w:tr>
        <w:trPr>
          <w:trHeight w:val="177"/>
        </w:trPr>
        <w:tc>
          <w:tcPr>
            <w:tcW w:w="5860" w:type="dxa"/>
            <w:vAlign w:val="bottom"/>
          </w:tcPr>
          <w:p>
            <w:pPr>
              <w:spacing w:after="0"/>
              <w:rPr>
                <w:sz w:val="20"/>
                <w:szCs w:val="20"/>
                <w:color w:val="auto"/>
              </w:rPr>
            </w:pPr>
            <w:r>
              <w:rPr>
                <w:rFonts w:ascii="Arial" w:cs="Arial" w:eastAsia="Arial" w:hAnsi="Arial"/>
                <w:sz w:val="13"/>
                <w:szCs w:val="13"/>
                <w:color w:val="auto"/>
              </w:rPr>
              <w:t>Rental expense, which is included in "cost to provide communications</w:t>
            </w:r>
          </w:p>
        </w:tc>
        <w:tc>
          <w:tcPr>
            <w:tcW w:w="100" w:type="dxa"/>
            <w:vAlign w:val="bottom"/>
          </w:tcPr>
          <w:p>
            <w:pPr>
              <w:spacing w:after="0"/>
              <w:rPr>
                <w:sz w:val="15"/>
                <w:szCs w:val="15"/>
                <w:color w:val="auto"/>
              </w:rPr>
            </w:pPr>
          </w:p>
        </w:tc>
        <w:tc>
          <w:tcPr>
            <w:tcW w:w="1920" w:type="dxa"/>
            <w:vAlign w:val="bottom"/>
          </w:tcPr>
          <w:p>
            <w:pPr>
              <w:spacing w:after="0"/>
              <w:rPr>
                <w:sz w:val="15"/>
                <w:szCs w:val="15"/>
                <w:color w:val="auto"/>
              </w:rPr>
            </w:pPr>
          </w:p>
        </w:tc>
      </w:tr>
      <w:tr>
        <w:trPr>
          <w:trHeight w:val="163"/>
        </w:trPr>
        <w:tc>
          <w:tcPr>
            <w:tcW w:w="5860" w:type="dxa"/>
            <w:vAlign w:val="bottom"/>
          </w:tcPr>
          <w:p>
            <w:pPr>
              <w:spacing w:after="0"/>
              <w:rPr>
                <w:sz w:val="20"/>
                <w:szCs w:val="20"/>
                <w:color w:val="auto"/>
              </w:rPr>
            </w:pPr>
            <w:r>
              <w:rPr>
                <w:rFonts w:ascii="Arial" w:cs="Arial" w:eastAsia="Arial" w:hAnsi="Arial"/>
                <w:sz w:val="13"/>
                <w:szCs w:val="13"/>
                <w:color w:val="auto"/>
              </w:rPr>
              <w:t>services" on the consolidated statement of income</w:t>
            </w:r>
          </w:p>
        </w:tc>
        <w:tc>
          <w:tcPr>
            <w:tcW w:w="100" w:type="dxa"/>
            <w:vAlign w:val="bottom"/>
          </w:tcPr>
          <w:p>
            <w:pPr>
              <w:spacing w:after="0"/>
              <w:rPr>
                <w:sz w:val="14"/>
                <w:szCs w:val="14"/>
                <w:color w:val="auto"/>
              </w:rPr>
            </w:pPr>
          </w:p>
        </w:tc>
        <w:tc>
          <w:tcPr>
            <w:tcW w:w="1920" w:type="dxa"/>
            <w:vAlign w:val="bottom"/>
          </w:tcPr>
          <w:p>
            <w:pPr>
              <w:jc w:val="right"/>
              <w:spacing w:after="0"/>
              <w:rPr>
                <w:sz w:val="20"/>
                <w:szCs w:val="20"/>
                <w:color w:val="auto"/>
              </w:rPr>
            </w:pPr>
            <w:r>
              <w:rPr>
                <w:rFonts w:ascii="Arial" w:cs="Arial" w:eastAsia="Arial" w:hAnsi="Arial"/>
                <w:sz w:val="13"/>
                <w:szCs w:val="13"/>
                <w:color w:val="auto"/>
              </w:rPr>
              <w:t>79</w:t>
            </w:r>
          </w:p>
        </w:tc>
      </w:tr>
      <w:tr>
        <w:trPr>
          <w:trHeight w:val="27"/>
        </w:trPr>
        <w:tc>
          <w:tcPr>
            <w:tcW w:w="586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r>
      <w:tr>
        <w:trPr>
          <w:trHeight w:val="218"/>
        </w:trPr>
        <w:tc>
          <w:tcPr>
            <w:tcW w:w="58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Total operating rental expense</w:t>
            </w: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2,874</w:t>
            </w:r>
          </w:p>
        </w:tc>
      </w:tr>
      <w:tr>
        <w:trPr>
          <w:trHeight w:val="20"/>
        </w:trPr>
        <w:tc>
          <w:tcPr>
            <w:tcW w:w="58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1920" w:type="dxa"/>
            <w:vAlign w:val="bottom"/>
            <w:tcBorders>
              <w:top w:val="single" w:sz="8" w:color="CCEEFF"/>
              <w:bottom w:val="single" w:sz="8" w:color="auto"/>
            </w:tcBorders>
          </w:tcPr>
          <w:p>
            <w:pPr>
              <w:spacing w:after="0" w:line="20" w:lineRule="exact"/>
              <w:rPr>
                <w:sz w:val="1"/>
                <w:szCs w:val="1"/>
                <w:color w:val="auto"/>
              </w:rPr>
            </w:pPr>
          </w:p>
        </w:tc>
      </w:tr>
    </w:tbl>
    <w:p>
      <w:pPr>
        <w:spacing w:after="0" w:line="183" w:lineRule="exact"/>
        <w:rPr>
          <w:sz w:val="20"/>
          <w:szCs w:val="20"/>
          <w:color w:val="auto"/>
        </w:rPr>
      </w:pPr>
    </w:p>
    <w:p>
      <w:pPr>
        <w:ind w:left="1760" w:hanging="202"/>
        <w:spacing w:after="0"/>
        <w:tabs>
          <w:tab w:leader="none" w:pos="1760" w:val="left"/>
        </w:tabs>
        <w:numPr>
          <w:ilvl w:val="0"/>
          <w:numId w:val="3"/>
        </w:numPr>
        <w:rPr>
          <w:rFonts w:ascii="Arial" w:cs="Arial" w:eastAsia="Arial" w:hAnsi="Arial"/>
          <w:sz w:val="14"/>
          <w:szCs w:val="14"/>
          <w:color w:val="auto"/>
        </w:rPr>
      </w:pPr>
      <w:r>
        <w:rPr>
          <w:rFonts w:ascii="Arial" w:cs="Arial" w:eastAsia="Arial" w:hAnsi="Arial"/>
          <w:sz w:val="14"/>
          <w:szCs w:val="14"/>
          <w:color w:val="auto"/>
        </w:rPr>
        <w:t>Includes short-term and variable lease costs, which are immaterial.</w:t>
      </w:r>
    </w:p>
    <w:p>
      <w:pPr>
        <w:spacing w:after="0" w:line="140" w:lineRule="exact"/>
        <w:rPr>
          <w:rFonts w:ascii="Arial" w:cs="Arial" w:eastAsia="Arial" w:hAnsi="Arial"/>
          <w:sz w:val="14"/>
          <w:szCs w:val="14"/>
          <w:color w:val="auto"/>
        </w:rPr>
      </w:pPr>
    </w:p>
    <w:p>
      <w:pPr>
        <w:spacing w:after="0"/>
        <w:rPr>
          <w:rFonts w:ascii="Arial" w:cs="Arial" w:eastAsia="Arial" w:hAnsi="Arial"/>
          <w:sz w:val="14"/>
          <w:szCs w:val="14"/>
          <w:color w:val="auto"/>
        </w:rPr>
      </w:pPr>
      <w:r>
        <w:rPr>
          <w:rFonts w:ascii="Arial" w:cs="Arial" w:eastAsia="Arial" w:hAnsi="Arial"/>
          <w:sz w:val="14"/>
          <w:szCs w:val="14"/>
          <w:color w:val="auto"/>
        </w:rPr>
        <w:t>The following table provides supplemental cash flow information related to leases:</w:t>
      </w:r>
    </w:p>
    <w:p>
      <w:pPr>
        <w:spacing w:after="0" w:line="184" w:lineRule="exact"/>
        <w:rPr>
          <w:sz w:val="20"/>
          <w:szCs w:val="20"/>
          <w:color w:val="auto"/>
        </w:rPr>
      </w:pPr>
    </w:p>
    <w:tbl>
      <w:tblPr>
        <w:tblLayout w:type="fixed"/>
        <w:tblInd w:w="1800" w:type="dxa"/>
        <w:tblCellMar>
          <w:top w:w="0" w:type="dxa"/>
          <w:left w:w="0" w:type="dxa"/>
          <w:bottom w:w="0" w:type="dxa"/>
          <w:right w:w="0" w:type="dxa"/>
        </w:tblCellMar>
      </w:tblPr>
      <w:tr>
        <w:trPr>
          <w:trHeight w:val="162"/>
        </w:trPr>
        <w:tc>
          <w:tcPr>
            <w:tcW w:w="58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920" w:type="dxa"/>
            <w:vAlign w:val="bottom"/>
          </w:tcPr>
          <w:p>
            <w:pPr>
              <w:jc w:val="right"/>
              <w:ind w:right="75"/>
              <w:spacing w:after="0"/>
              <w:rPr>
                <w:sz w:val="20"/>
                <w:szCs w:val="20"/>
                <w:color w:val="auto"/>
              </w:rPr>
            </w:pPr>
            <w:r>
              <w:rPr>
                <w:rFonts w:ascii="Arial" w:cs="Arial" w:eastAsia="Arial" w:hAnsi="Arial"/>
                <w:sz w:val="13"/>
                <w:szCs w:val="13"/>
                <w:b w:val="1"/>
                <w:bCs w:val="1"/>
                <w:color w:val="auto"/>
                <w:w w:val="91"/>
              </w:rPr>
              <w:t>Three months ended March 31,</w:t>
            </w:r>
          </w:p>
        </w:tc>
      </w:tr>
      <w:tr>
        <w:trPr>
          <w:trHeight w:val="167"/>
        </w:trPr>
        <w:tc>
          <w:tcPr>
            <w:tcW w:w="58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920" w:type="dxa"/>
            <w:vAlign w:val="bottom"/>
          </w:tcPr>
          <w:p>
            <w:pPr>
              <w:jc w:val="right"/>
              <w:ind w:right="815"/>
              <w:spacing w:after="0"/>
              <w:rPr>
                <w:sz w:val="20"/>
                <w:szCs w:val="20"/>
                <w:color w:val="auto"/>
              </w:rPr>
            </w:pPr>
            <w:r>
              <w:rPr>
                <w:rFonts w:ascii="Arial" w:cs="Arial" w:eastAsia="Arial" w:hAnsi="Arial"/>
                <w:sz w:val="13"/>
                <w:szCs w:val="13"/>
                <w:b w:val="1"/>
                <w:bCs w:val="1"/>
                <w:color w:val="auto"/>
              </w:rPr>
              <w:t>2019</w:t>
            </w:r>
          </w:p>
        </w:tc>
      </w:tr>
      <w:tr>
        <w:trPr>
          <w:trHeight w:val="27"/>
        </w:trPr>
        <w:tc>
          <w:tcPr>
            <w:tcW w:w="586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r>
      <w:tr>
        <w:trPr>
          <w:trHeight w:val="165"/>
        </w:trPr>
        <w:tc>
          <w:tcPr>
            <w:tcW w:w="58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Cash paid for amounts included in the measurement of lease liabilities:</w:t>
            </w:r>
          </w:p>
        </w:tc>
        <w:tc>
          <w:tcPr>
            <w:tcW w:w="100" w:type="dxa"/>
            <w:vAlign w:val="bottom"/>
            <w:tcBorders>
              <w:bottom w:val="single" w:sz="8" w:color="CCEEFF"/>
            </w:tcBorders>
            <w:shd w:val="clear" w:color="auto" w:fill="CCEEFF"/>
          </w:tcPr>
          <w:p>
            <w:pPr>
              <w:spacing w:after="0"/>
              <w:rPr>
                <w:sz w:val="14"/>
                <w:szCs w:val="14"/>
                <w:color w:val="auto"/>
              </w:rPr>
            </w:pPr>
          </w:p>
        </w:tc>
        <w:tc>
          <w:tcPr>
            <w:tcW w:w="1920" w:type="dxa"/>
            <w:vAlign w:val="bottom"/>
            <w:tcBorders>
              <w:bottom w:val="single" w:sz="8" w:color="CCEEFF"/>
            </w:tcBorders>
            <w:shd w:val="clear" w:color="auto" w:fill="CCEEFF"/>
          </w:tcPr>
          <w:p>
            <w:pPr>
              <w:spacing w:after="0"/>
              <w:rPr>
                <w:sz w:val="14"/>
                <w:szCs w:val="14"/>
                <w:color w:val="auto"/>
              </w:rPr>
            </w:pPr>
          </w:p>
        </w:tc>
      </w:tr>
      <w:tr>
        <w:trPr>
          <w:trHeight w:val="202"/>
        </w:trPr>
        <w:tc>
          <w:tcPr>
            <w:tcW w:w="5860" w:type="dxa"/>
            <w:vAlign w:val="bottom"/>
          </w:tcPr>
          <w:p>
            <w:pPr>
              <w:ind w:left="80"/>
              <w:spacing w:after="0"/>
              <w:rPr>
                <w:sz w:val="20"/>
                <w:szCs w:val="20"/>
                <w:color w:val="auto"/>
              </w:rPr>
            </w:pPr>
            <w:r>
              <w:rPr>
                <w:rFonts w:ascii="Arial" w:cs="Arial" w:eastAsia="Arial" w:hAnsi="Arial"/>
                <w:sz w:val="13"/>
                <w:szCs w:val="13"/>
                <w:color w:val="auto"/>
              </w:rPr>
              <w:t>Operating cash flows from operating leases</w:t>
            </w: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19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2,376</w:t>
            </w:r>
          </w:p>
        </w:tc>
      </w:tr>
      <w:tr>
        <w:trPr>
          <w:trHeight w:val="20"/>
        </w:trPr>
        <w:tc>
          <w:tcPr>
            <w:tcW w:w="586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920" w:type="dxa"/>
            <w:vAlign w:val="bottom"/>
            <w:tcBorders>
              <w:bottom w:val="single" w:sz="8" w:color="auto"/>
            </w:tcBorders>
          </w:tcPr>
          <w:p>
            <w:pPr>
              <w:spacing w:after="0" w:line="20" w:lineRule="exact"/>
              <w:rPr>
                <w:sz w:val="1"/>
                <w:szCs w:val="1"/>
                <w:color w:val="auto"/>
              </w:rPr>
            </w:pPr>
          </w:p>
        </w:tc>
      </w:tr>
      <w:tr>
        <w:trPr>
          <w:trHeight w:val="141"/>
        </w:trPr>
        <w:tc>
          <w:tcPr>
            <w:tcW w:w="5860" w:type="dxa"/>
            <w:vAlign w:val="bottom"/>
            <w:shd w:val="clear" w:color="auto" w:fill="CCEEFF"/>
          </w:tcPr>
          <w:p>
            <w:pPr>
              <w:spacing w:after="0" w:line="141" w:lineRule="exact"/>
              <w:rPr>
                <w:sz w:val="20"/>
                <w:szCs w:val="20"/>
                <w:color w:val="auto"/>
              </w:rPr>
            </w:pPr>
            <w:r>
              <w:rPr>
                <w:rFonts w:ascii="Arial" w:cs="Arial" w:eastAsia="Arial" w:hAnsi="Arial"/>
                <w:sz w:val="13"/>
                <w:szCs w:val="13"/>
                <w:color w:val="auto"/>
              </w:rPr>
              <w:t>ROU assets obtained in exchange for lease obligations, excluding</w:t>
            </w:r>
          </w:p>
        </w:tc>
        <w:tc>
          <w:tcPr>
            <w:tcW w:w="100" w:type="dxa"/>
            <w:vAlign w:val="bottom"/>
            <w:shd w:val="clear" w:color="auto" w:fill="CCEEFF"/>
          </w:tcPr>
          <w:p>
            <w:pPr>
              <w:spacing w:after="0"/>
              <w:rPr>
                <w:sz w:val="12"/>
                <w:szCs w:val="12"/>
                <w:color w:val="auto"/>
              </w:rPr>
            </w:pPr>
          </w:p>
        </w:tc>
        <w:tc>
          <w:tcPr>
            <w:tcW w:w="1920" w:type="dxa"/>
            <w:vAlign w:val="bottom"/>
            <w:shd w:val="clear" w:color="auto" w:fill="CCEEFF"/>
          </w:tcPr>
          <w:p>
            <w:pPr>
              <w:spacing w:after="0"/>
              <w:rPr>
                <w:sz w:val="12"/>
                <w:szCs w:val="12"/>
                <w:color w:val="auto"/>
              </w:rPr>
            </w:pPr>
          </w:p>
        </w:tc>
      </w:tr>
      <w:tr>
        <w:trPr>
          <w:trHeight w:val="170"/>
        </w:trPr>
        <w:tc>
          <w:tcPr>
            <w:tcW w:w="58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impact of adoption:</w:t>
            </w:r>
          </w:p>
        </w:tc>
        <w:tc>
          <w:tcPr>
            <w:tcW w:w="100" w:type="dxa"/>
            <w:vAlign w:val="bottom"/>
            <w:tcBorders>
              <w:bottom w:val="single" w:sz="8" w:color="CCEEFF"/>
            </w:tcBorders>
            <w:shd w:val="clear" w:color="auto" w:fill="CCEEFF"/>
          </w:tcPr>
          <w:p>
            <w:pPr>
              <w:spacing w:after="0"/>
              <w:rPr>
                <w:sz w:val="14"/>
                <w:szCs w:val="14"/>
                <w:color w:val="auto"/>
              </w:rPr>
            </w:pPr>
          </w:p>
        </w:tc>
        <w:tc>
          <w:tcPr>
            <w:tcW w:w="1920" w:type="dxa"/>
            <w:vAlign w:val="bottom"/>
            <w:tcBorders>
              <w:bottom w:val="single" w:sz="8" w:color="CCEEFF"/>
            </w:tcBorders>
            <w:shd w:val="clear" w:color="auto" w:fill="CCEEFF"/>
          </w:tcPr>
          <w:p>
            <w:pPr>
              <w:spacing w:after="0"/>
              <w:rPr>
                <w:sz w:val="14"/>
                <w:szCs w:val="14"/>
                <w:color w:val="auto"/>
              </w:rPr>
            </w:pPr>
          </w:p>
        </w:tc>
      </w:tr>
      <w:tr>
        <w:trPr>
          <w:trHeight w:val="202"/>
        </w:trPr>
        <w:tc>
          <w:tcPr>
            <w:tcW w:w="5860" w:type="dxa"/>
            <w:vAlign w:val="bottom"/>
          </w:tcPr>
          <w:p>
            <w:pPr>
              <w:ind w:left="80"/>
              <w:spacing w:after="0"/>
              <w:rPr>
                <w:sz w:val="20"/>
                <w:szCs w:val="20"/>
                <w:color w:val="auto"/>
              </w:rPr>
            </w:pPr>
            <w:r>
              <w:rPr>
                <w:rFonts w:ascii="Arial" w:cs="Arial" w:eastAsia="Arial" w:hAnsi="Arial"/>
                <w:sz w:val="13"/>
                <w:szCs w:val="13"/>
                <w:color w:val="auto"/>
              </w:rPr>
              <w:t>Operating leases</w:t>
            </w: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19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3,233</w:t>
            </w:r>
          </w:p>
        </w:tc>
      </w:tr>
      <w:tr>
        <w:trPr>
          <w:trHeight w:val="20"/>
        </w:trPr>
        <w:tc>
          <w:tcPr>
            <w:tcW w:w="58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920" w:type="dxa"/>
            <w:vAlign w:val="bottom"/>
            <w:tcBorders>
              <w:bottom w:val="single" w:sz="8" w:color="auto"/>
            </w:tcBorders>
          </w:tcPr>
          <w:p>
            <w:pPr>
              <w:spacing w:after="0" w:line="20" w:lineRule="exact"/>
              <w:rPr>
                <w:sz w:val="1"/>
                <w:szCs w:val="1"/>
                <w:color w:val="auto"/>
              </w:rPr>
            </w:pPr>
          </w:p>
        </w:tc>
      </w:tr>
    </w:tbl>
    <w:p>
      <w:pPr>
        <w:spacing w:after="0" w:line="248" w:lineRule="exact"/>
        <w:rPr>
          <w:sz w:val="20"/>
          <w:szCs w:val="20"/>
          <w:color w:val="auto"/>
        </w:rPr>
      </w:pPr>
    </w:p>
    <w:p>
      <w:pPr>
        <w:spacing w:after="0"/>
        <w:rPr>
          <w:sz w:val="20"/>
          <w:szCs w:val="20"/>
          <w:color w:val="auto"/>
        </w:rPr>
      </w:pPr>
      <w:r>
        <w:rPr>
          <w:rFonts w:ascii="Arial" w:cs="Arial" w:eastAsia="Arial" w:hAnsi="Arial"/>
          <w:sz w:val="14"/>
          <w:szCs w:val="14"/>
          <w:color w:val="auto"/>
        </w:rPr>
        <w:t>Weighted average remaining lease term and discount rate are shown below:</w:t>
      </w:r>
    </w:p>
    <w:p>
      <w:pPr>
        <w:spacing w:after="0" w:line="55" w:lineRule="exact"/>
        <w:rPr>
          <w:sz w:val="20"/>
          <w:szCs w:val="20"/>
          <w:color w:val="auto"/>
        </w:rPr>
      </w:pPr>
    </w:p>
    <w:tbl>
      <w:tblPr>
        <w:tblLayout w:type="fixed"/>
        <w:tblInd w:w="1800" w:type="dxa"/>
        <w:tblCellMar>
          <w:top w:w="0" w:type="dxa"/>
          <w:left w:w="0" w:type="dxa"/>
          <w:bottom w:w="0" w:type="dxa"/>
          <w:right w:w="0" w:type="dxa"/>
        </w:tblCellMar>
      </w:tblPr>
      <w:tr>
        <w:trPr>
          <w:trHeight w:val="167"/>
        </w:trPr>
        <w:tc>
          <w:tcPr>
            <w:tcW w:w="5820" w:type="dxa"/>
            <w:vAlign w:val="bottom"/>
          </w:tcPr>
          <w:p>
            <w:pPr>
              <w:spacing w:after="0"/>
              <w:rPr>
                <w:sz w:val="14"/>
                <w:szCs w:val="14"/>
                <w:color w:val="auto"/>
              </w:rPr>
            </w:pPr>
          </w:p>
        </w:tc>
        <w:tc>
          <w:tcPr>
            <w:tcW w:w="2060" w:type="dxa"/>
            <w:vAlign w:val="bottom"/>
          </w:tcPr>
          <w:p>
            <w:pPr>
              <w:jc w:val="right"/>
              <w:ind w:right="835"/>
              <w:spacing w:after="0"/>
              <w:rPr>
                <w:sz w:val="20"/>
                <w:szCs w:val="20"/>
                <w:color w:val="auto"/>
              </w:rPr>
            </w:pPr>
            <w:r>
              <w:rPr>
                <w:rFonts w:ascii="Arial" w:cs="Arial" w:eastAsia="Arial" w:hAnsi="Arial"/>
                <w:sz w:val="13"/>
                <w:szCs w:val="13"/>
                <w:b w:val="1"/>
                <w:bCs w:val="1"/>
                <w:color w:val="auto"/>
              </w:rPr>
              <w:t>As of</w:t>
            </w:r>
          </w:p>
        </w:tc>
      </w:tr>
      <w:tr>
        <w:trPr>
          <w:trHeight w:val="205"/>
        </w:trPr>
        <w:tc>
          <w:tcPr>
            <w:tcW w:w="5820" w:type="dxa"/>
            <w:vAlign w:val="bottom"/>
          </w:tcPr>
          <w:p>
            <w:pPr>
              <w:spacing w:after="0"/>
              <w:rPr>
                <w:sz w:val="17"/>
                <w:szCs w:val="17"/>
                <w:color w:val="auto"/>
              </w:rPr>
            </w:pPr>
          </w:p>
        </w:tc>
        <w:tc>
          <w:tcPr>
            <w:tcW w:w="2060" w:type="dxa"/>
            <w:vAlign w:val="bottom"/>
          </w:tcPr>
          <w:p>
            <w:pPr>
              <w:jc w:val="right"/>
              <w:ind w:right="535"/>
              <w:spacing w:after="0"/>
              <w:rPr>
                <w:sz w:val="20"/>
                <w:szCs w:val="20"/>
                <w:color w:val="auto"/>
              </w:rPr>
            </w:pPr>
            <w:r>
              <w:rPr>
                <w:rFonts w:ascii="Arial" w:cs="Arial" w:eastAsia="Arial" w:hAnsi="Arial"/>
                <w:sz w:val="13"/>
                <w:szCs w:val="13"/>
                <w:b w:val="1"/>
                <w:bCs w:val="1"/>
                <w:color w:val="auto"/>
              </w:rPr>
              <w:t>March 31, 2019</w:t>
            </w:r>
          </w:p>
        </w:tc>
      </w:tr>
      <w:tr>
        <w:trPr>
          <w:trHeight w:val="27"/>
        </w:trPr>
        <w:tc>
          <w:tcPr>
            <w:tcW w:w="5820" w:type="dxa"/>
            <w:vAlign w:val="bottom"/>
            <w:tcBorders>
              <w:bottom w:val="single" w:sz="8" w:color="CCEEFF"/>
            </w:tcBorders>
          </w:tcPr>
          <w:p>
            <w:pPr>
              <w:spacing w:after="0"/>
              <w:rPr>
                <w:sz w:val="2"/>
                <w:szCs w:val="2"/>
                <w:color w:val="auto"/>
              </w:rPr>
            </w:pPr>
          </w:p>
        </w:tc>
        <w:tc>
          <w:tcPr>
            <w:tcW w:w="2060" w:type="dxa"/>
            <w:vAlign w:val="bottom"/>
            <w:tcBorders>
              <w:bottom w:val="single" w:sz="8" w:color="auto"/>
            </w:tcBorders>
          </w:tcPr>
          <w:p>
            <w:pPr>
              <w:spacing w:after="0"/>
              <w:rPr>
                <w:sz w:val="2"/>
                <w:szCs w:val="2"/>
                <w:color w:val="auto"/>
              </w:rPr>
            </w:pPr>
          </w:p>
        </w:tc>
      </w:tr>
      <w:tr>
        <w:trPr>
          <w:trHeight w:val="176"/>
        </w:trPr>
        <w:tc>
          <w:tcPr>
            <w:tcW w:w="58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Weighted average remaining lease term</w:t>
            </w:r>
          </w:p>
        </w:tc>
        <w:tc>
          <w:tcPr>
            <w:tcW w:w="2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6.08 years</w:t>
            </w:r>
          </w:p>
        </w:tc>
      </w:tr>
      <w:tr>
        <w:trPr>
          <w:trHeight w:val="178"/>
        </w:trPr>
        <w:tc>
          <w:tcPr>
            <w:tcW w:w="5820" w:type="dxa"/>
            <w:vAlign w:val="bottom"/>
          </w:tcPr>
          <w:p>
            <w:pPr>
              <w:spacing w:after="0"/>
              <w:rPr>
                <w:sz w:val="20"/>
                <w:szCs w:val="20"/>
                <w:color w:val="auto"/>
              </w:rPr>
            </w:pPr>
            <w:r>
              <w:rPr>
                <w:rFonts w:ascii="Arial" w:cs="Arial" w:eastAsia="Arial" w:hAnsi="Arial"/>
                <w:sz w:val="13"/>
                <w:szCs w:val="13"/>
                <w:color w:val="auto"/>
              </w:rPr>
              <w:t>Weighted average discount rate</w:t>
            </w:r>
          </w:p>
        </w:tc>
        <w:tc>
          <w:tcPr>
            <w:tcW w:w="2060" w:type="dxa"/>
            <w:vAlign w:val="bottom"/>
          </w:tcPr>
          <w:p>
            <w:pPr>
              <w:jc w:val="right"/>
              <w:spacing w:after="0"/>
              <w:rPr>
                <w:sz w:val="20"/>
                <w:szCs w:val="20"/>
                <w:color w:val="auto"/>
              </w:rPr>
            </w:pPr>
            <w:r>
              <w:rPr>
                <w:rFonts w:ascii="Arial" w:cs="Arial" w:eastAsia="Arial" w:hAnsi="Arial"/>
                <w:sz w:val="13"/>
                <w:szCs w:val="13"/>
                <w:color w:val="auto"/>
              </w:rPr>
              <w:t>4.00 %</w:t>
            </w:r>
          </w:p>
        </w:tc>
      </w:tr>
    </w:tbl>
    <w:p>
      <w:pPr>
        <w:spacing w:after="0" w:line="275" w:lineRule="exact"/>
        <w:rPr>
          <w:sz w:val="20"/>
          <w:szCs w:val="20"/>
          <w:color w:val="auto"/>
        </w:rPr>
      </w:pPr>
    </w:p>
    <w:p>
      <w:pPr>
        <w:spacing w:after="0"/>
        <w:rPr>
          <w:sz w:val="20"/>
          <w:szCs w:val="20"/>
          <w:color w:val="auto"/>
        </w:rPr>
      </w:pPr>
      <w:r>
        <w:rPr>
          <w:rFonts w:ascii="Arial" w:cs="Arial" w:eastAsia="Arial" w:hAnsi="Arial"/>
          <w:sz w:val="14"/>
          <w:szCs w:val="14"/>
          <w:color w:val="auto"/>
        </w:rPr>
        <w:t>Maturity of lease liabilities are shown below:</w:t>
      </w:r>
    </w:p>
    <w:p>
      <w:pPr>
        <w:spacing w:after="0" w:line="44" w:lineRule="exact"/>
        <w:rPr>
          <w:sz w:val="20"/>
          <w:szCs w:val="20"/>
          <w:color w:val="auto"/>
        </w:rPr>
      </w:pPr>
    </w:p>
    <w:tbl>
      <w:tblPr>
        <w:tblLayout w:type="fixed"/>
        <w:tblInd w:w="1800" w:type="dxa"/>
        <w:tblCellMar>
          <w:top w:w="0" w:type="dxa"/>
          <w:left w:w="0" w:type="dxa"/>
          <w:bottom w:w="0" w:type="dxa"/>
          <w:right w:w="0" w:type="dxa"/>
        </w:tblCellMar>
      </w:tblPr>
      <w:tr>
        <w:trPr>
          <w:trHeight w:val="185"/>
        </w:trPr>
        <w:tc>
          <w:tcPr>
            <w:tcW w:w="58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2019 (excluding the three months ended March 31, 2019)</w:t>
            </w:r>
          </w:p>
        </w:tc>
        <w:tc>
          <w:tcPr>
            <w:tcW w:w="840" w:type="dxa"/>
            <w:vAlign w:val="bottom"/>
            <w:tcBorders>
              <w:bottom w:val="single" w:sz="8" w:color="CCEEFF"/>
            </w:tcBorders>
            <w:shd w:val="clear" w:color="auto" w:fill="CCEEFF"/>
          </w:tcPr>
          <w:p>
            <w:pPr>
              <w:jc w:val="right"/>
              <w:ind w:right="695"/>
              <w:spacing w:after="0"/>
              <w:rPr>
                <w:sz w:val="20"/>
                <w:szCs w:val="20"/>
                <w:color w:val="auto"/>
              </w:rPr>
            </w:pPr>
            <w:r>
              <w:rPr>
                <w:rFonts w:ascii="Arial" w:cs="Arial" w:eastAsia="Arial" w:hAnsi="Arial"/>
                <w:sz w:val="13"/>
                <w:szCs w:val="13"/>
                <w:color w:val="auto"/>
                <w:w w:val="82"/>
              </w:rPr>
              <w:t>$</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7,354</w:t>
            </w:r>
          </w:p>
        </w:tc>
      </w:tr>
      <w:tr>
        <w:trPr>
          <w:trHeight w:val="178"/>
        </w:trPr>
        <w:tc>
          <w:tcPr>
            <w:tcW w:w="5860" w:type="dxa"/>
            <w:vAlign w:val="bottom"/>
          </w:tcPr>
          <w:p>
            <w:pPr>
              <w:spacing w:after="0"/>
              <w:rPr>
                <w:sz w:val="20"/>
                <w:szCs w:val="20"/>
                <w:color w:val="auto"/>
              </w:rPr>
            </w:pPr>
            <w:r>
              <w:rPr>
                <w:rFonts w:ascii="Arial" w:cs="Arial" w:eastAsia="Arial" w:hAnsi="Arial"/>
                <w:sz w:val="13"/>
                <w:szCs w:val="13"/>
                <w:color w:val="auto"/>
              </w:rPr>
              <w:t>2020</w:t>
            </w:r>
          </w:p>
        </w:tc>
        <w:tc>
          <w:tcPr>
            <w:tcW w:w="840" w:type="dxa"/>
            <w:vAlign w:val="bottom"/>
          </w:tcPr>
          <w:p>
            <w:pPr>
              <w:spacing w:after="0"/>
              <w:rPr>
                <w:sz w:val="15"/>
                <w:szCs w:val="15"/>
                <w:color w:val="auto"/>
              </w:rPr>
            </w:pPr>
          </w:p>
        </w:tc>
        <w:tc>
          <w:tcPr>
            <w:tcW w:w="1180" w:type="dxa"/>
            <w:vAlign w:val="bottom"/>
          </w:tcPr>
          <w:p>
            <w:pPr>
              <w:jc w:val="right"/>
              <w:spacing w:after="0"/>
              <w:rPr>
                <w:sz w:val="20"/>
                <w:szCs w:val="20"/>
                <w:color w:val="auto"/>
              </w:rPr>
            </w:pPr>
            <w:r>
              <w:rPr>
                <w:rFonts w:ascii="Arial" w:cs="Arial" w:eastAsia="Arial" w:hAnsi="Arial"/>
                <w:sz w:val="13"/>
                <w:szCs w:val="13"/>
                <w:color w:val="auto"/>
              </w:rPr>
              <w:t>8,962</w:t>
            </w:r>
          </w:p>
        </w:tc>
      </w:tr>
      <w:tr>
        <w:trPr>
          <w:trHeight w:val="27"/>
        </w:trPr>
        <w:tc>
          <w:tcPr>
            <w:tcW w:w="58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185"/>
        </w:trPr>
        <w:tc>
          <w:tcPr>
            <w:tcW w:w="58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2021</w:t>
            </w:r>
          </w:p>
        </w:tc>
        <w:tc>
          <w:tcPr>
            <w:tcW w:w="840" w:type="dxa"/>
            <w:vAlign w:val="bottom"/>
            <w:tcBorders>
              <w:bottom w:val="single" w:sz="8" w:color="CCEEFF"/>
            </w:tcBorders>
            <w:shd w:val="clear" w:color="auto" w:fill="CCEEFF"/>
          </w:tcPr>
          <w:p>
            <w:pPr>
              <w:spacing w:after="0"/>
              <w:rPr>
                <w:sz w:val="16"/>
                <w:szCs w:val="16"/>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6,356</w:t>
            </w:r>
          </w:p>
        </w:tc>
      </w:tr>
      <w:tr>
        <w:trPr>
          <w:trHeight w:val="178"/>
        </w:trPr>
        <w:tc>
          <w:tcPr>
            <w:tcW w:w="5860" w:type="dxa"/>
            <w:vAlign w:val="bottom"/>
          </w:tcPr>
          <w:p>
            <w:pPr>
              <w:spacing w:after="0"/>
              <w:rPr>
                <w:sz w:val="20"/>
                <w:szCs w:val="20"/>
                <w:color w:val="auto"/>
              </w:rPr>
            </w:pPr>
            <w:r>
              <w:rPr>
                <w:rFonts w:ascii="Arial" w:cs="Arial" w:eastAsia="Arial" w:hAnsi="Arial"/>
                <w:sz w:val="13"/>
                <w:szCs w:val="13"/>
                <w:color w:val="auto"/>
              </w:rPr>
              <w:t>2022</w:t>
            </w:r>
          </w:p>
        </w:tc>
        <w:tc>
          <w:tcPr>
            <w:tcW w:w="840" w:type="dxa"/>
            <w:vAlign w:val="bottom"/>
          </w:tcPr>
          <w:p>
            <w:pPr>
              <w:spacing w:after="0"/>
              <w:rPr>
                <w:sz w:val="15"/>
                <w:szCs w:val="15"/>
                <w:color w:val="auto"/>
              </w:rPr>
            </w:pPr>
          </w:p>
        </w:tc>
        <w:tc>
          <w:tcPr>
            <w:tcW w:w="1180" w:type="dxa"/>
            <w:vAlign w:val="bottom"/>
          </w:tcPr>
          <w:p>
            <w:pPr>
              <w:jc w:val="right"/>
              <w:spacing w:after="0"/>
              <w:rPr>
                <w:sz w:val="20"/>
                <w:szCs w:val="20"/>
                <w:color w:val="auto"/>
              </w:rPr>
            </w:pPr>
            <w:r>
              <w:rPr>
                <w:rFonts w:ascii="Arial" w:cs="Arial" w:eastAsia="Arial" w:hAnsi="Arial"/>
                <w:sz w:val="13"/>
                <w:szCs w:val="13"/>
                <w:color w:val="auto"/>
              </w:rPr>
              <w:t>4,229</w:t>
            </w:r>
          </w:p>
        </w:tc>
      </w:tr>
      <w:tr>
        <w:trPr>
          <w:trHeight w:val="27"/>
        </w:trPr>
        <w:tc>
          <w:tcPr>
            <w:tcW w:w="58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185"/>
        </w:trPr>
        <w:tc>
          <w:tcPr>
            <w:tcW w:w="58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2023</w:t>
            </w:r>
          </w:p>
        </w:tc>
        <w:tc>
          <w:tcPr>
            <w:tcW w:w="840" w:type="dxa"/>
            <w:vAlign w:val="bottom"/>
            <w:tcBorders>
              <w:bottom w:val="single" w:sz="8" w:color="CCEEFF"/>
            </w:tcBorders>
            <w:shd w:val="clear" w:color="auto" w:fill="CCEEFF"/>
          </w:tcPr>
          <w:p>
            <w:pPr>
              <w:spacing w:after="0"/>
              <w:rPr>
                <w:sz w:val="16"/>
                <w:szCs w:val="16"/>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3,395</w:t>
            </w:r>
          </w:p>
        </w:tc>
      </w:tr>
      <w:tr>
        <w:trPr>
          <w:trHeight w:val="178"/>
        </w:trPr>
        <w:tc>
          <w:tcPr>
            <w:tcW w:w="5860" w:type="dxa"/>
            <w:vAlign w:val="bottom"/>
          </w:tcPr>
          <w:p>
            <w:pPr>
              <w:spacing w:after="0"/>
              <w:rPr>
                <w:sz w:val="20"/>
                <w:szCs w:val="20"/>
                <w:color w:val="auto"/>
              </w:rPr>
            </w:pPr>
            <w:r>
              <w:rPr>
                <w:rFonts w:ascii="Arial" w:cs="Arial" w:eastAsia="Arial" w:hAnsi="Arial"/>
                <w:sz w:val="13"/>
                <w:szCs w:val="13"/>
                <w:color w:val="auto"/>
              </w:rPr>
              <w:t>2024 and thereafter</w:t>
            </w:r>
          </w:p>
        </w:tc>
        <w:tc>
          <w:tcPr>
            <w:tcW w:w="840" w:type="dxa"/>
            <w:vAlign w:val="bottom"/>
          </w:tcPr>
          <w:p>
            <w:pPr>
              <w:spacing w:after="0"/>
              <w:rPr>
                <w:sz w:val="15"/>
                <w:szCs w:val="15"/>
                <w:color w:val="auto"/>
              </w:rPr>
            </w:pPr>
          </w:p>
        </w:tc>
        <w:tc>
          <w:tcPr>
            <w:tcW w:w="1180" w:type="dxa"/>
            <w:vAlign w:val="bottom"/>
          </w:tcPr>
          <w:p>
            <w:pPr>
              <w:jc w:val="right"/>
              <w:spacing w:after="0"/>
              <w:rPr>
                <w:sz w:val="20"/>
                <w:szCs w:val="20"/>
                <w:color w:val="auto"/>
              </w:rPr>
            </w:pPr>
            <w:r>
              <w:rPr>
                <w:rFonts w:ascii="Arial" w:cs="Arial" w:eastAsia="Arial" w:hAnsi="Arial"/>
                <w:sz w:val="13"/>
                <w:szCs w:val="13"/>
                <w:color w:val="auto"/>
              </w:rPr>
              <w:t>9,187</w:t>
            </w:r>
          </w:p>
        </w:tc>
      </w:tr>
      <w:tr>
        <w:trPr>
          <w:trHeight w:val="27"/>
        </w:trPr>
        <w:tc>
          <w:tcPr>
            <w:tcW w:w="5860" w:type="dxa"/>
            <w:vAlign w:val="bottom"/>
            <w:tcBorders>
              <w:bottom w:val="single" w:sz="8" w:color="CCEEFF"/>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176"/>
        </w:trPr>
        <w:tc>
          <w:tcPr>
            <w:tcW w:w="58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Total lease payments</w:t>
            </w:r>
          </w:p>
        </w:tc>
        <w:tc>
          <w:tcPr>
            <w:tcW w:w="840" w:type="dxa"/>
            <w:vAlign w:val="bottom"/>
            <w:tcBorders>
              <w:bottom w:val="single" w:sz="8" w:color="CCEEFF"/>
            </w:tcBorders>
            <w:shd w:val="clear" w:color="auto" w:fill="CCEEFF"/>
          </w:tcPr>
          <w:p>
            <w:pPr>
              <w:spacing w:after="0"/>
              <w:rPr>
                <w:sz w:val="15"/>
                <w:szCs w:val="15"/>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39,483</w:t>
            </w:r>
          </w:p>
        </w:tc>
      </w:tr>
      <w:tr>
        <w:trPr>
          <w:trHeight w:val="178"/>
        </w:trPr>
        <w:tc>
          <w:tcPr>
            <w:tcW w:w="5860" w:type="dxa"/>
            <w:vAlign w:val="bottom"/>
          </w:tcPr>
          <w:p>
            <w:pPr>
              <w:spacing w:after="0"/>
              <w:rPr>
                <w:sz w:val="20"/>
                <w:szCs w:val="20"/>
                <w:color w:val="auto"/>
              </w:rPr>
            </w:pPr>
            <w:r>
              <w:rPr>
                <w:rFonts w:ascii="Arial" w:cs="Arial" w:eastAsia="Arial" w:hAnsi="Arial"/>
                <w:sz w:val="13"/>
                <w:szCs w:val="13"/>
                <w:color w:val="auto"/>
              </w:rPr>
              <w:t>Imputed interest</w:t>
            </w:r>
          </w:p>
        </w:tc>
        <w:tc>
          <w:tcPr>
            <w:tcW w:w="840" w:type="dxa"/>
            <w:vAlign w:val="bottom"/>
          </w:tcPr>
          <w:p>
            <w:pPr>
              <w:spacing w:after="0"/>
              <w:rPr>
                <w:sz w:val="15"/>
                <w:szCs w:val="15"/>
                <w:color w:val="auto"/>
              </w:rPr>
            </w:pPr>
          </w:p>
        </w:tc>
        <w:tc>
          <w:tcPr>
            <w:tcW w:w="1180" w:type="dxa"/>
            <w:vAlign w:val="bottom"/>
          </w:tcPr>
          <w:p>
            <w:pPr>
              <w:jc w:val="right"/>
              <w:spacing w:after="0"/>
              <w:rPr>
                <w:sz w:val="20"/>
                <w:szCs w:val="20"/>
                <w:color w:val="auto"/>
              </w:rPr>
            </w:pPr>
            <w:r>
              <w:rPr>
                <w:rFonts w:ascii="Arial" w:cs="Arial" w:eastAsia="Arial" w:hAnsi="Arial"/>
                <w:sz w:val="13"/>
                <w:szCs w:val="13"/>
                <w:color w:val="auto"/>
              </w:rPr>
              <w:t>(4,592)</w:t>
            </w:r>
          </w:p>
        </w:tc>
      </w:tr>
      <w:tr>
        <w:trPr>
          <w:trHeight w:val="27"/>
        </w:trPr>
        <w:tc>
          <w:tcPr>
            <w:tcW w:w="5860" w:type="dxa"/>
            <w:vAlign w:val="bottom"/>
            <w:tcBorders>
              <w:bottom w:val="single" w:sz="8" w:color="CCEEFF"/>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18"/>
        </w:trPr>
        <w:tc>
          <w:tcPr>
            <w:tcW w:w="58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Total</w:t>
            </w:r>
          </w:p>
        </w:tc>
        <w:tc>
          <w:tcPr>
            <w:tcW w:w="840" w:type="dxa"/>
            <w:vAlign w:val="bottom"/>
            <w:tcBorders>
              <w:bottom w:val="single" w:sz="8" w:color="auto"/>
            </w:tcBorders>
            <w:shd w:val="clear" w:color="auto" w:fill="CCEEFF"/>
          </w:tcPr>
          <w:p>
            <w:pPr>
              <w:jc w:val="right"/>
              <w:ind w:right="695"/>
              <w:spacing w:after="0"/>
              <w:rPr>
                <w:sz w:val="20"/>
                <w:szCs w:val="20"/>
                <w:color w:val="auto"/>
              </w:rPr>
            </w:pPr>
            <w:r>
              <w:rPr>
                <w:rFonts w:ascii="Arial" w:cs="Arial" w:eastAsia="Arial" w:hAnsi="Arial"/>
                <w:sz w:val="13"/>
                <w:szCs w:val="13"/>
                <w:color w:val="auto"/>
                <w:w w:val="82"/>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34,891</w:t>
            </w:r>
          </w:p>
        </w:tc>
      </w:tr>
      <w:tr>
        <w:trPr>
          <w:trHeight w:val="20"/>
        </w:trPr>
        <w:tc>
          <w:tcPr>
            <w:tcW w:w="5860" w:type="dxa"/>
            <w:vAlign w:val="bottom"/>
            <w:tcBorders>
              <w:top w:val="single" w:sz="8" w:color="CCEEFF"/>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r>
    </w:tbl>
    <w:p>
      <w:pPr>
        <w:spacing w:after="0" w:line="183" w:lineRule="exact"/>
        <w:rPr>
          <w:sz w:val="20"/>
          <w:szCs w:val="20"/>
          <w:color w:val="auto"/>
        </w:rPr>
      </w:pPr>
    </w:p>
    <w:p>
      <w:pPr>
        <w:spacing w:after="0" w:line="281" w:lineRule="auto"/>
        <w:rPr>
          <w:sz w:val="20"/>
          <w:szCs w:val="20"/>
          <w:color w:val="auto"/>
        </w:rPr>
      </w:pPr>
      <w:r>
        <w:rPr>
          <w:rFonts w:ascii="Arial" w:cs="Arial" w:eastAsia="Arial" w:hAnsi="Arial"/>
          <w:sz w:val="14"/>
          <w:szCs w:val="14"/>
          <w:color w:val="auto"/>
        </w:rPr>
        <w:t>The Company adopted the new lease standard using the effective date as its date of initial application as noted above, and as required, the following disclosure is provided for periods prior to adoption. Future minimum lease payments as of December 31, 2018 are shown below:</w:t>
      </w:r>
    </w:p>
    <w:tbl>
      <w:tblPr>
        <w:tblLayout w:type="fixed"/>
        <w:tblInd w:w="3360" w:type="dxa"/>
        <w:tblCellMar>
          <w:top w:w="0" w:type="dxa"/>
          <w:left w:w="0" w:type="dxa"/>
          <w:bottom w:w="0" w:type="dxa"/>
          <w:right w:w="0" w:type="dxa"/>
        </w:tblCellMar>
      </w:tblPr>
      <w:tr>
        <w:trPr>
          <w:trHeight w:val="185"/>
        </w:trPr>
        <w:tc>
          <w:tcPr>
            <w:tcW w:w="27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2019</w:t>
            </w:r>
          </w:p>
        </w:tc>
        <w:tc>
          <w:tcPr>
            <w:tcW w:w="860" w:type="dxa"/>
            <w:vAlign w:val="bottom"/>
            <w:tcBorders>
              <w:bottom w:val="single" w:sz="8" w:color="CCEEFF"/>
            </w:tcBorders>
            <w:shd w:val="clear" w:color="auto" w:fill="CCEEFF"/>
          </w:tcPr>
          <w:p>
            <w:pPr>
              <w:jc w:val="right"/>
              <w:ind w:right="715"/>
              <w:spacing w:after="0"/>
              <w:rPr>
                <w:sz w:val="20"/>
                <w:szCs w:val="20"/>
                <w:color w:val="auto"/>
              </w:rPr>
            </w:pPr>
            <w:r>
              <w:rPr>
                <w:rFonts w:ascii="Arial" w:cs="Arial" w:eastAsia="Arial" w:hAnsi="Arial"/>
                <w:sz w:val="13"/>
                <w:szCs w:val="13"/>
                <w:color w:val="auto"/>
                <w:w w:val="82"/>
              </w:rPr>
              <w:t>$</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9,181</w:t>
            </w:r>
          </w:p>
        </w:tc>
      </w:tr>
      <w:tr>
        <w:trPr>
          <w:trHeight w:val="178"/>
        </w:trPr>
        <w:tc>
          <w:tcPr>
            <w:tcW w:w="2720" w:type="dxa"/>
            <w:vAlign w:val="bottom"/>
          </w:tcPr>
          <w:p>
            <w:pPr>
              <w:spacing w:after="0"/>
              <w:rPr>
                <w:sz w:val="20"/>
                <w:szCs w:val="20"/>
                <w:color w:val="auto"/>
              </w:rPr>
            </w:pPr>
            <w:r>
              <w:rPr>
                <w:rFonts w:ascii="Arial" w:cs="Arial" w:eastAsia="Arial" w:hAnsi="Arial"/>
                <w:sz w:val="13"/>
                <w:szCs w:val="13"/>
                <w:color w:val="auto"/>
              </w:rPr>
              <w:t>2020</w:t>
            </w:r>
          </w:p>
        </w:tc>
        <w:tc>
          <w:tcPr>
            <w:tcW w:w="860" w:type="dxa"/>
            <w:vAlign w:val="bottom"/>
          </w:tcPr>
          <w:p>
            <w:pPr>
              <w:spacing w:after="0"/>
              <w:rPr>
                <w:sz w:val="15"/>
                <w:szCs w:val="15"/>
                <w:color w:val="auto"/>
              </w:rPr>
            </w:pPr>
          </w:p>
        </w:tc>
        <w:tc>
          <w:tcPr>
            <w:tcW w:w="1180" w:type="dxa"/>
            <w:vAlign w:val="bottom"/>
          </w:tcPr>
          <w:p>
            <w:pPr>
              <w:jc w:val="right"/>
              <w:spacing w:after="0"/>
              <w:rPr>
                <w:sz w:val="20"/>
                <w:szCs w:val="20"/>
                <w:color w:val="auto"/>
              </w:rPr>
            </w:pPr>
            <w:r>
              <w:rPr>
                <w:rFonts w:ascii="Arial" w:cs="Arial" w:eastAsia="Arial" w:hAnsi="Arial"/>
                <w:sz w:val="13"/>
                <w:szCs w:val="13"/>
                <w:color w:val="auto"/>
              </w:rPr>
              <w:t>8,261</w:t>
            </w:r>
          </w:p>
        </w:tc>
      </w:tr>
      <w:tr>
        <w:trPr>
          <w:trHeight w:val="27"/>
        </w:trPr>
        <w:tc>
          <w:tcPr>
            <w:tcW w:w="2720" w:type="dxa"/>
            <w:vAlign w:val="bottom"/>
          </w:tcPr>
          <w:p>
            <w:pPr>
              <w:spacing w:after="0"/>
              <w:rPr>
                <w:sz w:val="2"/>
                <w:szCs w:val="2"/>
                <w:color w:val="auto"/>
              </w:rPr>
            </w:pPr>
          </w:p>
        </w:tc>
        <w:tc>
          <w:tcPr>
            <w:tcW w:w="86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185"/>
        </w:trPr>
        <w:tc>
          <w:tcPr>
            <w:tcW w:w="27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2021</w:t>
            </w:r>
          </w:p>
        </w:tc>
        <w:tc>
          <w:tcPr>
            <w:tcW w:w="860" w:type="dxa"/>
            <w:vAlign w:val="bottom"/>
            <w:tcBorders>
              <w:bottom w:val="single" w:sz="8" w:color="CCEEFF"/>
            </w:tcBorders>
            <w:shd w:val="clear" w:color="auto" w:fill="CCEEFF"/>
          </w:tcPr>
          <w:p>
            <w:pPr>
              <w:spacing w:after="0"/>
              <w:rPr>
                <w:sz w:val="16"/>
                <w:szCs w:val="16"/>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5,776</w:t>
            </w:r>
          </w:p>
        </w:tc>
      </w:tr>
      <w:tr>
        <w:trPr>
          <w:trHeight w:val="178"/>
        </w:trPr>
        <w:tc>
          <w:tcPr>
            <w:tcW w:w="2720" w:type="dxa"/>
            <w:vAlign w:val="bottom"/>
          </w:tcPr>
          <w:p>
            <w:pPr>
              <w:spacing w:after="0"/>
              <w:rPr>
                <w:sz w:val="20"/>
                <w:szCs w:val="20"/>
                <w:color w:val="auto"/>
              </w:rPr>
            </w:pPr>
            <w:r>
              <w:rPr>
                <w:rFonts w:ascii="Arial" w:cs="Arial" w:eastAsia="Arial" w:hAnsi="Arial"/>
                <w:sz w:val="13"/>
                <w:szCs w:val="13"/>
                <w:color w:val="auto"/>
              </w:rPr>
              <w:t>2022</w:t>
            </w:r>
          </w:p>
        </w:tc>
        <w:tc>
          <w:tcPr>
            <w:tcW w:w="860" w:type="dxa"/>
            <w:vAlign w:val="bottom"/>
          </w:tcPr>
          <w:p>
            <w:pPr>
              <w:spacing w:after="0"/>
              <w:rPr>
                <w:sz w:val="15"/>
                <w:szCs w:val="15"/>
                <w:color w:val="auto"/>
              </w:rPr>
            </w:pPr>
          </w:p>
        </w:tc>
        <w:tc>
          <w:tcPr>
            <w:tcW w:w="1180" w:type="dxa"/>
            <w:vAlign w:val="bottom"/>
          </w:tcPr>
          <w:p>
            <w:pPr>
              <w:jc w:val="right"/>
              <w:spacing w:after="0"/>
              <w:rPr>
                <w:sz w:val="20"/>
                <w:szCs w:val="20"/>
                <w:color w:val="auto"/>
              </w:rPr>
            </w:pPr>
            <w:r>
              <w:rPr>
                <w:rFonts w:ascii="Arial" w:cs="Arial" w:eastAsia="Arial" w:hAnsi="Arial"/>
                <w:sz w:val="13"/>
                <w:szCs w:val="13"/>
                <w:color w:val="auto"/>
              </w:rPr>
              <w:t>3,745</w:t>
            </w:r>
          </w:p>
        </w:tc>
      </w:tr>
      <w:tr>
        <w:trPr>
          <w:trHeight w:val="27"/>
        </w:trPr>
        <w:tc>
          <w:tcPr>
            <w:tcW w:w="2720" w:type="dxa"/>
            <w:vAlign w:val="bottom"/>
          </w:tcPr>
          <w:p>
            <w:pPr>
              <w:spacing w:after="0"/>
              <w:rPr>
                <w:sz w:val="2"/>
                <w:szCs w:val="2"/>
                <w:color w:val="auto"/>
              </w:rPr>
            </w:pPr>
          </w:p>
        </w:tc>
        <w:tc>
          <w:tcPr>
            <w:tcW w:w="86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185"/>
        </w:trPr>
        <w:tc>
          <w:tcPr>
            <w:tcW w:w="27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2023</w:t>
            </w:r>
          </w:p>
        </w:tc>
        <w:tc>
          <w:tcPr>
            <w:tcW w:w="860" w:type="dxa"/>
            <w:vAlign w:val="bottom"/>
            <w:tcBorders>
              <w:bottom w:val="single" w:sz="8" w:color="CCEEFF"/>
            </w:tcBorders>
            <w:shd w:val="clear" w:color="auto" w:fill="CCEEFF"/>
          </w:tcPr>
          <w:p>
            <w:pPr>
              <w:spacing w:after="0"/>
              <w:rPr>
                <w:sz w:val="16"/>
                <w:szCs w:val="16"/>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2,904</w:t>
            </w:r>
          </w:p>
        </w:tc>
      </w:tr>
      <w:tr>
        <w:trPr>
          <w:trHeight w:val="178"/>
        </w:trPr>
        <w:tc>
          <w:tcPr>
            <w:tcW w:w="2720" w:type="dxa"/>
            <w:vAlign w:val="bottom"/>
          </w:tcPr>
          <w:p>
            <w:pPr>
              <w:spacing w:after="0"/>
              <w:rPr>
                <w:sz w:val="20"/>
                <w:szCs w:val="20"/>
                <w:color w:val="auto"/>
              </w:rPr>
            </w:pPr>
            <w:r>
              <w:rPr>
                <w:rFonts w:ascii="Arial" w:cs="Arial" w:eastAsia="Arial" w:hAnsi="Arial"/>
                <w:sz w:val="13"/>
                <w:szCs w:val="13"/>
                <w:color w:val="auto"/>
              </w:rPr>
              <w:t>2024 and thereafter</w:t>
            </w:r>
          </w:p>
        </w:tc>
        <w:tc>
          <w:tcPr>
            <w:tcW w:w="860" w:type="dxa"/>
            <w:vAlign w:val="bottom"/>
          </w:tcPr>
          <w:p>
            <w:pPr>
              <w:spacing w:after="0"/>
              <w:rPr>
                <w:sz w:val="15"/>
                <w:szCs w:val="15"/>
                <w:color w:val="auto"/>
              </w:rPr>
            </w:pPr>
          </w:p>
        </w:tc>
        <w:tc>
          <w:tcPr>
            <w:tcW w:w="1180" w:type="dxa"/>
            <w:vAlign w:val="bottom"/>
          </w:tcPr>
          <w:p>
            <w:pPr>
              <w:jc w:val="right"/>
              <w:spacing w:after="0"/>
              <w:rPr>
                <w:sz w:val="20"/>
                <w:szCs w:val="20"/>
                <w:color w:val="auto"/>
              </w:rPr>
            </w:pPr>
            <w:r>
              <w:rPr>
                <w:rFonts w:ascii="Arial" w:cs="Arial" w:eastAsia="Arial" w:hAnsi="Arial"/>
                <w:sz w:val="13"/>
                <w:szCs w:val="13"/>
                <w:color w:val="auto"/>
              </w:rPr>
              <w:t>5,479</w:t>
            </w:r>
          </w:p>
        </w:tc>
      </w:tr>
      <w:tr>
        <w:trPr>
          <w:trHeight w:val="27"/>
        </w:trPr>
        <w:tc>
          <w:tcPr>
            <w:tcW w:w="2720" w:type="dxa"/>
            <w:vAlign w:val="bottom"/>
            <w:tcBorders>
              <w:bottom w:val="single" w:sz="8" w:color="CCEEFF"/>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18"/>
        </w:trPr>
        <w:tc>
          <w:tcPr>
            <w:tcW w:w="27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Total minimum lease payments</w:t>
            </w:r>
          </w:p>
        </w:tc>
        <w:tc>
          <w:tcPr>
            <w:tcW w:w="860" w:type="dxa"/>
            <w:vAlign w:val="bottom"/>
            <w:tcBorders>
              <w:bottom w:val="single" w:sz="8" w:color="auto"/>
            </w:tcBorders>
            <w:shd w:val="clear" w:color="auto" w:fill="CCEEFF"/>
          </w:tcPr>
          <w:p>
            <w:pPr>
              <w:jc w:val="right"/>
              <w:ind w:right="715"/>
              <w:spacing w:after="0"/>
              <w:rPr>
                <w:sz w:val="20"/>
                <w:szCs w:val="20"/>
                <w:color w:val="auto"/>
              </w:rPr>
            </w:pPr>
            <w:r>
              <w:rPr>
                <w:rFonts w:ascii="Arial" w:cs="Arial" w:eastAsia="Arial" w:hAnsi="Arial"/>
                <w:sz w:val="13"/>
                <w:szCs w:val="13"/>
                <w:color w:val="auto"/>
                <w:w w:val="82"/>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35,346</w:t>
            </w:r>
          </w:p>
        </w:tc>
      </w:tr>
      <w:tr>
        <w:trPr>
          <w:trHeight w:val="20"/>
        </w:trPr>
        <w:tc>
          <w:tcPr>
            <w:tcW w:w="2720" w:type="dxa"/>
            <w:vAlign w:val="bottom"/>
            <w:tcBorders>
              <w:top w:val="single" w:sz="8" w:color="CCEEFF"/>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10</w:t>
      </w:r>
    </w:p>
    <w:p>
      <w:pPr>
        <w:sectPr>
          <w:pgSz w:w="11900" w:h="16838" w:orient="portrait"/>
          <w:cols w:equalWidth="0" w:num="1">
            <w:col w:w="11460"/>
          </w:cols>
          <w:pgMar w:left="220" w:top="1002" w:right="219" w:bottom="1440" w:gutter="0" w:footer="0" w:header="0"/>
        </w:sectPr>
      </w:pPr>
    </w:p>
    <w:bookmarkStart w:id="11" w:name="page12"/>
    <w:bookmarkEnd w:id="11"/>
    <w:p>
      <w:pPr>
        <w:spacing w:after="0"/>
        <w:rPr>
          <w:sz w:val="20"/>
          <w:szCs w:val="20"/>
          <w:color w:val="auto"/>
        </w:rPr>
      </w:pPr>
      <w:r>
        <w:rPr>
          <w:rFonts w:ascii="Arial" w:cs="Arial" w:eastAsia="Arial" w:hAnsi="Arial"/>
          <w:sz w:val="14"/>
          <w:szCs w:val="14"/>
          <w:b w:val="1"/>
          <w:bCs w:val="1"/>
          <w:color w:val="auto"/>
        </w:rPr>
        <w:t>2. Loans Receivable and Allowance for Loan Losses</w:t>
      </w:r>
    </w:p>
    <w:p>
      <w:pPr>
        <w:spacing w:after="0" w:line="145" w:lineRule="exact"/>
        <w:rPr>
          <w:sz w:val="20"/>
          <w:szCs w:val="20"/>
          <w:color w:val="auto"/>
        </w:rPr>
      </w:pPr>
    </w:p>
    <w:p>
      <w:pPr>
        <w:spacing w:after="0"/>
        <w:rPr>
          <w:sz w:val="20"/>
          <w:szCs w:val="20"/>
          <w:color w:val="auto"/>
        </w:rPr>
      </w:pPr>
      <w:r>
        <w:rPr>
          <w:rFonts w:ascii="Arial" w:cs="Arial" w:eastAsia="Arial" w:hAnsi="Arial"/>
          <w:sz w:val="14"/>
          <w:szCs w:val="14"/>
          <w:color w:val="auto"/>
        </w:rPr>
        <w:t>Loans receivable consisted of the following:</w:t>
      </w:r>
    </w:p>
    <w:p>
      <w:pPr>
        <w:spacing w:after="0" w:line="55" w:lineRule="exact"/>
        <w:rPr>
          <w:sz w:val="20"/>
          <w:szCs w:val="20"/>
          <w:color w:val="auto"/>
        </w:rPr>
      </w:pPr>
    </w:p>
    <w:tbl>
      <w:tblPr>
        <w:tblLayout w:type="fixed"/>
        <w:tblInd w:w="840" w:type="dxa"/>
        <w:tblCellMar>
          <w:top w:w="0" w:type="dxa"/>
          <w:left w:w="0" w:type="dxa"/>
          <w:bottom w:w="0" w:type="dxa"/>
          <w:right w:w="0" w:type="dxa"/>
        </w:tblCellMar>
      </w:tblPr>
      <w:tr>
        <w:trPr>
          <w:trHeight w:val="167"/>
        </w:trPr>
        <w:tc>
          <w:tcPr>
            <w:tcW w:w="57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780" w:type="dxa"/>
            <w:vAlign w:val="bottom"/>
            <w:gridSpan w:val="2"/>
          </w:tcPr>
          <w:p>
            <w:pPr>
              <w:jc w:val="center"/>
              <w:ind w:right="420"/>
              <w:spacing w:after="0"/>
              <w:rPr>
                <w:sz w:val="20"/>
                <w:szCs w:val="20"/>
                <w:color w:val="auto"/>
              </w:rPr>
            </w:pPr>
            <w:r>
              <w:rPr>
                <w:rFonts w:ascii="Arial" w:cs="Arial" w:eastAsia="Arial" w:hAnsi="Arial"/>
                <w:sz w:val="13"/>
                <w:szCs w:val="13"/>
                <w:b w:val="1"/>
                <w:bCs w:val="1"/>
                <w:color w:val="auto"/>
                <w:w w:val="86"/>
              </w:rPr>
              <w:t>As of</w:t>
            </w:r>
          </w:p>
        </w:tc>
        <w:tc>
          <w:tcPr>
            <w:tcW w:w="2000" w:type="dxa"/>
            <w:vAlign w:val="bottom"/>
          </w:tcPr>
          <w:p>
            <w:pPr>
              <w:jc w:val="right"/>
              <w:ind w:right="795"/>
              <w:spacing w:after="0"/>
              <w:rPr>
                <w:sz w:val="20"/>
                <w:szCs w:val="20"/>
                <w:color w:val="auto"/>
              </w:rPr>
            </w:pPr>
            <w:r>
              <w:rPr>
                <w:rFonts w:ascii="Arial" w:cs="Arial" w:eastAsia="Arial" w:hAnsi="Arial"/>
                <w:sz w:val="13"/>
                <w:szCs w:val="13"/>
                <w:b w:val="1"/>
                <w:bCs w:val="1"/>
                <w:color w:val="auto"/>
              </w:rPr>
              <w:t>As of</w:t>
            </w:r>
          </w:p>
        </w:tc>
      </w:tr>
      <w:tr>
        <w:trPr>
          <w:trHeight w:val="205"/>
        </w:trPr>
        <w:tc>
          <w:tcPr>
            <w:tcW w:w="57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780" w:type="dxa"/>
            <w:vAlign w:val="bottom"/>
            <w:gridSpan w:val="2"/>
          </w:tcPr>
          <w:p>
            <w:pPr>
              <w:jc w:val="center"/>
              <w:ind w:right="440"/>
              <w:spacing w:after="0"/>
              <w:rPr>
                <w:sz w:val="20"/>
                <w:szCs w:val="20"/>
                <w:color w:val="auto"/>
              </w:rPr>
            </w:pPr>
            <w:r>
              <w:rPr>
                <w:rFonts w:ascii="Arial" w:cs="Arial" w:eastAsia="Arial" w:hAnsi="Arial"/>
                <w:sz w:val="13"/>
                <w:szCs w:val="13"/>
                <w:b w:val="1"/>
                <w:bCs w:val="1"/>
                <w:color w:val="auto"/>
                <w:w w:val="92"/>
              </w:rPr>
              <w:t>March 31, 2019</w:t>
            </w:r>
          </w:p>
        </w:tc>
        <w:tc>
          <w:tcPr>
            <w:tcW w:w="2000" w:type="dxa"/>
            <w:vAlign w:val="bottom"/>
          </w:tcPr>
          <w:p>
            <w:pPr>
              <w:jc w:val="right"/>
              <w:ind w:right="415"/>
              <w:spacing w:after="0"/>
              <w:rPr>
                <w:sz w:val="20"/>
                <w:szCs w:val="20"/>
                <w:color w:val="auto"/>
              </w:rPr>
            </w:pPr>
            <w:r>
              <w:rPr>
                <w:rFonts w:ascii="Arial" w:cs="Arial" w:eastAsia="Arial" w:hAnsi="Arial"/>
                <w:sz w:val="13"/>
                <w:szCs w:val="13"/>
                <w:b w:val="1"/>
                <w:bCs w:val="1"/>
                <w:color w:val="auto"/>
              </w:rPr>
              <w:t>December 31, 2018</w:t>
            </w:r>
          </w:p>
        </w:tc>
      </w:tr>
      <w:tr>
        <w:trPr>
          <w:trHeight w:val="27"/>
        </w:trPr>
        <w:tc>
          <w:tcPr>
            <w:tcW w:w="57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0" w:type="dxa"/>
            <w:vAlign w:val="bottom"/>
            <w:tcBorders>
              <w:bottom w:val="single" w:sz="8" w:color="auto"/>
            </w:tcBorders>
          </w:tcPr>
          <w:p>
            <w:pPr>
              <w:spacing w:after="0"/>
              <w:rPr>
                <w:sz w:val="2"/>
                <w:szCs w:val="2"/>
                <w:color w:val="auto"/>
              </w:rPr>
            </w:pPr>
          </w:p>
        </w:tc>
      </w:tr>
      <w:tr>
        <w:trPr>
          <w:trHeight w:val="165"/>
        </w:trPr>
        <w:tc>
          <w:tcPr>
            <w:tcW w:w="57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Federally insured student loans:</w:t>
            </w:r>
          </w:p>
        </w:tc>
        <w:tc>
          <w:tcPr>
            <w:tcW w:w="320" w:type="dxa"/>
            <w:vAlign w:val="bottom"/>
            <w:tcBorders>
              <w:bottom w:val="single" w:sz="8" w:color="CCEEFF"/>
            </w:tcBorders>
            <w:shd w:val="clear" w:color="auto" w:fill="CCEEFF"/>
          </w:tcPr>
          <w:p>
            <w:pPr>
              <w:spacing w:after="0"/>
              <w:rPr>
                <w:sz w:val="14"/>
                <w:szCs w:val="14"/>
                <w:color w:val="auto"/>
              </w:rPr>
            </w:pPr>
          </w:p>
        </w:tc>
        <w:tc>
          <w:tcPr>
            <w:tcW w:w="1680" w:type="dxa"/>
            <w:vAlign w:val="bottom"/>
            <w:tcBorders>
              <w:bottom w:val="single" w:sz="8" w:color="CCEEFF"/>
            </w:tcBorders>
            <w:shd w:val="clear" w:color="auto" w:fill="CCEEFF"/>
          </w:tcPr>
          <w:p>
            <w:pPr>
              <w:spacing w:after="0"/>
              <w:rPr>
                <w:sz w:val="14"/>
                <w:szCs w:val="14"/>
                <w:color w:val="auto"/>
              </w:rPr>
            </w:pPr>
          </w:p>
        </w:tc>
        <w:tc>
          <w:tcPr>
            <w:tcW w:w="100" w:type="dxa"/>
            <w:vAlign w:val="bottom"/>
            <w:tcBorders>
              <w:bottom w:val="single" w:sz="8" w:color="CCEEFF"/>
            </w:tcBorders>
            <w:shd w:val="clear" w:color="auto" w:fill="CCEEFF"/>
          </w:tcPr>
          <w:p>
            <w:pPr>
              <w:spacing w:after="0"/>
              <w:rPr>
                <w:sz w:val="14"/>
                <w:szCs w:val="14"/>
                <w:color w:val="auto"/>
              </w:rPr>
            </w:pPr>
          </w:p>
        </w:tc>
        <w:tc>
          <w:tcPr>
            <w:tcW w:w="2000" w:type="dxa"/>
            <w:vAlign w:val="bottom"/>
            <w:tcBorders>
              <w:bottom w:val="single" w:sz="8" w:color="CCEEFF"/>
            </w:tcBorders>
            <w:shd w:val="clear" w:color="auto" w:fill="CCEEFF"/>
          </w:tcPr>
          <w:p>
            <w:pPr>
              <w:spacing w:after="0"/>
              <w:rPr>
                <w:sz w:val="14"/>
                <w:szCs w:val="14"/>
                <w:color w:val="auto"/>
              </w:rPr>
            </w:pPr>
          </w:p>
        </w:tc>
      </w:tr>
      <w:tr>
        <w:trPr>
          <w:trHeight w:val="178"/>
        </w:trPr>
        <w:tc>
          <w:tcPr>
            <w:tcW w:w="5700" w:type="dxa"/>
            <w:vAlign w:val="bottom"/>
          </w:tcPr>
          <w:p>
            <w:pPr>
              <w:ind w:left="80"/>
              <w:spacing w:after="0"/>
              <w:rPr>
                <w:sz w:val="20"/>
                <w:szCs w:val="20"/>
                <w:color w:val="auto"/>
              </w:rPr>
            </w:pPr>
            <w:r>
              <w:rPr>
                <w:rFonts w:ascii="Arial" w:cs="Arial" w:eastAsia="Arial" w:hAnsi="Arial"/>
                <w:sz w:val="13"/>
                <w:szCs w:val="13"/>
                <w:color w:val="auto"/>
              </w:rPr>
              <w:t>Stafford and other</w:t>
            </w:r>
          </w:p>
        </w:tc>
        <w:tc>
          <w:tcPr>
            <w:tcW w:w="320" w:type="dxa"/>
            <w:vAlign w:val="bottom"/>
          </w:tcPr>
          <w:p>
            <w:pPr>
              <w:jc w:val="right"/>
              <w:ind w:right="175"/>
              <w:spacing w:after="0"/>
              <w:rPr>
                <w:sz w:val="20"/>
                <w:szCs w:val="20"/>
                <w:color w:val="auto"/>
              </w:rPr>
            </w:pPr>
            <w:r>
              <w:rPr>
                <w:rFonts w:ascii="Arial" w:cs="Arial" w:eastAsia="Arial" w:hAnsi="Arial"/>
                <w:sz w:val="13"/>
                <w:szCs w:val="13"/>
                <w:color w:val="auto"/>
                <w:w w:val="82"/>
              </w:rPr>
              <w:t>$</w:t>
            </w:r>
          </w:p>
        </w:tc>
        <w:tc>
          <w:tcPr>
            <w:tcW w:w="1680" w:type="dxa"/>
            <w:vAlign w:val="bottom"/>
          </w:tcPr>
          <w:p>
            <w:pPr>
              <w:jc w:val="right"/>
              <w:spacing w:after="0"/>
              <w:rPr>
                <w:sz w:val="20"/>
                <w:szCs w:val="20"/>
                <w:color w:val="auto"/>
              </w:rPr>
            </w:pPr>
            <w:r>
              <w:rPr>
                <w:rFonts w:ascii="Arial" w:cs="Arial" w:eastAsia="Arial" w:hAnsi="Arial"/>
                <w:sz w:val="13"/>
                <w:szCs w:val="13"/>
                <w:color w:val="auto"/>
              </w:rPr>
              <w:t>4,901,934</w:t>
            </w:r>
          </w:p>
        </w:tc>
        <w:tc>
          <w:tcPr>
            <w:tcW w:w="100" w:type="dxa"/>
            <w:vAlign w:val="bottom"/>
          </w:tcPr>
          <w:p>
            <w:pPr>
              <w:spacing w:after="0"/>
              <w:rPr>
                <w:sz w:val="15"/>
                <w:szCs w:val="15"/>
                <w:color w:val="auto"/>
              </w:rPr>
            </w:pPr>
          </w:p>
        </w:tc>
        <w:tc>
          <w:tcPr>
            <w:tcW w:w="2000" w:type="dxa"/>
            <w:vAlign w:val="bottom"/>
          </w:tcPr>
          <w:p>
            <w:pPr>
              <w:jc w:val="right"/>
              <w:spacing w:after="0"/>
              <w:rPr>
                <w:sz w:val="20"/>
                <w:szCs w:val="20"/>
                <w:color w:val="auto"/>
              </w:rPr>
            </w:pPr>
            <w:r>
              <w:rPr>
                <w:rFonts w:ascii="Arial" w:cs="Arial" w:eastAsia="Arial" w:hAnsi="Arial"/>
                <w:sz w:val="13"/>
                <w:szCs w:val="13"/>
                <w:color w:val="auto"/>
              </w:rPr>
              <w:t>4,969,667</w:t>
            </w:r>
          </w:p>
        </w:tc>
      </w:tr>
      <w:tr>
        <w:trPr>
          <w:trHeight w:val="27"/>
        </w:trPr>
        <w:tc>
          <w:tcPr>
            <w:tcW w:w="57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0" w:type="dxa"/>
            <w:vAlign w:val="bottom"/>
          </w:tcPr>
          <w:p>
            <w:pPr>
              <w:spacing w:after="0"/>
              <w:rPr>
                <w:sz w:val="2"/>
                <w:szCs w:val="2"/>
                <w:color w:val="auto"/>
              </w:rPr>
            </w:pPr>
          </w:p>
        </w:tc>
      </w:tr>
      <w:tr>
        <w:trPr>
          <w:trHeight w:val="205"/>
        </w:trPr>
        <w:tc>
          <w:tcPr>
            <w:tcW w:w="5700" w:type="dxa"/>
            <w:vAlign w:val="bottom"/>
            <w:tcBorders>
              <w:bottom w:val="single" w:sz="8" w:color="CCEEFF"/>
            </w:tcBorders>
            <w:shd w:val="clear" w:color="auto" w:fill="CCEEFF"/>
          </w:tcPr>
          <w:p>
            <w:pPr>
              <w:ind w:left="80"/>
              <w:spacing w:after="0"/>
              <w:rPr>
                <w:sz w:val="20"/>
                <w:szCs w:val="20"/>
                <w:color w:val="auto"/>
              </w:rPr>
            </w:pPr>
            <w:r>
              <w:rPr>
                <w:rFonts w:ascii="Arial" w:cs="Arial" w:eastAsia="Arial" w:hAnsi="Arial"/>
                <w:sz w:val="13"/>
                <w:szCs w:val="13"/>
                <w:color w:val="auto"/>
              </w:rPr>
              <w:t>Consolidation</w:t>
            </w:r>
          </w:p>
        </w:tc>
        <w:tc>
          <w:tcPr>
            <w:tcW w:w="320" w:type="dxa"/>
            <w:vAlign w:val="bottom"/>
            <w:tcBorders>
              <w:bottom w:val="single" w:sz="8" w:color="CCEEFF"/>
            </w:tcBorders>
            <w:shd w:val="clear" w:color="auto" w:fill="CCEEFF"/>
          </w:tcPr>
          <w:p>
            <w:pPr>
              <w:spacing w:after="0"/>
              <w:rPr>
                <w:sz w:val="17"/>
                <w:szCs w:val="17"/>
                <w:color w:val="auto"/>
              </w:rPr>
            </w:pPr>
          </w:p>
        </w:tc>
        <w:tc>
          <w:tcPr>
            <w:tcW w:w="1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16,778,679</w:t>
            </w:r>
          </w:p>
        </w:tc>
        <w:tc>
          <w:tcPr>
            <w:tcW w:w="100" w:type="dxa"/>
            <w:vAlign w:val="bottom"/>
            <w:tcBorders>
              <w:bottom w:val="single" w:sz="8" w:color="CCEEFF"/>
            </w:tcBorders>
            <w:shd w:val="clear" w:color="auto" w:fill="CCEEFF"/>
          </w:tcPr>
          <w:p>
            <w:pPr>
              <w:spacing w:after="0"/>
              <w:rPr>
                <w:sz w:val="17"/>
                <w:szCs w:val="17"/>
                <w:color w:val="auto"/>
              </w:rPr>
            </w:pPr>
          </w:p>
        </w:tc>
        <w:tc>
          <w:tcPr>
            <w:tcW w:w="2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17,186,229</w:t>
            </w:r>
          </w:p>
        </w:tc>
      </w:tr>
      <w:tr>
        <w:trPr>
          <w:trHeight w:val="169"/>
        </w:trPr>
        <w:tc>
          <w:tcPr>
            <w:tcW w:w="5700" w:type="dxa"/>
            <w:vAlign w:val="bottom"/>
          </w:tcPr>
          <w:p>
            <w:pPr>
              <w:ind w:left="160"/>
              <w:spacing w:after="0"/>
              <w:rPr>
                <w:sz w:val="20"/>
                <w:szCs w:val="20"/>
                <w:color w:val="auto"/>
              </w:rPr>
            </w:pPr>
            <w:r>
              <w:rPr>
                <w:rFonts w:ascii="Arial" w:cs="Arial" w:eastAsia="Arial" w:hAnsi="Arial"/>
                <w:sz w:val="13"/>
                <w:szCs w:val="13"/>
                <w:color w:val="auto"/>
              </w:rPr>
              <w:t>Total</w:t>
            </w:r>
          </w:p>
        </w:tc>
        <w:tc>
          <w:tcPr>
            <w:tcW w:w="320" w:type="dxa"/>
            <w:vAlign w:val="bottom"/>
            <w:tcBorders>
              <w:top w:val="single" w:sz="8" w:color="auto"/>
            </w:tcBorders>
          </w:tcPr>
          <w:p>
            <w:pPr>
              <w:spacing w:after="0"/>
              <w:rPr>
                <w:sz w:val="14"/>
                <w:szCs w:val="14"/>
                <w:color w:val="auto"/>
              </w:rPr>
            </w:pPr>
          </w:p>
        </w:tc>
        <w:tc>
          <w:tcPr>
            <w:tcW w:w="168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21,680,613</w:t>
            </w:r>
          </w:p>
        </w:tc>
        <w:tc>
          <w:tcPr>
            <w:tcW w:w="100" w:type="dxa"/>
            <w:vAlign w:val="bottom"/>
          </w:tcPr>
          <w:p>
            <w:pPr>
              <w:spacing w:after="0"/>
              <w:rPr>
                <w:sz w:val="14"/>
                <w:szCs w:val="14"/>
                <w:color w:val="auto"/>
              </w:rPr>
            </w:pPr>
          </w:p>
        </w:tc>
        <w:tc>
          <w:tcPr>
            <w:tcW w:w="200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22,155,896</w:t>
            </w:r>
          </w:p>
        </w:tc>
      </w:tr>
      <w:tr>
        <w:trPr>
          <w:trHeight w:val="27"/>
        </w:trPr>
        <w:tc>
          <w:tcPr>
            <w:tcW w:w="57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0" w:type="dxa"/>
            <w:vAlign w:val="bottom"/>
          </w:tcPr>
          <w:p>
            <w:pPr>
              <w:spacing w:after="0"/>
              <w:rPr>
                <w:sz w:val="2"/>
                <w:szCs w:val="2"/>
                <w:color w:val="auto"/>
              </w:rPr>
            </w:pPr>
          </w:p>
        </w:tc>
      </w:tr>
      <w:tr>
        <w:trPr>
          <w:trHeight w:val="185"/>
        </w:trPr>
        <w:tc>
          <w:tcPr>
            <w:tcW w:w="57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Private education loans</w:t>
            </w:r>
          </w:p>
        </w:tc>
        <w:tc>
          <w:tcPr>
            <w:tcW w:w="320" w:type="dxa"/>
            <w:vAlign w:val="bottom"/>
            <w:tcBorders>
              <w:bottom w:val="single" w:sz="8" w:color="CCEEFF"/>
            </w:tcBorders>
            <w:shd w:val="clear" w:color="auto" w:fill="CCEEFF"/>
          </w:tcPr>
          <w:p>
            <w:pPr>
              <w:spacing w:after="0"/>
              <w:rPr>
                <w:sz w:val="16"/>
                <w:szCs w:val="16"/>
                <w:color w:val="auto"/>
              </w:rPr>
            </w:pPr>
          </w:p>
        </w:tc>
        <w:tc>
          <w:tcPr>
            <w:tcW w:w="1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211,029</w:t>
            </w:r>
          </w:p>
        </w:tc>
        <w:tc>
          <w:tcPr>
            <w:tcW w:w="100" w:type="dxa"/>
            <w:vAlign w:val="bottom"/>
            <w:tcBorders>
              <w:bottom w:val="single" w:sz="8" w:color="CCEEFF"/>
            </w:tcBorders>
            <w:shd w:val="clear" w:color="auto" w:fill="CCEEFF"/>
          </w:tcPr>
          <w:p>
            <w:pPr>
              <w:spacing w:after="0"/>
              <w:rPr>
                <w:sz w:val="16"/>
                <w:szCs w:val="16"/>
                <w:color w:val="auto"/>
              </w:rPr>
            </w:pPr>
          </w:p>
        </w:tc>
        <w:tc>
          <w:tcPr>
            <w:tcW w:w="2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225,975</w:t>
            </w:r>
          </w:p>
        </w:tc>
      </w:tr>
      <w:tr>
        <w:trPr>
          <w:trHeight w:val="178"/>
        </w:trPr>
        <w:tc>
          <w:tcPr>
            <w:tcW w:w="5700" w:type="dxa"/>
            <w:vAlign w:val="bottom"/>
          </w:tcPr>
          <w:p>
            <w:pPr>
              <w:spacing w:after="0"/>
              <w:rPr>
                <w:sz w:val="20"/>
                <w:szCs w:val="20"/>
                <w:color w:val="auto"/>
              </w:rPr>
            </w:pPr>
            <w:r>
              <w:rPr>
                <w:rFonts w:ascii="Arial" w:cs="Arial" w:eastAsia="Arial" w:hAnsi="Arial"/>
                <w:sz w:val="13"/>
                <w:szCs w:val="13"/>
                <w:color w:val="auto"/>
              </w:rPr>
              <w:t>Consumer loans</w:t>
            </w:r>
          </w:p>
        </w:tc>
        <w:tc>
          <w:tcPr>
            <w:tcW w:w="320" w:type="dxa"/>
            <w:vAlign w:val="bottom"/>
          </w:tcPr>
          <w:p>
            <w:pPr>
              <w:spacing w:after="0"/>
              <w:rPr>
                <w:sz w:val="15"/>
                <w:szCs w:val="15"/>
                <w:color w:val="auto"/>
              </w:rPr>
            </w:pPr>
          </w:p>
        </w:tc>
        <w:tc>
          <w:tcPr>
            <w:tcW w:w="1680" w:type="dxa"/>
            <w:vAlign w:val="bottom"/>
          </w:tcPr>
          <w:p>
            <w:pPr>
              <w:jc w:val="right"/>
              <w:spacing w:after="0"/>
              <w:rPr>
                <w:sz w:val="20"/>
                <w:szCs w:val="20"/>
                <w:color w:val="auto"/>
              </w:rPr>
            </w:pPr>
            <w:r>
              <w:rPr>
                <w:rFonts w:ascii="Arial" w:cs="Arial" w:eastAsia="Arial" w:hAnsi="Arial"/>
                <w:sz w:val="13"/>
                <w:szCs w:val="13"/>
                <w:color w:val="auto"/>
              </w:rPr>
              <w:t>191,001</w:t>
            </w:r>
          </w:p>
        </w:tc>
        <w:tc>
          <w:tcPr>
            <w:tcW w:w="100" w:type="dxa"/>
            <w:vAlign w:val="bottom"/>
          </w:tcPr>
          <w:p>
            <w:pPr>
              <w:spacing w:after="0"/>
              <w:rPr>
                <w:sz w:val="15"/>
                <w:szCs w:val="15"/>
                <w:color w:val="auto"/>
              </w:rPr>
            </w:pPr>
          </w:p>
        </w:tc>
        <w:tc>
          <w:tcPr>
            <w:tcW w:w="2000" w:type="dxa"/>
            <w:vAlign w:val="bottom"/>
          </w:tcPr>
          <w:p>
            <w:pPr>
              <w:jc w:val="right"/>
              <w:spacing w:after="0"/>
              <w:rPr>
                <w:sz w:val="20"/>
                <w:szCs w:val="20"/>
                <w:color w:val="auto"/>
              </w:rPr>
            </w:pPr>
            <w:r>
              <w:rPr>
                <w:rFonts w:ascii="Arial" w:cs="Arial" w:eastAsia="Arial" w:hAnsi="Arial"/>
                <w:sz w:val="13"/>
                <w:szCs w:val="13"/>
                <w:color w:val="auto"/>
              </w:rPr>
              <w:t>138,627</w:t>
            </w:r>
          </w:p>
        </w:tc>
      </w:tr>
      <w:tr>
        <w:trPr>
          <w:trHeight w:val="27"/>
        </w:trPr>
        <w:tc>
          <w:tcPr>
            <w:tcW w:w="57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0" w:type="dxa"/>
            <w:vAlign w:val="bottom"/>
            <w:tcBorders>
              <w:bottom w:val="single" w:sz="8" w:color="auto"/>
            </w:tcBorders>
          </w:tcPr>
          <w:p>
            <w:pPr>
              <w:spacing w:after="0"/>
              <w:rPr>
                <w:sz w:val="2"/>
                <w:szCs w:val="2"/>
                <w:color w:val="auto"/>
              </w:rPr>
            </w:pPr>
          </w:p>
        </w:tc>
      </w:tr>
      <w:tr>
        <w:trPr>
          <w:trHeight w:val="176"/>
        </w:trPr>
        <w:tc>
          <w:tcPr>
            <w:tcW w:w="5700" w:type="dxa"/>
            <w:vAlign w:val="bottom"/>
            <w:tcBorders>
              <w:bottom w:val="single" w:sz="8" w:color="CCEEFF"/>
            </w:tcBorders>
            <w:shd w:val="clear" w:color="auto" w:fill="CCEEFF"/>
          </w:tcPr>
          <w:p>
            <w:pPr>
              <w:spacing w:after="0"/>
              <w:rPr>
                <w:sz w:val="15"/>
                <w:szCs w:val="15"/>
                <w:color w:val="auto"/>
              </w:rPr>
            </w:pPr>
          </w:p>
        </w:tc>
        <w:tc>
          <w:tcPr>
            <w:tcW w:w="320" w:type="dxa"/>
            <w:vAlign w:val="bottom"/>
            <w:tcBorders>
              <w:bottom w:val="single" w:sz="8" w:color="CCEEFF"/>
            </w:tcBorders>
            <w:shd w:val="clear" w:color="auto" w:fill="CCEEFF"/>
          </w:tcPr>
          <w:p>
            <w:pPr>
              <w:spacing w:after="0"/>
              <w:rPr>
                <w:sz w:val="15"/>
                <w:szCs w:val="15"/>
                <w:color w:val="auto"/>
              </w:rPr>
            </w:pPr>
          </w:p>
        </w:tc>
        <w:tc>
          <w:tcPr>
            <w:tcW w:w="1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22,082,643</w:t>
            </w:r>
          </w:p>
        </w:tc>
        <w:tc>
          <w:tcPr>
            <w:tcW w:w="100" w:type="dxa"/>
            <w:vAlign w:val="bottom"/>
            <w:tcBorders>
              <w:bottom w:val="single" w:sz="8" w:color="CCEEFF"/>
            </w:tcBorders>
            <w:shd w:val="clear" w:color="auto" w:fill="CCEEFF"/>
          </w:tcPr>
          <w:p>
            <w:pPr>
              <w:spacing w:after="0"/>
              <w:rPr>
                <w:sz w:val="15"/>
                <w:szCs w:val="15"/>
                <w:color w:val="auto"/>
              </w:rPr>
            </w:pPr>
          </w:p>
        </w:tc>
        <w:tc>
          <w:tcPr>
            <w:tcW w:w="2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22,520,498</w:t>
            </w:r>
          </w:p>
        </w:tc>
      </w:tr>
      <w:tr>
        <w:trPr>
          <w:trHeight w:val="202"/>
        </w:trPr>
        <w:tc>
          <w:tcPr>
            <w:tcW w:w="5700" w:type="dxa"/>
            <w:vAlign w:val="bottom"/>
          </w:tcPr>
          <w:p>
            <w:pPr>
              <w:spacing w:after="0"/>
              <w:rPr>
                <w:sz w:val="20"/>
                <w:szCs w:val="20"/>
                <w:color w:val="auto"/>
              </w:rPr>
            </w:pPr>
            <w:r>
              <w:rPr>
                <w:rFonts w:ascii="Arial" w:cs="Arial" w:eastAsia="Arial" w:hAnsi="Arial"/>
                <w:sz w:val="13"/>
                <w:szCs w:val="13"/>
                <w:color w:val="auto"/>
              </w:rPr>
              <w:t>Loan discount, net of unamortized loan premiums and deferred origination costs</w:t>
            </w:r>
          </w:p>
        </w:tc>
        <w:tc>
          <w:tcPr>
            <w:tcW w:w="320" w:type="dxa"/>
            <w:vAlign w:val="bottom"/>
          </w:tcPr>
          <w:p>
            <w:pPr>
              <w:spacing w:after="0"/>
              <w:rPr>
                <w:sz w:val="17"/>
                <w:szCs w:val="17"/>
                <w:color w:val="auto"/>
              </w:rPr>
            </w:pPr>
          </w:p>
        </w:tc>
        <w:tc>
          <w:tcPr>
            <w:tcW w:w="1680" w:type="dxa"/>
            <w:vAlign w:val="bottom"/>
          </w:tcPr>
          <w:p>
            <w:pPr>
              <w:jc w:val="right"/>
              <w:spacing w:after="0"/>
              <w:rPr>
                <w:sz w:val="20"/>
                <w:szCs w:val="20"/>
                <w:color w:val="auto"/>
              </w:rPr>
            </w:pPr>
            <w:r>
              <w:rPr>
                <w:rFonts w:ascii="Arial" w:cs="Arial" w:eastAsia="Arial" w:hAnsi="Arial"/>
                <w:sz w:val="13"/>
                <w:szCs w:val="13"/>
                <w:color w:val="auto"/>
              </w:rPr>
              <w:t>(43,602)</w:t>
            </w:r>
          </w:p>
        </w:tc>
        <w:tc>
          <w:tcPr>
            <w:tcW w:w="100" w:type="dxa"/>
            <w:vAlign w:val="bottom"/>
          </w:tcPr>
          <w:p>
            <w:pPr>
              <w:spacing w:after="0"/>
              <w:rPr>
                <w:sz w:val="17"/>
                <w:szCs w:val="17"/>
                <w:color w:val="auto"/>
              </w:rPr>
            </w:pPr>
          </w:p>
        </w:tc>
        <w:tc>
          <w:tcPr>
            <w:tcW w:w="2000" w:type="dxa"/>
            <w:vAlign w:val="bottom"/>
          </w:tcPr>
          <w:p>
            <w:pPr>
              <w:jc w:val="right"/>
              <w:spacing w:after="0"/>
              <w:rPr>
                <w:sz w:val="20"/>
                <w:szCs w:val="20"/>
                <w:color w:val="auto"/>
              </w:rPr>
            </w:pPr>
            <w:r>
              <w:rPr>
                <w:rFonts w:ascii="Arial" w:cs="Arial" w:eastAsia="Arial" w:hAnsi="Arial"/>
                <w:sz w:val="13"/>
                <w:szCs w:val="13"/>
                <w:color w:val="auto"/>
              </w:rPr>
              <w:t>(53,572)</w:t>
            </w:r>
          </w:p>
        </w:tc>
      </w:tr>
      <w:tr>
        <w:trPr>
          <w:trHeight w:val="187"/>
        </w:trPr>
        <w:tc>
          <w:tcPr>
            <w:tcW w:w="57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Non-accretable discount</w:t>
            </w:r>
          </w:p>
        </w:tc>
        <w:tc>
          <w:tcPr>
            <w:tcW w:w="320" w:type="dxa"/>
            <w:vAlign w:val="bottom"/>
            <w:tcBorders>
              <w:bottom w:val="single" w:sz="8" w:color="CCEEFF"/>
            </w:tcBorders>
            <w:shd w:val="clear" w:color="auto" w:fill="CCEEFF"/>
          </w:tcPr>
          <w:p>
            <w:pPr>
              <w:spacing w:after="0"/>
              <w:rPr>
                <w:sz w:val="16"/>
                <w:szCs w:val="16"/>
                <w:color w:val="auto"/>
              </w:rPr>
            </w:pPr>
          </w:p>
        </w:tc>
        <w:tc>
          <w:tcPr>
            <w:tcW w:w="1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(31,110)</w:t>
            </w:r>
          </w:p>
        </w:tc>
        <w:tc>
          <w:tcPr>
            <w:tcW w:w="100" w:type="dxa"/>
            <w:vAlign w:val="bottom"/>
            <w:tcBorders>
              <w:bottom w:val="single" w:sz="8" w:color="CCEEFF"/>
            </w:tcBorders>
            <w:shd w:val="clear" w:color="auto" w:fill="CCEEFF"/>
          </w:tcPr>
          <w:p>
            <w:pPr>
              <w:spacing w:after="0"/>
              <w:rPr>
                <w:sz w:val="16"/>
                <w:szCs w:val="16"/>
                <w:color w:val="auto"/>
              </w:rPr>
            </w:pPr>
          </w:p>
        </w:tc>
        <w:tc>
          <w:tcPr>
            <w:tcW w:w="2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(29,396)</w:t>
            </w:r>
          </w:p>
        </w:tc>
      </w:tr>
      <w:tr>
        <w:trPr>
          <w:trHeight w:val="178"/>
        </w:trPr>
        <w:tc>
          <w:tcPr>
            <w:tcW w:w="5700" w:type="dxa"/>
            <w:vAlign w:val="bottom"/>
          </w:tcPr>
          <w:p>
            <w:pPr>
              <w:spacing w:after="0"/>
              <w:rPr>
                <w:sz w:val="20"/>
                <w:szCs w:val="20"/>
                <w:color w:val="auto"/>
              </w:rPr>
            </w:pPr>
            <w:r>
              <w:rPr>
                <w:rFonts w:ascii="Arial" w:cs="Arial" w:eastAsia="Arial" w:hAnsi="Arial"/>
                <w:sz w:val="13"/>
                <w:szCs w:val="13"/>
                <w:color w:val="auto"/>
              </w:rPr>
              <w:t>Allowance for loan losses:</w:t>
            </w:r>
          </w:p>
        </w:tc>
        <w:tc>
          <w:tcPr>
            <w:tcW w:w="320" w:type="dxa"/>
            <w:vAlign w:val="bottom"/>
          </w:tcPr>
          <w:p>
            <w:pPr>
              <w:spacing w:after="0"/>
              <w:rPr>
                <w:sz w:val="15"/>
                <w:szCs w:val="15"/>
                <w:color w:val="auto"/>
              </w:rPr>
            </w:pPr>
          </w:p>
        </w:tc>
        <w:tc>
          <w:tcPr>
            <w:tcW w:w="16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0" w:type="dxa"/>
            <w:vAlign w:val="bottom"/>
          </w:tcPr>
          <w:p>
            <w:pPr>
              <w:spacing w:after="0"/>
              <w:rPr>
                <w:sz w:val="15"/>
                <w:szCs w:val="15"/>
                <w:color w:val="auto"/>
              </w:rPr>
            </w:pPr>
          </w:p>
        </w:tc>
      </w:tr>
      <w:tr>
        <w:trPr>
          <w:trHeight w:val="27"/>
        </w:trPr>
        <w:tc>
          <w:tcPr>
            <w:tcW w:w="57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0" w:type="dxa"/>
            <w:vAlign w:val="bottom"/>
          </w:tcPr>
          <w:p>
            <w:pPr>
              <w:spacing w:after="0"/>
              <w:rPr>
                <w:sz w:val="2"/>
                <w:szCs w:val="2"/>
                <w:color w:val="auto"/>
              </w:rPr>
            </w:pPr>
          </w:p>
        </w:tc>
      </w:tr>
      <w:tr>
        <w:trPr>
          <w:trHeight w:val="185"/>
        </w:trPr>
        <w:tc>
          <w:tcPr>
            <w:tcW w:w="5700" w:type="dxa"/>
            <w:vAlign w:val="bottom"/>
            <w:tcBorders>
              <w:bottom w:val="single" w:sz="8" w:color="CCEEFF"/>
            </w:tcBorders>
            <w:shd w:val="clear" w:color="auto" w:fill="CCEEFF"/>
          </w:tcPr>
          <w:p>
            <w:pPr>
              <w:ind w:left="80"/>
              <w:spacing w:after="0"/>
              <w:rPr>
                <w:sz w:val="20"/>
                <w:szCs w:val="20"/>
                <w:color w:val="auto"/>
              </w:rPr>
            </w:pPr>
            <w:r>
              <w:rPr>
                <w:rFonts w:ascii="Arial" w:cs="Arial" w:eastAsia="Arial" w:hAnsi="Arial"/>
                <w:sz w:val="13"/>
                <w:szCs w:val="13"/>
                <w:color w:val="auto"/>
              </w:rPr>
              <w:t>Federally insured loans</w:t>
            </w:r>
          </w:p>
        </w:tc>
        <w:tc>
          <w:tcPr>
            <w:tcW w:w="320" w:type="dxa"/>
            <w:vAlign w:val="bottom"/>
            <w:tcBorders>
              <w:bottom w:val="single" w:sz="8" w:color="CCEEFF"/>
            </w:tcBorders>
            <w:shd w:val="clear" w:color="auto" w:fill="CCEEFF"/>
          </w:tcPr>
          <w:p>
            <w:pPr>
              <w:spacing w:after="0"/>
              <w:rPr>
                <w:sz w:val="16"/>
                <w:szCs w:val="16"/>
                <w:color w:val="auto"/>
              </w:rPr>
            </w:pPr>
          </w:p>
        </w:tc>
        <w:tc>
          <w:tcPr>
            <w:tcW w:w="1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(40,934)</w:t>
            </w:r>
          </w:p>
        </w:tc>
        <w:tc>
          <w:tcPr>
            <w:tcW w:w="100" w:type="dxa"/>
            <w:vAlign w:val="bottom"/>
            <w:tcBorders>
              <w:bottom w:val="single" w:sz="8" w:color="CCEEFF"/>
            </w:tcBorders>
            <w:shd w:val="clear" w:color="auto" w:fill="CCEEFF"/>
          </w:tcPr>
          <w:p>
            <w:pPr>
              <w:spacing w:after="0"/>
              <w:rPr>
                <w:sz w:val="16"/>
                <w:szCs w:val="16"/>
                <w:color w:val="auto"/>
              </w:rPr>
            </w:pPr>
          </w:p>
        </w:tc>
        <w:tc>
          <w:tcPr>
            <w:tcW w:w="2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(42,310)</w:t>
            </w:r>
          </w:p>
        </w:tc>
      </w:tr>
      <w:tr>
        <w:trPr>
          <w:trHeight w:val="178"/>
        </w:trPr>
        <w:tc>
          <w:tcPr>
            <w:tcW w:w="5700" w:type="dxa"/>
            <w:vAlign w:val="bottom"/>
          </w:tcPr>
          <w:p>
            <w:pPr>
              <w:ind w:left="80"/>
              <w:spacing w:after="0"/>
              <w:rPr>
                <w:sz w:val="20"/>
                <w:szCs w:val="20"/>
                <w:color w:val="auto"/>
              </w:rPr>
            </w:pPr>
            <w:r>
              <w:rPr>
                <w:rFonts w:ascii="Arial" w:cs="Arial" w:eastAsia="Arial" w:hAnsi="Arial"/>
                <w:sz w:val="13"/>
                <w:szCs w:val="13"/>
                <w:color w:val="auto"/>
              </w:rPr>
              <w:t>Private education loans</w:t>
            </w:r>
          </w:p>
        </w:tc>
        <w:tc>
          <w:tcPr>
            <w:tcW w:w="320" w:type="dxa"/>
            <w:vAlign w:val="bottom"/>
          </w:tcPr>
          <w:p>
            <w:pPr>
              <w:spacing w:after="0"/>
              <w:rPr>
                <w:sz w:val="15"/>
                <w:szCs w:val="15"/>
                <w:color w:val="auto"/>
              </w:rPr>
            </w:pPr>
          </w:p>
        </w:tc>
        <w:tc>
          <w:tcPr>
            <w:tcW w:w="1680" w:type="dxa"/>
            <w:vAlign w:val="bottom"/>
          </w:tcPr>
          <w:p>
            <w:pPr>
              <w:jc w:val="right"/>
              <w:spacing w:after="0"/>
              <w:rPr>
                <w:sz w:val="20"/>
                <w:szCs w:val="20"/>
                <w:color w:val="auto"/>
              </w:rPr>
            </w:pPr>
            <w:r>
              <w:rPr>
                <w:rFonts w:ascii="Arial" w:cs="Arial" w:eastAsia="Arial" w:hAnsi="Arial"/>
                <w:sz w:val="13"/>
                <w:szCs w:val="13"/>
                <w:color w:val="auto"/>
              </w:rPr>
              <w:t>(10,587)</w:t>
            </w:r>
          </w:p>
        </w:tc>
        <w:tc>
          <w:tcPr>
            <w:tcW w:w="100" w:type="dxa"/>
            <w:vAlign w:val="bottom"/>
          </w:tcPr>
          <w:p>
            <w:pPr>
              <w:spacing w:after="0"/>
              <w:rPr>
                <w:sz w:val="15"/>
                <w:szCs w:val="15"/>
                <w:color w:val="auto"/>
              </w:rPr>
            </w:pPr>
          </w:p>
        </w:tc>
        <w:tc>
          <w:tcPr>
            <w:tcW w:w="2000" w:type="dxa"/>
            <w:vAlign w:val="bottom"/>
          </w:tcPr>
          <w:p>
            <w:pPr>
              <w:jc w:val="right"/>
              <w:spacing w:after="0"/>
              <w:rPr>
                <w:sz w:val="20"/>
                <w:szCs w:val="20"/>
                <w:color w:val="auto"/>
              </w:rPr>
            </w:pPr>
            <w:r>
              <w:rPr>
                <w:rFonts w:ascii="Arial" w:cs="Arial" w:eastAsia="Arial" w:hAnsi="Arial"/>
                <w:sz w:val="13"/>
                <w:szCs w:val="13"/>
                <w:color w:val="auto"/>
              </w:rPr>
              <w:t>(10,838)</w:t>
            </w:r>
          </w:p>
        </w:tc>
      </w:tr>
      <w:tr>
        <w:trPr>
          <w:trHeight w:val="27"/>
        </w:trPr>
        <w:tc>
          <w:tcPr>
            <w:tcW w:w="57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0" w:type="dxa"/>
            <w:vAlign w:val="bottom"/>
          </w:tcPr>
          <w:p>
            <w:pPr>
              <w:spacing w:after="0"/>
              <w:rPr>
                <w:sz w:val="2"/>
                <w:szCs w:val="2"/>
                <w:color w:val="auto"/>
              </w:rPr>
            </w:pPr>
          </w:p>
        </w:tc>
      </w:tr>
      <w:tr>
        <w:trPr>
          <w:trHeight w:val="205"/>
        </w:trPr>
        <w:tc>
          <w:tcPr>
            <w:tcW w:w="5700" w:type="dxa"/>
            <w:vAlign w:val="bottom"/>
            <w:tcBorders>
              <w:bottom w:val="single" w:sz="8" w:color="CCEEFF"/>
            </w:tcBorders>
            <w:shd w:val="clear" w:color="auto" w:fill="CCEEFF"/>
          </w:tcPr>
          <w:p>
            <w:pPr>
              <w:ind w:left="80"/>
              <w:spacing w:after="0"/>
              <w:rPr>
                <w:sz w:val="20"/>
                <w:szCs w:val="20"/>
                <w:color w:val="auto"/>
              </w:rPr>
            </w:pPr>
            <w:r>
              <w:rPr>
                <w:rFonts w:ascii="Arial" w:cs="Arial" w:eastAsia="Arial" w:hAnsi="Arial"/>
                <w:sz w:val="13"/>
                <w:szCs w:val="13"/>
                <w:color w:val="auto"/>
              </w:rPr>
              <w:t>Consumer loans</w:t>
            </w:r>
          </w:p>
        </w:tc>
        <w:tc>
          <w:tcPr>
            <w:tcW w:w="320" w:type="dxa"/>
            <w:vAlign w:val="bottom"/>
            <w:tcBorders>
              <w:bottom w:val="single" w:sz="8" w:color="CCEEFF"/>
            </w:tcBorders>
            <w:shd w:val="clear" w:color="auto" w:fill="CCEEFF"/>
          </w:tcPr>
          <w:p>
            <w:pPr>
              <w:spacing w:after="0"/>
              <w:rPr>
                <w:sz w:val="17"/>
                <w:szCs w:val="17"/>
                <w:color w:val="auto"/>
              </w:rPr>
            </w:pPr>
          </w:p>
        </w:tc>
        <w:tc>
          <w:tcPr>
            <w:tcW w:w="1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(10,257)</w:t>
            </w:r>
          </w:p>
        </w:tc>
        <w:tc>
          <w:tcPr>
            <w:tcW w:w="100" w:type="dxa"/>
            <w:vAlign w:val="bottom"/>
            <w:tcBorders>
              <w:bottom w:val="single" w:sz="8" w:color="CCEEFF"/>
            </w:tcBorders>
            <w:shd w:val="clear" w:color="auto" w:fill="CCEEFF"/>
          </w:tcPr>
          <w:p>
            <w:pPr>
              <w:spacing w:after="0"/>
              <w:rPr>
                <w:sz w:val="17"/>
                <w:szCs w:val="17"/>
                <w:color w:val="auto"/>
              </w:rPr>
            </w:pPr>
          </w:p>
        </w:tc>
        <w:tc>
          <w:tcPr>
            <w:tcW w:w="2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(7,240)</w:t>
            </w:r>
          </w:p>
        </w:tc>
      </w:tr>
      <w:tr>
        <w:trPr>
          <w:trHeight w:val="169"/>
        </w:trPr>
        <w:tc>
          <w:tcPr>
            <w:tcW w:w="5700" w:type="dxa"/>
            <w:vAlign w:val="bottom"/>
          </w:tcPr>
          <w:p>
            <w:pPr>
              <w:spacing w:after="0"/>
              <w:rPr>
                <w:sz w:val="14"/>
                <w:szCs w:val="14"/>
                <w:color w:val="auto"/>
              </w:rPr>
            </w:pPr>
          </w:p>
        </w:tc>
        <w:tc>
          <w:tcPr>
            <w:tcW w:w="320" w:type="dxa"/>
            <w:vAlign w:val="bottom"/>
            <w:tcBorders>
              <w:top w:val="single" w:sz="8" w:color="auto"/>
            </w:tcBorders>
          </w:tcPr>
          <w:p>
            <w:pPr>
              <w:jc w:val="right"/>
              <w:ind w:right="175"/>
              <w:spacing w:after="0"/>
              <w:rPr>
                <w:sz w:val="20"/>
                <w:szCs w:val="20"/>
                <w:color w:val="auto"/>
              </w:rPr>
            </w:pPr>
            <w:r>
              <w:rPr>
                <w:rFonts w:ascii="Arial" w:cs="Arial" w:eastAsia="Arial" w:hAnsi="Arial"/>
                <w:sz w:val="13"/>
                <w:szCs w:val="13"/>
                <w:color w:val="auto"/>
                <w:w w:val="82"/>
              </w:rPr>
              <w:t>$</w:t>
            </w:r>
          </w:p>
        </w:tc>
        <w:tc>
          <w:tcPr>
            <w:tcW w:w="168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21,946,153</w:t>
            </w:r>
          </w:p>
        </w:tc>
        <w:tc>
          <w:tcPr>
            <w:tcW w:w="100" w:type="dxa"/>
            <w:vAlign w:val="bottom"/>
          </w:tcPr>
          <w:p>
            <w:pPr>
              <w:spacing w:after="0"/>
              <w:rPr>
                <w:sz w:val="14"/>
                <w:szCs w:val="14"/>
                <w:color w:val="auto"/>
              </w:rPr>
            </w:pPr>
          </w:p>
        </w:tc>
        <w:tc>
          <w:tcPr>
            <w:tcW w:w="200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22,377,142</w:t>
            </w:r>
          </w:p>
        </w:tc>
      </w:tr>
      <w:tr>
        <w:trPr>
          <w:trHeight w:val="27"/>
        </w:trPr>
        <w:tc>
          <w:tcPr>
            <w:tcW w:w="570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0" w:type="dxa"/>
            <w:vAlign w:val="bottom"/>
            <w:tcBorders>
              <w:bottom w:val="single" w:sz="8" w:color="auto"/>
            </w:tcBorders>
          </w:tcPr>
          <w:p>
            <w:pPr>
              <w:spacing w:after="0"/>
              <w:rPr>
                <w:sz w:val="2"/>
                <w:szCs w:val="2"/>
                <w:color w:val="auto"/>
              </w:rPr>
            </w:pPr>
          </w:p>
        </w:tc>
      </w:tr>
      <w:tr>
        <w:trPr>
          <w:trHeight w:val="20"/>
        </w:trPr>
        <w:tc>
          <w:tcPr>
            <w:tcW w:w="57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0" w:type="dxa"/>
            <w:vAlign w:val="bottom"/>
            <w:tcBorders>
              <w:bottom w:val="single" w:sz="8" w:color="auto"/>
            </w:tcBorders>
          </w:tcPr>
          <w:p>
            <w:pPr>
              <w:spacing w:after="0" w:line="20" w:lineRule="exact"/>
              <w:rPr>
                <w:sz w:val="1"/>
                <w:szCs w:val="1"/>
                <w:color w:val="auto"/>
              </w:rPr>
            </w:pPr>
          </w:p>
        </w:tc>
      </w:tr>
    </w:tbl>
    <w:p>
      <w:pPr>
        <w:spacing w:after="0" w:line="119" w:lineRule="exact"/>
        <w:rPr>
          <w:sz w:val="20"/>
          <w:szCs w:val="20"/>
          <w:color w:val="auto"/>
        </w:rPr>
      </w:pPr>
    </w:p>
    <w:p>
      <w:pPr>
        <w:spacing w:after="0"/>
        <w:rPr>
          <w:sz w:val="20"/>
          <w:szCs w:val="20"/>
          <w:color w:val="auto"/>
        </w:rPr>
      </w:pPr>
      <w:r>
        <w:rPr>
          <w:rFonts w:ascii="Arial" w:cs="Arial" w:eastAsia="Arial" w:hAnsi="Arial"/>
          <w:sz w:val="14"/>
          <w:szCs w:val="14"/>
          <w:b w:val="1"/>
          <w:bCs w:val="1"/>
          <w:i w:val="1"/>
          <w:iCs w:val="1"/>
          <w:color w:val="auto"/>
        </w:rPr>
        <w:t>Activity in the Allowance for Loan Losses</w:t>
      </w:r>
    </w:p>
    <w:p>
      <w:pPr>
        <w:spacing w:after="0" w:line="141" w:lineRule="exact"/>
        <w:rPr>
          <w:sz w:val="20"/>
          <w:szCs w:val="20"/>
          <w:color w:val="auto"/>
        </w:rPr>
      </w:pPr>
    </w:p>
    <w:p>
      <w:pPr>
        <w:spacing w:after="0" w:line="288" w:lineRule="auto"/>
        <w:rPr>
          <w:sz w:val="20"/>
          <w:szCs w:val="20"/>
          <w:color w:val="auto"/>
        </w:rPr>
      </w:pPr>
      <w:r>
        <w:rPr>
          <w:rFonts w:ascii="Arial" w:cs="Arial" w:eastAsia="Arial" w:hAnsi="Arial"/>
          <w:sz w:val="14"/>
          <w:szCs w:val="14"/>
          <w:color w:val="auto"/>
        </w:rPr>
        <w:t>The provision for loan losses represents the periodic expense of maintaining an allowance sufficient to absorb losses, net of recoveries, inherent in the portfolio of loans. Activity in the allowance for loan losses is shown below.</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32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760" w:type="dxa"/>
            <w:vAlign w:val="bottom"/>
            <w:gridSpan w:val="4"/>
          </w:tcPr>
          <w:p>
            <w:pPr>
              <w:ind w:left="340"/>
              <w:spacing w:after="0"/>
              <w:rPr>
                <w:sz w:val="20"/>
                <w:szCs w:val="20"/>
                <w:color w:val="auto"/>
              </w:rPr>
            </w:pPr>
            <w:r>
              <w:rPr>
                <w:rFonts w:ascii="Arial" w:cs="Arial" w:eastAsia="Arial" w:hAnsi="Arial"/>
                <w:sz w:val="13"/>
                <w:szCs w:val="13"/>
                <w:b w:val="1"/>
                <w:bCs w:val="1"/>
                <w:color w:val="auto"/>
              </w:rPr>
              <w:t>Three months ended March 31, 2019</w:t>
            </w:r>
          </w:p>
        </w:tc>
        <w:tc>
          <w:tcPr>
            <w:tcW w:w="1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27"/>
        </w:trPr>
        <w:tc>
          <w:tcPr>
            <w:tcW w:w="3240" w:type="dxa"/>
            <w:vAlign w:val="bottom"/>
          </w:tcPr>
          <w:p>
            <w:pPr>
              <w:spacing w:after="0"/>
              <w:rPr>
                <w:sz w:val="2"/>
                <w:szCs w:val="2"/>
                <w:color w:val="auto"/>
              </w:rPr>
            </w:pPr>
          </w:p>
        </w:tc>
        <w:tc>
          <w:tcPr>
            <w:tcW w:w="1360" w:type="dxa"/>
            <w:vAlign w:val="bottom"/>
            <w:tcBorders>
              <w:bottom w:val="single" w:sz="8" w:color="auto"/>
            </w:tcBorders>
            <w:gridSpan w:val="3"/>
          </w:tcPr>
          <w:p>
            <w:pPr>
              <w:spacing w:after="0"/>
              <w:rPr>
                <w:sz w:val="2"/>
                <w:szCs w:val="2"/>
                <w:color w:val="auto"/>
              </w:rPr>
            </w:pPr>
          </w:p>
        </w:tc>
        <w:tc>
          <w:tcPr>
            <w:tcW w:w="1360" w:type="dxa"/>
            <w:vAlign w:val="bottom"/>
            <w:tcBorders>
              <w:bottom w:val="single" w:sz="8" w:color="auto"/>
            </w:tcBorders>
            <w:gridSpan w:val="2"/>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163"/>
        </w:trPr>
        <w:tc>
          <w:tcPr>
            <w:tcW w:w="3240" w:type="dxa"/>
            <w:vAlign w:val="bottom"/>
          </w:tcPr>
          <w:p>
            <w:pPr>
              <w:spacing w:after="0"/>
              <w:rPr>
                <w:sz w:val="14"/>
                <w:szCs w:val="14"/>
                <w:color w:val="auto"/>
              </w:rPr>
            </w:pPr>
          </w:p>
        </w:tc>
        <w:tc>
          <w:tcPr>
            <w:tcW w:w="1360" w:type="dxa"/>
            <w:vAlign w:val="bottom"/>
            <w:gridSpan w:val="3"/>
          </w:tcPr>
          <w:p>
            <w:pPr>
              <w:jc w:val="center"/>
              <w:ind w:right="80"/>
              <w:spacing w:after="0"/>
              <w:rPr>
                <w:sz w:val="20"/>
                <w:szCs w:val="20"/>
                <w:color w:val="auto"/>
              </w:rPr>
            </w:pPr>
            <w:r>
              <w:rPr>
                <w:rFonts w:ascii="Arial" w:cs="Arial" w:eastAsia="Arial" w:hAnsi="Arial"/>
                <w:sz w:val="13"/>
                <w:szCs w:val="13"/>
                <w:b w:val="1"/>
                <w:bCs w:val="1"/>
                <w:color w:val="auto"/>
                <w:w w:val="88"/>
              </w:rPr>
              <w:t>Balance at beginning</w:t>
            </w:r>
          </w:p>
        </w:tc>
        <w:tc>
          <w:tcPr>
            <w:tcW w:w="136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88"/>
              </w:rPr>
              <w:t>Provision for loan</w:t>
            </w:r>
          </w:p>
        </w:tc>
        <w:tc>
          <w:tcPr>
            <w:tcW w:w="12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00" w:type="dxa"/>
            <w:vAlign w:val="bottom"/>
          </w:tcPr>
          <w:p>
            <w:pPr>
              <w:jc w:val="right"/>
              <w:ind w:right="115"/>
              <w:spacing w:after="0"/>
              <w:rPr>
                <w:sz w:val="20"/>
                <w:szCs w:val="20"/>
                <w:color w:val="auto"/>
              </w:rPr>
            </w:pPr>
            <w:r>
              <w:rPr>
                <w:rFonts w:ascii="Arial" w:cs="Arial" w:eastAsia="Arial" w:hAnsi="Arial"/>
                <w:sz w:val="13"/>
                <w:szCs w:val="13"/>
                <w:b w:val="1"/>
                <w:bCs w:val="1"/>
                <w:color w:val="auto"/>
              </w:rPr>
              <w:t>Balance at end of</w:t>
            </w:r>
          </w:p>
        </w:tc>
      </w:tr>
      <w:tr>
        <w:trPr>
          <w:trHeight w:val="167"/>
        </w:trPr>
        <w:tc>
          <w:tcPr>
            <w:tcW w:w="32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120" w:type="dxa"/>
            <w:vAlign w:val="bottom"/>
            <w:gridSpan w:val="2"/>
          </w:tcPr>
          <w:p>
            <w:pPr>
              <w:jc w:val="center"/>
              <w:ind w:right="340"/>
              <w:spacing w:after="0"/>
              <w:rPr>
                <w:sz w:val="20"/>
                <w:szCs w:val="20"/>
                <w:color w:val="auto"/>
              </w:rPr>
            </w:pPr>
            <w:r>
              <w:rPr>
                <w:rFonts w:ascii="Arial" w:cs="Arial" w:eastAsia="Arial" w:hAnsi="Arial"/>
                <w:sz w:val="13"/>
                <w:szCs w:val="13"/>
                <w:b w:val="1"/>
                <w:bCs w:val="1"/>
                <w:color w:val="auto"/>
                <w:w w:val="89"/>
              </w:rPr>
              <w:t>of period</w:t>
            </w:r>
          </w:p>
        </w:tc>
        <w:tc>
          <w:tcPr>
            <w:tcW w:w="136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74"/>
              </w:rPr>
              <w:t>losses</w:t>
            </w:r>
          </w:p>
        </w:tc>
        <w:tc>
          <w:tcPr>
            <w:tcW w:w="1380" w:type="dxa"/>
            <w:vAlign w:val="bottom"/>
            <w:gridSpan w:val="2"/>
          </w:tcPr>
          <w:p>
            <w:pPr>
              <w:ind w:left="320"/>
              <w:spacing w:after="0"/>
              <w:rPr>
                <w:sz w:val="20"/>
                <w:szCs w:val="20"/>
                <w:color w:val="auto"/>
              </w:rPr>
            </w:pPr>
            <w:r>
              <w:rPr>
                <w:rFonts w:ascii="Arial" w:cs="Arial" w:eastAsia="Arial" w:hAnsi="Arial"/>
                <w:sz w:val="13"/>
                <w:szCs w:val="13"/>
                <w:b w:val="1"/>
                <w:bCs w:val="1"/>
                <w:color w:val="auto"/>
              </w:rPr>
              <w:t>Charge-offs</w:t>
            </w:r>
          </w:p>
        </w:tc>
        <w:tc>
          <w:tcPr>
            <w:tcW w:w="1380" w:type="dxa"/>
            <w:vAlign w:val="bottom"/>
            <w:gridSpan w:val="2"/>
          </w:tcPr>
          <w:p>
            <w:pPr>
              <w:ind w:left="340"/>
              <w:spacing w:after="0"/>
              <w:rPr>
                <w:sz w:val="20"/>
                <w:szCs w:val="20"/>
                <w:color w:val="auto"/>
              </w:rPr>
            </w:pPr>
            <w:r>
              <w:rPr>
                <w:rFonts w:ascii="Arial" w:cs="Arial" w:eastAsia="Arial" w:hAnsi="Arial"/>
                <w:sz w:val="13"/>
                <w:szCs w:val="13"/>
                <w:b w:val="1"/>
                <w:bCs w:val="1"/>
                <w:color w:val="auto"/>
              </w:rPr>
              <w:t>Recoveries</w:t>
            </w:r>
          </w:p>
        </w:tc>
        <w:tc>
          <w:tcPr>
            <w:tcW w:w="1360" w:type="dxa"/>
            <w:vAlign w:val="bottom"/>
            <w:gridSpan w:val="2"/>
          </w:tcPr>
          <w:p>
            <w:pPr>
              <w:ind w:left="460"/>
              <w:spacing w:after="0"/>
              <w:rPr>
                <w:sz w:val="20"/>
                <w:szCs w:val="20"/>
                <w:color w:val="auto"/>
              </w:rPr>
            </w:pPr>
            <w:r>
              <w:rPr>
                <w:rFonts w:ascii="Arial" w:cs="Arial" w:eastAsia="Arial" w:hAnsi="Arial"/>
                <w:sz w:val="13"/>
                <w:szCs w:val="13"/>
                <w:b w:val="1"/>
                <w:bCs w:val="1"/>
                <w:color w:val="auto"/>
              </w:rPr>
              <w:t>Other</w:t>
            </w:r>
          </w:p>
        </w:tc>
        <w:tc>
          <w:tcPr>
            <w:tcW w:w="1300" w:type="dxa"/>
            <w:vAlign w:val="bottom"/>
          </w:tcPr>
          <w:p>
            <w:pPr>
              <w:jc w:val="right"/>
              <w:ind w:right="415"/>
              <w:spacing w:after="0"/>
              <w:rPr>
                <w:sz w:val="20"/>
                <w:szCs w:val="20"/>
                <w:color w:val="auto"/>
              </w:rPr>
            </w:pPr>
            <w:r>
              <w:rPr>
                <w:rFonts w:ascii="Arial" w:cs="Arial" w:eastAsia="Arial" w:hAnsi="Arial"/>
                <w:sz w:val="13"/>
                <w:szCs w:val="13"/>
                <w:b w:val="1"/>
                <w:bCs w:val="1"/>
                <w:color w:val="auto"/>
              </w:rPr>
              <w:t>period</w:t>
            </w:r>
          </w:p>
        </w:tc>
      </w:tr>
      <w:tr>
        <w:trPr>
          <w:trHeight w:val="27"/>
        </w:trPr>
        <w:tc>
          <w:tcPr>
            <w:tcW w:w="324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176"/>
        </w:trPr>
        <w:tc>
          <w:tcPr>
            <w:tcW w:w="3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Federally insured loans</w:t>
            </w:r>
          </w:p>
        </w:tc>
        <w:tc>
          <w:tcPr>
            <w:tcW w:w="240" w:type="dxa"/>
            <w:vAlign w:val="bottom"/>
            <w:tcBorders>
              <w:bottom w:val="single" w:sz="8" w:color="CCEEFF"/>
            </w:tcBorders>
            <w:shd w:val="clear" w:color="auto" w:fill="CCEEFF"/>
          </w:tcPr>
          <w:p>
            <w:pPr>
              <w:jc w:val="right"/>
              <w:ind w:right="95"/>
              <w:spacing w:after="0"/>
              <w:rPr>
                <w:sz w:val="20"/>
                <w:szCs w:val="20"/>
                <w:color w:val="auto"/>
              </w:rPr>
            </w:pPr>
            <w:r>
              <w:rPr>
                <w:rFonts w:ascii="Arial" w:cs="Arial" w:eastAsia="Arial" w:hAnsi="Arial"/>
                <w:sz w:val="13"/>
                <w:szCs w:val="13"/>
                <w:color w:val="auto"/>
                <w:w w:val="82"/>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42,310</w:t>
            </w:r>
          </w:p>
        </w:tc>
        <w:tc>
          <w:tcPr>
            <w:tcW w:w="100" w:type="dxa"/>
            <w:vAlign w:val="bottom"/>
            <w:tcBorders>
              <w:bottom w:val="single" w:sz="8" w:color="CCEEFF"/>
            </w:tcBorders>
            <w:shd w:val="clear" w:color="auto" w:fill="CCEEFF"/>
          </w:tcPr>
          <w:p>
            <w:pPr>
              <w:spacing w:after="0"/>
              <w:rPr>
                <w:sz w:val="15"/>
                <w:szCs w:val="15"/>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2,000</w:t>
            </w:r>
          </w:p>
        </w:tc>
        <w:tc>
          <w:tcPr>
            <w:tcW w:w="100" w:type="dxa"/>
            <w:vAlign w:val="bottom"/>
            <w:tcBorders>
              <w:bottom w:val="single" w:sz="8" w:color="CCEEFF"/>
            </w:tcBorders>
            <w:shd w:val="clear" w:color="auto" w:fill="CCEEFF"/>
          </w:tcPr>
          <w:p>
            <w:pPr>
              <w:spacing w:after="0"/>
              <w:rPr>
                <w:sz w:val="15"/>
                <w:szCs w:val="15"/>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(3,376)</w:t>
            </w:r>
          </w:p>
        </w:tc>
        <w:tc>
          <w:tcPr>
            <w:tcW w:w="100" w:type="dxa"/>
            <w:vAlign w:val="bottom"/>
            <w:tcBorders>
              <w:bottom w:val="single" w:sz="8" w:color="CCEEFF"/>
            </w:tcBorders>
            <w:shd w:val="clear" w:color="auto" w:fill="CCEEFF"/>
          </w:tcPr>
          <w:p>
            <w:pPr>
              <w:spacing w:after="0"/>
              <w:rPr>
                <w:sz w:val="15"/>
                <w:szCs w:val="15"/>
                <w:color w:val="auto"/>
              </w:rPr>
            </w:pPr>
          </w:p>
        </w:tc>
        <w:tc>
          <w:tcPr>
            <w:tcW w:w="138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360" w:type="dxa"/>
            <w:vAlign w:val="bottom"/>
            <w:tcBorders>
              <w:bottom w:val="single" w:sz="8" w:color="CCEEFF"/>
            </w:tcBorders>
            <w:gridSpan w:val="2"/>
            <w:shd w:val="clear" w:color="auto" w:fill="CCEEFF"/>
          </w:tcPr>
          <w:p>
            <w:pPr>
              <w:ind w:left="1080"/>
              <w:spacing w:after="0"/>
              <w:rPr>
                <w:sz w:val="20"/>
                <w:szCs w:val="20"/>
                <w:color w:val="auto"/>
              </w:rPr>
            </w:pPr>
            <w:r>
              <w:rPr>
                <w:rFonts w:ascii="Arial" w:cs="Arial" w:eastAsia="Arial" w:hAnsi="Arial"/>
                <w:sz w:val="13"/>
                <w:szCs w:val="13"/>
                <w:color w:val="auto"/>
              </w:rPr>
              <w:t>—</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40,934</w:t>
            </w:r>
          </w:p>
        </w:tc>
      </w:tr>
      <w:tr>
        <w:trPr>
          <w:trHeight w:val="178"/>
        </w:trPr>
        <w:tc>
          <w:tcPr>
            <w:tcW w:w="3240" w:type="dxa"/>
            <w:vAlign w:val="bottom"/>
          </w:tcPr>
          <w:p>
            <w:pPr>
              <w:ind w:left="20"/>
              <w:spacing w:after="0"/>
              <w:rPr>
                <w:sz w:val="20"/>
                <w:szCs w:val="20"/>
                <w:color w:val="auto"/>
              </w:rPr>
            </w:pPr>
            <w:r>
              <w:rPr>
                <w:rFonts w:ascii="Arial" w:cs="Arial" w:eastAsia="Arial" w:hAnsi="Arial"/>
                <w:sz w:val="13"/>
                <w:szCs w:val="13"/>
                <w:color w:val="auto"/>
              </w:rPr>
              <w:t>Private education loans</w:t>
            </w:r>
          </w:p>
        </w:tc>
        <w:tc>
          <w:tcPr>
            <w:tcW w:w="24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3"/>
                <w:szCs w:val="13"/>
                <w:color w:val="auto"/>
              </w:rPr>
              <w:t>10,838</w:t>
            </w:r>
          </w:p>
        </w:tc>
        <w:tc>
          <w:tcPr>
            <w:tcW w:w="100" w:type="dxa"/>
            <w:vAlign w:val="bottom"/>
          </w:tcPr>
          <w:p>
            <w:pPr>
              <w:spacing w:after="0"/>
              <w:rPr>
                <w:sz w:val="15"/>
                <w:szCs w:val="15"/>
                <w:color w:val="auto"/>
              </w:rPr>
            </w:pPr>
          </w:p>
        </w:tc>
        <w:tc>
          <w:tcPr>
            <w:tcW w:w="136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280" w:type="dxa"/>
            <w:vAlign w:val="bottom"/>
          </w:tcPr>
          <w:p>
            <w:pPr>
              <w:jc w:val="right"/>
              <w:spacing w:after="0"/>
              <w:rPr>
                <w:sz w:val="20"/>
                <w:szCs w:val="20"/>
                <w:color w:val="auto"/>
              </w:rPr>
            </w:pPr>
            <w:r>
              <w:rPr>
                <w:rFonts w:ascii="Arial" w:cs="Arial" w:eastAsia="Arial" w:hAnsi="Arial"/>
                <w:sz w:val="13"/>
                <w:szCs w:val="13"/>
                <w:color w:val="auto"/>
              </w:rPr>
              <w:t>(482)</w:t>
            </w:r>
          </w:p>
        </w:tc>
        <w:tc>
          <w:tcPr>
            <w:tcW w:w="100" w:type="dxa"/>
            <w:vAlign w:val="bottom"/>
          </w:tcPr>
          <w:p>
            <w:pPr>
              <w:spacing w:after="0"/>
              <w:rPr>
                <w:sz w:val="15"/>
                <w:szCs w:val="15"/>
                <w:color w:val="auto"/>
              </w:rPr>
            </w:pPr>
          </w:p>
        </w:tc>
        <w:tc>
          <w:tcPr>
            <w:tcW w:w="1280" w:type="dxa"/>
            <w:vAlign w:val="bottom"/>
          </w:tcPr>
          <w:p>
            <w:pPr>
              <w:jc w:val="right"/>
              <w:spacing w:after="0"/>
              <w:rPr>
                <w:sz w:val="20"/>
                <w:szCs w:val="20"/>
                <w:color w:val="auto"/>
              </w:rPr>
            </w:pPr>
            <w:r>
              <w:rPr>
                <w:rFonts w:ascii="Arial" w:cs="Arial" w:eastAsia="Arial" w:hAnsi="Arial"/>
                <w:sz w:val="13"/>
                <w:szCs w:val="13"/>
                <w:color w:val="auto"/>
              </w:rPr>
              <w:t>231</w:t>
            </w:r>
          </w:p>
        </w:tc>
        <w:tc>
          <w:tcPr>
            <w:tcW w:w="100" w:type="dxa"/>
            <w:vAlign w:val="bottom"/>
          </w:tcPr>
          <w:p>
            <w:pPr>
              <w:spacing w:after="0"/>
              <w:rPr>
                <w:sz w:val="15"/>
                <w:szCs w:val="15"/>
                <w:color w:val="auto"/>
              </w:rPr>
            </w:pPr>
          </w:p>
        </w:tc>
        <w:tc>
          <w:tcPr>
            <w:tcW w:w="1360" w:type="dxa"/>
            <w:vAlign w:val="bottom"/>
            <w:gridSpan w:val="2"/>
          </w:tcPr>
          <w:p>
            <w:pPr>
              <w:ind w:left="1080"/>
              <w:spacing w:after="0"/>
              <w:rPr>
                <w:sz w:val="20"/>
                <w:szCs w:val="20"/>
                <w:color w:val="auto"/>
              </w:rPr>
            </w:pPr>
            <w:r>
              <w:rPr>
                <w:rFonts w:ascii="Arial" w:cs="Arial" w:eastAsia="Arial" w:hAnsi="Arial"/>
                <w:sz w:val="13"/>
                <w:szCs w:val="13"/>
                <w:color w:val="auto"/>
              </w:rPr>
              <w:t>—</w:t>
            </w:r>
          </w:p>
        </w:tc>
        <w:tc>
          <w:tcPr>
            <w:tcW w:w="1300" w:type="dxa"/>
            <w:vAlign w:val="bottom"/>
          </w:tcPr>
          <w:p>
            <w:pPr>
              <w:jc w:val="right"/>
              <w:spacing w:after="0"/>
              <w:rPr>
                <w:sz w:val="20"/>
                <w:szCs w:val="20"/>
                <w:color w:val="auto"/>
              </w:rPr>
            </w:pPr>
            <w:r>
              <w:rPr>
                <w:rFonts w:ascii="Arial" w:cs="Arial" w:eastAsia="Arial" w:hAnsi="Arial"/>
                <w:sz w:val="13"/>
                <w:szCs w:val="13"/>
                <w:color w:val="auto"/>
              </w:rPr>
              <w:t>10,587</w:t>
            </w:r>
          </w:p>
        </w:tc>
      </w:tr>
      <w:tr>
        <w:trPr>
          <w:trHeight w:val="27"/>
        </w:trPr>
        <w:tc>
          <w:tcPr>
            <w:tcW w:w="32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05"/>
        </w:trPr>
        <w:tc>
          <w:tcPr>
            <w:tcW w:w="3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Consumer loans</w:t>
            </w:r>
          </w:p>
        </w:tc>
        <w:tc>
          <w:tcPr>
            <w:tcW w:w="240" w:type="dxa"/>
            <w:vAlign w:val="bottom"/>
            <w:tcBorders>
              <w:bottom w:val="single" w:sz="8" w:color="CCEEFF"/>
            </w:tcBorders>
            <w:shd w:val="clear" w:color="auto" w:fill="CCEEFF"/>
          </w:tcPr>
          <w:p>
            <w:pPr>
              <w:spacing w:after="0"/>
              <w:rPr>
                <w:sz w:val="17"/>
                <w:szCs w:val="17"/>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7,240</w:t>
            </w:r>
          </w:p>
        </w:tc>
        <w:tc>
          <w:tcPr>
            <w:tcW w:w="100" w:type="dxa"/>
            <w:vAlign w:val="bottom"/>
            <w:tcBorders>
              <w:bottom w:val="single" w:sz="8" w:color="CCEEFF"/>
            </w:tcBorders>
            <w:shd w:val="clear" w:color="auto" w:fill="CCEEFF"/>
          </w:tcPr>
          <w:p>
            <w:pPr>
              <w:spacing w:after="0"/>
              <w:rPr>
                <w:sz w:val="17"/>
                <w:szCs w:val="17"/>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5,000</w:t>
            </w:r>
          </w:p>
        </w:tc>
        <w:tc>
          <w:tcPr>
            <w:tcW w:w="100" w:type="dxa"/>
            <w:vAlign w:val="bottom"/>
            <w:tcBorders>
              <w:bottom w:val="single" w:sz="8" w:color="CCEEFF"/>
            </w:tcBorders>
            <w:shd w:val="clear" w:color="auto" w:fill="CCEEFF"/>
          </w:tcPr>
          <w:p>
            <w:pPr>
              <w:spacing w:after="0"/>
              <w:rPr>
                <w:sz w:val="17"/>
                <w:szCs w:val="17"/>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(2,006)</w:t>
            </w:r>
          </w:p>
        </w:tc>
        <w:tc>
          <w:tcPr>
            <w:tcW w:w="100" w:type="dxa"/>
            <w:vAlign w:val="bottom"/>
            <w:tcBorders>
              <w:bottom w:val="single" w:sz="8" w:color="CCEEFF"/>
            </w:tcBorders>
            <w:shd w:val="clear" w:color="auto" w:fill="CCEEFF"/>
          </w:tcPr>
          <w:p>
            <w:pPr>
              <w:spacing w:after="0"/>
              <w:rPr>
                <w:sz w:val="17"/>
                <w:szCs w:val="17"/>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23</w:t>
            </w:r>
          </w:p>
        </w:tc>
        <w:tc>
          <w:tcPr>
            <w:tcW w:w="100" w:type="dxa"/>
            <w:vAlign w:val="bottom"/>
            <w:tcBorders>
              <w:bottom w:val="single" w:sz="8" w:color="CCEEFF"/>
            </w:tcBorders>
            <w:shd w:val="clear" w:color="auto" w:fill="CCEEFF"/>
          </w:tcPr>
          <w:p>
            <w:pPr>
              <w:spacing w:after="0"/>
              <w:rPr>
                <w:sz w:val="17"/>
                <w:szCs w:val="17"/>
                <w:color w:val="auto"/>
              </w:rPr>
            </w:pPr>
          </w:p>
        </w:tc>
        <w:tc>
          <w:tcPr>
            <w:tcW w:w="1360" w:type="dxa"/>
            <w:vAlign w:val="bottom"/>
            <w:tcBorders>
              <w:bottom w:val="single" w:sz="8" w:color="CCEEFF"/>
            </w:tcBorders>
            <w:gridSpan w:val="2"/>
            <w:shd w:val="clear" w:color="auto" w:fill="CCEEFF"/>
          </w:tcPr>
          <w:p>
            <w:pPr>
              <w:ind w:left="1080"/>
              <w:spacing w:after="0"/>
              <w:rPr>
                <w:sz w:val="20"/>
                <w:szCs w:val="20"/>
                <w:color w:val="auto"/>
              </w:rPr>
            </w:pPr>
            <w:r>
              <w:rPr>
                <w:rFonts w:ascii="Arial" w:cs="Arial" w:eastAsia="Arial" w:hAnsi="Arial"/>
                <w:sz w:val="13"/>
                <w:szCs w:val="13"/>
                <w:color w:val="auto"/>
              </w:rPr>
              <w:t>—</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10,257</w:t>
            </w:r>
          </w:p>
        </w:tc>
      </w:tr>
      <w:tr>
        <w:trPr>
          <w:trHeight w:val="169"/>
        </w:trPr>
        <w:tc>
          <w:tcPr>
            <w:tcW w:w="3240" w:type="dxa"/>
            <w:vAlign w:val="bottom"/>
          </w:tcPr>
          <w:p>
            <w:pPr>
              <w:spacing w:after="0"/>
              <w:rPr>
                <w:sz w:val="14"/>
                <w:szCs w:val="14"/>
                <w:color w:val="auto"/>
              </w:rPr>
            </w:pPr>
          </w:p>
        </w:tc>
        <w:tc>
          <w:tcPr>
            <w:tcW w:w="240" w:type="dxa"/>
            <w:vAlign w:val="bottom"/>
            <w:tcBorders>
              <w:top w:val="single" w:sz="8" w:color="auto"/>
            </w:tcBorders>
          </w:tcPr>
          <w:p>
            <w:pPr>
              <w:jc w:val="right"/>
              <w:ind w:right="95"/>
              <w:spacing w:after="0"/>
              <w:rPr>
                <w:sz w:val="20"/>
                <w:szCs w:val="20"/>
                <w:color w:val="auto"/>
              </w:rPr>
            </w:pPr>
            <w:r>
              <w:rPr>
                <w:rFonts w:ascii="Arial" w:cs="Arial" w:eastAsia="Arial" w:hAnsi="Arial"/>
                <w:sz w:val="13"/>
                <w:szCs w:val="13"/>
                <w:color w:val="auto"/>
                <w:w w:val="82"/>
              </w:rPr>
              <w:t>$</w:t>
            </w: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60,388</w:t>
            </w:r>
          </w:p>
        </w:tc>
        <w:tc>
          <w:tcPr>
            <w:tcW w:w="100" w:type="dxa"/>
            <w:vAlign w:val="bottom"/>
          </w:tcPr>
          <w:p>
            <w:pPr>
              <w:spacing w:after="0"/>
              <w:rPr>
                <w:sz w:val="14"/>
                <w:szCs w:val="14"/>
                <w:color w:val="auto"/>
              </w:rPr>
            </w:pPr>
          </w:p>
        </w:tc>
        <w:tc>
          <w:tcPr>
            <w:tcW w:w="126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7,000</w:t>
            </w:r>
          </w:p>
        </w:tc>
        <w:tc>
          <w:tcPr>
            <w:tcW w:w="100" w:type="dxa"/>
            <w:vAlign w:val="bottom"/>
          </w:tcPr>
          <w:p>
            <w:pPr>
              <w:spacing w:after="0"/>
              <w:rPr>
                <w:sz w:val="14"/>
                <w:szCs w:val="14"/>
                <w:color w:val="auto"/>
              </w:rPr>
            </w:pP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(5,864)</w:t>
            </w:r>
          </w:p>
        </w:tc>
        <w:tc>
          <w:tcPr>
            <w:tcW w:w="100" w:type="dxa"/>
            <w:vAlign w:val="bottom"/>
          </w:tcPr>
          <w:p>
            <w:pPr>
              <w:spacing w:after="0"/>
              <w:rPr>
                <w:sz w:val="14"/>
                <w:szCs w:val="14"/>
                <w:color w:val="auto"/>
              </w:rPr>
            </w:pP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254</w:t>
            </w:r>
          </w:p>
        </w:tc>
        <w:tc>
          <w:tcPr>
            <w:tcW w:w="100" w:type="dxa"/>
            <w:vAlign w:val="bottom"/>
          </w:tcPr>
          <w:p>
            <w:pPr>
              <w:spacing w:after="0"/>
              <w:rPr>
                <w:sz w:val="14"/>
                <w:szCs w:val="14"/>
                <w:color w:val="auto"/>
              </w:rPr>
            </w:pPr>
          </w:p>
        </w:tc>
        <w:tc>
          <w:tcPr>
            <w:tcW w:w="1260" w:type="dxa"/>
            <w:vAlign w:val="bottom"/>
            <w:tcBorders>
              <w:top w:val="single" w:sz="8" w:color="auto"/>
            </w:tcBorders>
          </w:tcPr>
          <w:p>
            <w:pPr>
              <w:ind w:left="108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130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61,778</w:t>
            </w:r>
          </w:p>
        </w:tc>
      </w:tr>
      <w:tr>
        <w:trPr>
          <w:trHeight w:val="27"/>
        </w:trPr>
        <w:tc>
          <w:tcPr>
            <w:tcW w:w="324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0"/>
        </w:trPr>
        <w:tc>
          <w:tcPr>
            <w:tcW w:w="324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r>
      <w:tr>
        <w:trPr>
          <w:trHeight w:val="177"/>
        </w:trPr>
        <w:tc>
          <w:tcPr>
            <w:tcW w:w="324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10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bl>
    <w:p>
      <w:pPr>
        <w:spacing w:after="0" w:line="11"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32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00" w:type="dxa"/>
            <w:vAlign w:val="bottom"/>
            <w:gridSpan w:val="3"/>
          </w:tcPr>
          <w:p>
            <w:pPr>
              <w:ind w:left="340"/>
              <w:spacing w:after="0"/>
              <w:rPr>
                <w:sz w:val="20"/>
                <w:szCs w:val="20"/>
                <w:color w:val="auto"/>
              </w:rPr>
            </w:pPr>
            <w:r>
              <w:rPr>
                <w:rFonts w:ascii="Arial" w:cs="Arial" w:eastAsia="Arial" w:hAnsi="Arial"/>
                <w:sz w:val="13"/>
                <w:szCs w:val="13"/>
                <w:b w:val="1"/>
                <w:bCs w:val="1"/>
                <w:color w:val="auto"/>
                <w:w w:val="91"/>
              </w:rPr>
              <w:t>Three months ended March 31, 2018</w:t>
            </w: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27"/>
        </w:trPr>
        <w:tc>
          <w:tcPr>
            <w:tcW w:w="324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176"/>
        </w:trPr>
        <w:tc>
          <w:tcPr>
            <w:tcW w:w="3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Federally insured loans</w:t>
            </w:r>
          </w:p>
        </w:tc>
        <w:tc>
          <w:tcPr>
            <w:tcW w:w="480" w:type="dxa"/>
            <w:vAlign w:val="bottom"/>
            <w:tcBorders>
              <w:bottom w:val="single" w:sz="8" w:color="CCEEFF"/>
            </w:tcBorders>
            <w:shd w:val="clear" w:color="auto" w:fill="CCEEFF"/>
          </w:tcPr>
          <w:p>
            <w:pPr>
              <w:jc w:val="right"/>
              <w:ind w:right="335"/>
              <w:spacing w:after="0"/>
              <w:rPr>
                <w:sz w:val="20"/>
                <w:szCs w:val="20"/>
                <w:color w:val="auto"/>
              </w:rPr>
            </w:pPr>
            <w:r>
              <w:rPr>
                <w:rFonts w:ascii="Arial" w:cs="Arial" w:eastAsia="Arial" w:hAnsi="Arial"/>
                <w:sz w:val="13"/>
                <w:szCs w:val="13"/>
                <w:color w:val="auto"/>
                <w:w w:val="82"/>
              </w:rPr>
              <w:t>$</w:t>
            </w: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38,706</w:t>
            </w:r>
          </w:p>
        </w:tc>
        <w:tc>
          <w:tcPr>
            <w:tcW w:w="100" w:type="dxa"/>
            <w:vAlign w:val="bottom"/>
            <w:tcBorders>
              <w:bottom w:val="single" w:sz="8" w:color="CCEEFF"/>
            </w:tcBorders>
            <w:shd w:val="clear" w:color="auto" w:fill="CCEEFF"/>
          </w:tcPr>
          <w:p>
            <w:pPr>
              <w:spacing w:after="0"/>
              <w:rPr>
                <w:sz w:val="15"/>
                <w:szCs w:val="15"/>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2,000</w:t>
            </w:r>
          </w:p>
        </w:tc>
        <w:tc>
          <w:tcPr>
            <w:tcW w:w="100" w:type="dxa"/>
            <w:vAlign w:val="bottom"/>
            <w:tcBorders>
              <w:bottom w:val="single" w:sz="8" w:color="CCEEFF"/>
            </w:tcBorders>
            <w:shd w:val="clear" w:color="auto" w:fill="CCEEFF"/>
          </w:tcPr>
          <w:p>
            <w:pPr>
              <w:spacing w:after="0"/>
              <w:rPr>
                <w:sz w:val="15"/>
                <w:szCs w:val="15"/>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(3,332)</w:t>
            </w:r>
          </w:p>
        </w:tc>
        <w:tc>
          <w:tcPr>
            <w:tcW w:w="100" w:type="dxa"/>
            <w:vAlign w:val="bottom"/>
            <w:tcBorders>
              <w:bottom w:val="single" w:sz="8" w:color="CCEEFF"/>
            </w:tcBorders>
            <w:shd w:val="clear" w:color="auto" w:fill="CCEEFF"/>
          </w:tcPr>
          <w:p>
            <w:pPr>
              <w:spacing w:after="0"/>
              <w:rPr>
                <w:sz w:val="15"/>
                <w:szCs w:val="15"/>
                <w:color w:val="auto"/>
              </w:rPr>
            </w:pPr>
          </w:p>
        </w:tc>
        <w:tc>
          <w:tcPr>
            <w:tcW w:w="1020" w:type="dxa"/>
            <w:vAlign w:val="bottom"/>
            <w:tcBorders>
              <w:bottom w:val="single" w:sz="8" w:color="CCEEFF"/>
            </w:tcBorders>
            <w:shd w:val="clear" w:color="auto" w:fill="CCEEFF"/>
          </w:tcPr>
          <w:p>
            <w:pPr>
              <w:spacing w:after="0"/>
              <w:rPr>
                <w:sz w:val="15"/>
                <w:szCs w:val="15"/>
                <w:color w:val="auto"/>
              </w:rPr>
            </w:pPr>
          </w:p>
        </w:tc>
        <w:tc>
          <w:tcPr>
            <w:tcW w:w="36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1,000</w:t>
            </w:r>
          </w:p>
        </w:tc>
        <w:tc>
          <w:tcPr>
            <w:tcW w:w="100" w:type="dxa"/>
            <w:vAlign w:val="bottom"/>
            <w:tcBorders>
              <w:bottom w:val="single" w:sz="8" w:color="CCEEFF"/>
            </w:tcBorders>
            <w:shd w:val="clear" w:color="auto" w:fill="CCEEFF"/>
          </w:tcPr>
          <w:p>
            <w:pPr>
              <w:spacing w:after="0"/>
              <w:rPr>
                <w:sz w:val="15"/>
                <w:szCs w:val="15"/>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38,374</w:t>
            </w:r>
          </w:p>
        </w:tc>
      </w:tr>
      <w:tr>
        <w:trPr>
          <w:trHeight w:val="178"/>
        </w:trPr>
        <w:tc>
          <w:tcPr>
            <w:tcW w:w="3240" w:type="dxa"/>
            <w:vAlign w:val="bottom"/>
          </w:tcPr>
          <w:p>
            <w:pPr>
              <w:ind w:left="20"/>
              <w:spacing w:after="0"/>
              <w:rPr>
                <w:sz w:val="20"/>
                <w:szCs w:val="20"/>
                <w:color w:val="auto"/>
              </w:rPr>
            </w:pPr>
            <w:r>
              <w:rPr>
                <w:rFonts w:ascii="Arial" w:cs="Arial" w:eastAsia="Arial" w:hAnsi="Arial"/>
                <w:sz w:val="13"/>
                <w:szCs w:val="13"/>
                <w:color w:val="auto"/>
              </w:rPr>
              <w:t>Private education loans</w:t>
            </w:r>
          </w:p>
        </w:tc>
        <w:tc>
          <w:tcPr>
            <w:tcW w:w="480" w:type="dxa"/>
            <w:vAlign w:val="bottom"/>
          </w:tcPr>
          <w:p>
            <w:pPr>
              <w:spacing w:after="0"/>
              <w:rPr>
                <w:sz w:val="15"/>
                <w:szCs w:val="15"/>
                <w:color w:val="auto"/>
              </w:rPr>
            </w:pPr>
          </w:p>
        </w:tc>
        <w:tc>
          <w:tcPr>
            <w:tcW w:w="780" w:type="dxa"/>
            <w:vAlign w:val="bottom"/>
          </w:tcPr>
          <w:p>
            <w:pPr>
              <w:jc w:val="right"/>
              <w:spacing w:after="0"/>
              <w:rPr>
                <w:sz w:val="20"/>
                <w:szCs w:val="20"/>
                <w:color w:val="auto"/>
              </w:rPr>
            </w:pPr>
            <w:r>
              <w:rPr>
                <w:rFonts w:ascii="Arial" w:cs="Arial" w:eastAsia="Arial" w:hAnsi="Arial"/>
                <w:sz w:val="13"/>
                <w:szCs w:val="13"/>
                <w:color w:val="auto"/>
              </w:rPr>
              <w:t>12,629</w:t>
            </w:r>
          </w:p>
        </w:tc>
        <w:tc>
          <w:tcPr>
            <w:tcW w:w="100" w:type="dxa"/>
            <w:vAlign w:val="bottom"/>
          </w:tcPr>
          <w:p>
            <w:pPr>
              <w:spacing w:after="0"/>
              <w:rPr>
                <w:sz w:val="15"/>
                <w:szCs w:val="15"/>
                <w:color w:val="auto"/>
              </w:rPr>
            </w:pPr>
          </w:p>
        </w:tc>
        <w:tc>
          <w:tcPr>
            <w:tcW w:w="136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280" w:type="dxa"/>
            <w:vAlign w:val="bottom"/>
          </w:tcPr>
          <w:p>
            <w:pPr>
              <w:jc w:val="right"/>
              <w:spacing w:after="0"/>
              <w:rPr>
                <w:sz w:val="20"/>
                <w:szCs w:val="20"/>
                <w:color w:val="auto"/>
              </w:rPr>
            </w:pPr>
            <w:r>
              <w:rPr>
                <w:rFonts w:ascii="Arial" w:cs="Arial" w:eastAsia="Arial" w:hAnsi="Arial"/>
                <w:sz w:val="13"/>
                <w:szCs w:val="13"/>
                <w:color w:val="auto"/>
              </w:rPr>
              <w:t>(539)</w:t>
            </w:r>
          </w:p>
        </w:tc>
        <w:tc>
          <w:tcPr>
            <w:tcW w:w="10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260" w:type="dxa"/>
            <w:vAlign w:val="bottom"/>
          </w:tcPr>
          <w:p>
            <w:pPr>
              <w:jc w:val="right"/>
              <w:spacing w:after="0"/>
              <w:rPr>
                <w:sz w:val="20"/>
                <w:szCs w:val="20"/>
                <w:color w:val="auto"/>
              </w:rPr>
            </w:pPr>
            <w:r>
              <w:rPr>
                <w:rFonts w:ascii="Arial" w:cs="Arial" w:eastAsia="Arial" w:hAnsi="Arial"/>
                <w:sz w:val="13"/>
                <w:szCs w:val="13"/>
                <w:color w:val="auto"/>
                <w:w w:val="92"/>
              </w:rPr>
              <w:t>165</w:t>
            </w:r>
          </w:p>
        </w:tc>
        <w:tc>
          <w:tcPr>
            <w:tcW w:w="100" w:type="dxa"/>
            <w:vAlign w:val="bottom"/>
          </w:tcPr>
          <w:p>
            <w:pPr>
              <w:spacing w:after="0"/>
              <w:rPr>
                <w:sz w:val="15"/>
                <w:szCs w:val="15"/>
                <w:color w:val="auto"/>
              </w:rPr>
            </w:pPr>
          </w:p>
        </w:tc>
        <w:tc>
          <w:tcPr>
            <w:tcW w:w="136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300" w:type="dxa"/>
            <w:vAlign w:val="bottom"/>
          </w:tcPr>
          <w:p>
            <w:pPr>
              <w:jc w:val="right"/>
              <w:spacing w:after="0"/>
              <w:rPr>
                <w:sz w:val="20"/>
                <w:szCs w:val="20"/>
                <w:color w:val="auto"/>
              </w:rPr>
            </w:pPr>
            <w:r>
              <w:rPr>
                <w:rFonts w:ascii="Arial" w:cs="Arial" w:eastAsia="Arial" w:hAnsi="Arial"/>
                <w:sz w:val="13"/>
                <w:szCs w:val="13"/>
                <w:color w:val="auto"/>
              </w:rPr>
              <w:t>12,255</w:t>
            </w:r>
          </w:p>
        </w:tc>
      </w:tr>
      <w:tr>
        <w:trPr>
          <w:trHeight w:val="27"/>
        </w:trPr>
        <w:tc>
          <w:tcPr>
            <w:tcW w:w="3240" w:type="dxa"/>
            <w:vAlign w:val="bottom"/>
          </w:tcPr>
          <w:p>
            <w:pPr>
              <w:spacing w:after="0"/>
              <w:rPr>
                <w:sz w:val="2"/>
                <w:szCs w:val="2"/>
                <w:color w:val="auto"/>
              </w:rPr>
            </w:pPr>
          </w:p>
        </w:tc>
        <w:tc>
          <w:tcPr>
            <w:tcW w:w="48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05"/>
        </w:trPr>
        <w:tc>
          <w:tcPr>
            <w:tcW w:w="3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Consumer loans</w:t>
            </w:r>
          </w:p>
        </w:tc>
        <w:tc>
          <w:tcPr>
            <w:tcW w:w="480" w:type="dxa"/>
            <w:vAlign w:val="bottom"/>
            <w:tcBorders>
              <w:bottom w:val="single" w:sz="8" w:color="CCEEFF"/>
            </w:tcBorders>
            <w:shd w:val="clear" w:color="auto" w:fill="CCEEFF"/>
          </w:tcPr>
          <w:p>
            <w:pPr>
              <w:spacing w:after="0"/>
              <w:rPr>
                <w:sz w:val="17"/>
                <w:szCs w:val="17"/>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3,255</w:t>
            </w:r>
          </w:p>
        </w:tc>
        <w:tc>
          <w:tcPr>
            <w:tcW w:w="100" w:type="dxa"/>
            <w:vAlign w:val="bottom"/>
            <w:tcBorders>
              <w:bottom w:val="single" w:sz="8" w:color="CCEEFF"/>
            </w:tcBorders>
            <w:shd w:val="clear" w:color="auto" w:fill="CCEEFF"/>
          </w:tcPr>
          <w:p>
            <w:pPr>
              <w:spacing w:after="0"/>
              <w:rPr>
                <w:sz w:val="17"/>
                <w:szCs w:val="17"/>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2,000</w:t>
            </w:r>
          </w:p>
        </w:tc>
        <w:tc>
          <w:tcPr>
            <w:tcW w:w="100" w:type="dxa"/>
            <w:vAlign w:val="bottom"/>
            <w:tcBorders>
              <w:bottom w:val="single" w:sz="8" w:color="CCEEFF"/>
            </w:tcBorders>
            <w:shd w:val="clear" w:color="auto" w:fill="CCEEFF"/>
          </w:tcPr>
          <w:p>
            <w:pPr>
              <w:spacing w:after="0"/>
              <w:rPr>
                <w:sz w:val="17"/>
                <w:szCs w:val="17"/>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(595)</w:t>
            </w:r>
          </w:p>
        </w:tc>
        <w:tc>
          <w:tcPr>
            <w:tcW w:w="100" w:type="dxa"/>
            <w:vAlign w:val="bottom"/>
            <w:tcBorders>
              <w:bottom w:val="single" w:sz="8" w:color="CCEEFF"/>
            </w:tcBorders>
            <w:shd w:val="clear" w:color="auto" w:fill="CCEEFF"/>
          </w:tcPr>
          <w:p>
            <w:pPr>
              <w:spacing w:after="0"/>
              <w:rPr>
                <w:sz w:val="17"/>
                <w:szCs w:val="17"/>
                <w:color w:val="auto"/>
              </w:rPr>
            </w:pPr>
          </w:p>
        </w:tc>
        <w:tc>
          <w:tcPr>
            <w:tcW w:w="102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5</w:t>
            </w:r>
          </w:p>
        </w:tc>
        <w:tc>
          <w:tcPr>
            <w:tcW w:w="100" w:type="dxa"/>
            <w:vAlign w:val="bottom"/>
            <w:tcBorders>
              <w:bottom w:val="single" w:sz="8" w:color="CCEEFF"/>
            </w:tcBorders>
            <w:shd w:val="clear" w:color="auto" w:fill="CCEEFF"/>
          </w:tcPr>
          <w:p>
            <w:pPr>
              <w:spacing w:after="0"/>
              <w:rPr>
                <w:sz w:val="17"/>
                <w:szCs w:val="17"/>
                <w:color w:val="auto"/>
              </w:rPr>
            </w:pPr>
          </w:p>
        </w:tc>
        <w:tc>
          <w:tcPr>
            <w:tcW w:w="136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4,665</w:t>
            </w:r>
          </w:p>
        </w:tc>
      </w:tr>
      <w:tr>
        <w:trPr>
          <w:trHeight w:val="169"/>
        </w:trPr>
        <w:tc>
          <w:tcPr>
            <w:tcW w:w="3240" w:type="dxa"/>
            <w:vAlign w:val="bottom"/>
          </w:tcPr>
          <w:p>
            <w:pPr>
              <w:spacing w:after="0"/>
              <w:rPr>
                <w:sz w:val="14"/>
                <w:szCs w:val="14"/>
                <w:color w:val="auto"/>
              </w:rPr>
            </w:pPr>
          </w:p>
        </w:tc>
        <w:tc>
          <w:tcPr>
            <w:tcW w:w="480" w:type="dxa"/>
            <w:vAlign w:val="bottom"/>
            <w:tcBorders>
              <w:top w:val="single" w:sz="8" w:color="auto"/>
            </w:tcBorders>
          </w:tcPr>
          <w:p>
            <w:pPr>
              <w:jc w:val="right"/>
              <w:ind w:right="335"/>
              <w:spacing w:after="0"/>
              <w:rPr>
                <w:sz w:val="20"/>
                <w:szCs w:val="20"/>
                <w:color w:val="auto"/>
              </w:rPr>
            </w:pPr>
            <w:r>
              <w:rPr>
                <w:rFonts w:ascii="Arial" w:cs="Arial" w:eastAsia="Arial" w:hAnsi="Arial"/>
                <w:sz w:val="13"/>
                <w:szCs w:val="13"/>
                <w:color w:val="auto"/>
                <w:w w:val="82"/>
              </w:rPr>
              <w:t>$</w:t>
            </w: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54,590</w:t>
            </w:r>
          </w:p>
        </w:tc>
        <w:tc>
          <w:tcPr>
            <w:tcW w:w="100" w:type="dxa"/>
            <w:vAlign w:val="bottom"/>
          </w:tcPr>
          <w:p>
            <w:pPr>
              <w:spacing w:after="0"/>
              <w:rPr>
                <w:sz w:val="14"/>
                <w:szCs w:val="14"/>
                <w:color w:val="auto"/>
              </w:rPr>
            </w:pPr>
          </w:p>
        </w:tc>
        <w:tc>
          <w:tcPr>
            <w:tcW w:w="126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4,000</w:t>
            </w:r>
          </w:p>
        </w:tc>
        <w:tc>
          <w:tcPr>
            <w:tcW w:w="100" w:type="dxa"/>
            <w:vAlign w:val="bottom"/>
          </w:tcPr>
          <w:p>
            <w:pPr>
              <w:spacing w:after="0"/>
              <w:rPr>
                <w:sz w:val="14"/>
                <w:szCs w:val="14"/>
                <w:color w:val="auto"/>
              </w:rPr>
            </w:pP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(4,466)</w:t>
            </w:r>
          </w:p>
        </w:tc>
        <w:tc>
          <w:tcPr>
            <w:tcW w:w="100" w:type="dxa"/>
            <w:vAlign w:val="bottom"/>
          </w:tcPr>
          <w:p>
            <w:pPr>
              <w:spacing w:after="0"/>
              <w:rPr>
                <w:sz w:val="14"/>
                <w:szCs w:val="14"/>
                <w:color w:val="auto"/>
              </w:rPr>
            </w:pPr>
          </w:p>
        </w:tc>
        <w:tc>
          <w:tcPr>
            <w:tcW w:w="1020" w:type="dxa"/>
            <w:vAlign w:val="bottom"/>
            <w:tcBorders>
              <w:top w:val="single" w:sz="8" w:color="auto"/>
            </w:tcBorders>
          </w:tcPr>
          <w:p>
            <w:pPr>
              <w:spacing w:after="0"/>
              <w:rPr>
                <w:sz w:val="14"/>
                <w:szCs w:val="14"/>
                <w:color w:val="auto"/>
              </w:rPr>
            </w:pPr>
          </w:p>
        </w:tc>
        <w:tc>
          <w:tcPr>
            <w:tcW w:w="26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w w:val="92"/>
              </w:rPr>
              <w:t>170</w:t>
            </w:r>
          </w:p>
        </w:tc>
        <w:tc>
          <w:tcPr>
            <w:tcW w:w="100" w:type="dxa"/>
            <w:vAlign w:val="bottom"/>
          </w:tcPr>
          <w:p>
            <w:pPr>
              <w:spacing w:after="0"/>
              <w:rPr>
                <w:sz w:val="14"/>
                <w:szCs w:val="14"/>
                <w:color w:val="auto"/>
              </w:rPr>
            </w:pPr>
          </w:p>
        </w:tc>
        <w:tc>
          <w:tcPr>
            <w:tcW w:w="126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1,000</w:t>
            </w:r>
          </w:p>
        </w:tc>
        <w:tc>
          <w:tcPr>
            <w:tcW w:w="100" w:type="dxa"/>
            <w:vAlign w:val="bottom"/>
          </w:tcPr>
          <w:p>
            <w:pPr>
              <w:spacing w:after="0"/>
              <w:rPr>
                <w:sz w:val="14"/>
                <w:szCs w:val="14"/>
                <w:color w:val="auto"/>
              </w:rPr>
            </w:pPr>
          </w:p>
        </w:tc>
        <w:tc>
          <w:tcPr>
            <w:tcW w:w="130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55,294</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jc w:val="center"/>
        <w:ind w:right="-79"/>
        <w:spacing w:after="0"/>
        <w:rPr>
          <w:sz w:val="20"/>
          <w:szCs w:val="20"/>
          <w:color w:val="auto"/>
        </w:rPr>
      </w:pPr>
      <w:r>
        <w:rPr>
          <w:rFonts w:ascii="Arial" w:cs="Arial" w:eastAsia="Arial" w:hAnsi="Arial"/>
          <w:sz w:val="14"/>
          <w:szCs w:val="14"/>
          <w:color w:val="auto"/>
        </w:rPr>
        <w:t>11</w:t>
      </w:r>
    </w:p>
    <w:p>
      <w:pPr>
        <w:sectPr>
          <w:pgSz w:w="11900" w:h="16838" w:orient="portrait"/>
          <w:cols w:equalWidth="0" w:num="1">
            <w:col w:w="11380"/>
          </w:cols>
          <w:pgMar w:left="220" w:top="739" w:right="299" w:bottom="1440" w:gutter="0" w:footer="0" w:header="0"/>
        </w:sectPr>
      </w:pPr>
    </w:p>
    <w:bookmarkStart w:id="12" w:name="page13"/>
    <w:bookmarkEnd w:id="12"/>
    <w:p>
      <w:pPr>
        <w:spacing w:after="0"/>
        <w:rPr>
          <w:sz w:val="20"/>
          <w:szCs w:val="20"/>
          <w:color w:val="auto"/>
        </w:rPr>
      </w:pPr>
      <w:r>
        <w:rPr>
          <w:rFonts w:ascii="Arial" w:cs="Arial" w:eastAsia="Arial" w:hAnsi="Arial"/>
          <w:sz w:val="14"/>
          <w:szCs w:val="14"/>
          <w:b w:val="1"/>
          <w:bCs w:val="1"/>
          <w:i w:val="1"/>
          <w:iCs w:val="1"/>
          <w:color w:val="auto"/>
        </w:rPr>
        <w:t>Loan Status and Delinquencies</w:t>
      </w:r>
    </w:p>
    <w:p>
      <w:pPr>
        <w:spacing w:after="0" w:line="141" w:lineRule="exact"/>
        <w:rPr>
          <w:sz w:val="20"/>
          <w:szCs w:val="20"/>
          <w:color w:val="auto"/>
        </w:rPr>
      </w:pPr>
    </w:p>
    <w:p>
      <w:pPr>
        <w:spacing w:after="0" w:line="288" w:lineRule="auto"/>
        <w:rPr>
          <w:sz w:val="20"/>
          <w:szCs w:val="20"/>
          <w:color w:val="auto"/>
        </w:rPr>
      </w:pPr>
      <w:r>
        <w:rPr>
          <w:rFonts w:ascii="Arial" w:cs="Arial" w:eastAsia="Arial" w:hAnsi="Arial"/>
          <w:sz w:val="14"/>
          <w:szCs w:val="14"/>
          <w:color w:val="auto"/>
        </w:rPr>
        <w:t>Delinquencies have the potential to adversely impact the Company’s earnings through increased servicing and collection costs and account charge-offs. The table below shows the Company’s loan delinquency amounts.</w:t>
      </w:r>
    </w:p>
    <w:p>
      <w:pPr>
        <w:spacing w:after="0" w:line="45" w:lineRule="exact"/>
        <w:rPr>
          <w:sz w:val="20"/>
          <w:szCs w:val="20"/>
          <w:color w:val="auto"/>
        </w:rPr>
      </w:pPr>
    </w:p>
    <w:tbl>
      <w:tblPr>
        <w:tblLayout w:type="fixed"/>
        <w:tblInd w:w="200" w:type="dxa"/>
        <w:tblCellMar>
          <w:top w:w="0" w:type="dxa"/>
          <w:left w:w="0" w:type="dxa"/>
          <w:bottom w:w="0" w:type="dxa"/>
          <w:right w:w="0" w:type="dxa"/>
        </w:tblCellMar>
      </w:tblPr>
      <w:tr>
        <w:trPr>
          <w:trHeight w:val="167"/>
        </w:trPr>
        <w:tc>
          <w:tcPr>
            <w:tcW w:w="38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500" w:type="dxa"/>
            <w:vAlign w:val="bottom"/>
            <w:gridSpan w:val="3"/>
          </w:tcPr>
          <w:p>
            <w:pPr>
              <w:ind w:left="260"/>
              <w:spacing w:after="0"/>
              <w:rPr>
                <w:sz w:val="20"/>
                <w:szCs w:val="20"/>
                <w:color w:val="auto"/>
              </w:rPr>
            </w:pPr>
            <w:r>
              <w:rPr>
                <w:rFonts w:ascii="Arial" w:cs="Arial" w:eastAsia="Arial" w:hAnsi="Arial"/>
                <w:sz w:val="13"/>
                <w:szCs w:val="13"/>
                <w:b w:val="1"/>
                <w:bCs w:val="1"/>
                <w:color w:val="auto"/>
                <w:w w:val="94"/>
              </w:rPr>
              <w:t>As of March 31, 2019</w:t>
            </w:r>
          </w:p>
        </w:tc>
        <w:tc>
          <w:tcPr>
            <w:tcW w:w="4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600" w:type="dxa"/>
            <w:vAlign w:val="bottom"/>
            <w:gridSpan w:val="3"/>
          </w:tcPr>
          <w:p>
            <w:pPr>
              <w:ind w:left="200"/>
              <w:spacing w:after="0"/>
              <w:rPr>
                <w:sz w:val="20"/>
                <w:szCs w:val="20"/>
                <w:color w:val="auto"/>
              </w:rPr>
            </w:pPr>
            <w:r>
              <w:rPr>
                <w:rFonts w:ascii="Arial" w:cs="Arial" w:eastAsia="Arial" w:hAnsi="Arial"/>
                <w:sz w:val="13"/>
                <w:szCs w:val="13"/>
                <w:b w:val="1"/>
                <w:bCs w:val="1"/>
                <w:color w:val="auto"/>
                <w:w w:val="90"/>
              </w:rPr>
              <w:t>As of December 31, 2018</w:t>
            </w:r>
          </w:p>
        </w:tc>
        <w:tc>
          <w:tcPr>
            <w:tcW w:w="3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460" w:type="dxa"/>
            <w:vAlign w:val="bottom"/>
            <w:gridSpan w:val="3"/>
          </w:tcPr>
          <w:p>
            <w:pPr>
              <w:ind w:left="240"/>
              <w:spacing w:after="0"/>
              <w:rPr>
                <w:sz w:val="20"/>
                <w:szCs w:val="20"/>
                <w:color w:val="auto"/>
              </w:rPr>
            </w:pPr>
            <w:r>
              <w:rPr>
                <w:rFonts w:ascii="Arial" w:cs="Arial" w:eastAsia="Arial" w:hAnsi="Arial"/>
                <w:sz w:val="13"/>
                <w:szCs w:val="13"/>
                <w:b w:val="1"/>
                <w:bCs w:val="1"/>
                <w:color w:val="auto"/>
                <w:w w:val="93"/>
              </w:rPr>
              <w:t>As of March 31, 2018</w:t>
            </w:r>
          </w:p>
        </w:tc>
        <w:tc>
          <w:tcPr>
            <w:tcW w:w="3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7"/>
        </w:trPr>
        <w:tc>
          <w:tcPr>
            <w:tcW w:w="3820" w:type="dxa"/>
            <w:vAlign w:val="bottom"/>
            <w:vMerge w:val="restart"/>
          </w:tcPr>
          <w:p>
            <w:pPr>
              <w:spacing w:after="0"/>
              <w:rPr>
                <w:sz w:val="20"/>
                <w:szCs w:val="20"/>
                <w:color w:val="auto"/>
              </w:rPr>
            </w:pPr>
            <w:r>
              <w:rPr>
                <w:rFonts w:ascii="Arial" w:cs="Arial" w:eastAsia="Arial" w:hAnsi="Arial"/>
                <w:sz w:val="13"/>
                <w:szCs w:val="13"/>
                <w:b w:val="1"/>
                <w:bCs w:val="1"/>
                <w:color w:val="auto"/>
              </w:rPr>
              <w:t>Federally insured loans:</w:t>
            </w:r>
          </w:p>
        </w:tc>
        <w:tc>
          <w:tcPr>
            <w:tcW w:w="3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3"/>
        </w:trPr>
        <w:tc>
          <w:tcPr>
            <w:tcW w:w="3820" w:type="dxa"/>
            <w:vAlign w:val="bottom"/>
            <w:vMerge w:val="continue"/>
          </w:tcPr>
          <w:p>
            <w:pPr>
              <w:spacing w:after="0"/>
              <w:rPr>
                <w:sz w:val="16"/>
                <w:szCs w:val="16"/>
                <w:color w:val="auto"/>
              </w:rPr>
            </w:pPr>
          </w:p>
        </w:tc>
        <w:tc>
          <w:tcPr>
            <w:tcW w:w="32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38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Loans in-school/grace/deferment</w:t>
            </w:r>
          </w:p>
        </w:tc>
        <w:tc>
          <w:tcPr>
            <w:tcW w:w="320" w:type="dxa"/>
            <w:vAlign w:val="bottom"/>
            <w:tcBorders>
              <w:bottom w:val="single" w:sz="8" w:color="CCEEFF"/>
            </w:tcBorders>
            <w:shd w:val="clear" w:color="auto" w:fill="CCEEFF"/>
          </w:tcPr>
          <w:p>
            <w:pPr>
              <w:jc w:val="right"/>
              <w:ind w:right="212"/>
              <w:spacing w:after="0"/>
              <w:rPr>
                <w:sz w:val="20"/>
                <w:szCs w:val="20"/>
                <w:color w:val="auto"/>
              </w:rPr>
            </w:pPr>
            <w:r>
              <w:rPr>
                <w:rFonts w:ascii="Arial" w:cs="Arial" w:eastAsia="Arial" w:hAnsi="Arial"/>
                <w:sz w:val="10"/>
                <w:szCs w:val="10"/>
                <w:color w:val="auto"/>
                <w:w w:val="71"/>
              </w:rPr>
              <w:t>$</w:t>
            </w: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1,288,011</w:t>
            </w:r>
          </w:p>
        </w:tc>
        <w:tc>
          <w:tcPr>
            <w:tcW w:w="100" w:type="dxa"/>
            <w:vAlign w:val="bottom"/>
            <w:tcBorders>
              <w:bottom w:val="single" w:sz="8" w:color="CCEEFF"/>
            </w:tcBorders>
            <w:shd w:val="clear" w:color="auto" w:fill="CCEEFF"/>
          </w:tcPr>
          <w:p>
            <w:pPr>
              <w:spacing w:after="0"/>
              <w:rPr>
                <w:sz w:val="16"/>
                <w:szCs w:val="16"/>
                <w:color w:val="auto"/>
              </w:rPr>
            </w:pPr>
          </w:p>
        </w:tc>
        <w:tc>
          <w:tcPr>
            <w:tcW w:w="440" w:type="dxa"/>
            <w:vAlign w:val="bottom"/>
            <w:tcBorders>
              <w:bottom w:val="single" w:sz="8" w:color="CCEEFF"/>
            </w:tcBorders>
            <w:shd w:val="clear" w:color="auto" w:fill="CCEEFF"/>
          </w:tcPr>
          <w:p>
            <w:pPr>
              <w:spacing w:after="0"/>
              <w:rPr>
                <w:sz w:val="16"/>
                <w:szCs w:val="16"/>
                <w:color w:val="auto"/>
              </w:rPr>
            </w:pPr>
          </w:p>
        </w:tc>
        <w:tc>
          <w:tcPr>
            <w:tcW w:w="400" w:type="dxa"/>
            <w:vAlign w:val="bottom"/>
            <w:tcBorders>
              <w:bottom w:val="single" w:sz="8" w:color="CCEEFF"/>
            </w:tcBorders>
            <w:shd w:val="clear" w:color="auto" w:fill="CCEEFF"/>
          </w:tcPr>
          <w:p>
            <w:pPr>
              <w:spacing w:after="0"/>
              <w:rPr>
                <w:sz w:val="16"/>
                <w:szCs w:val="16"/>
                <w:color w:val="auto"/>
              </w:rPr>
            </w:pPr>
          </w:p>
        </w:tc>
        <w:tc>
          <w:tcPr>
            <w:tcW w:w="14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300" w:type="dxa"/>
            <w:vAlign w:val="bottom"/>
            <w:tcBorders>
              <w:bottom w:val="single" w:sz="8" w:color="CCEEFF"/>
            </w:tcBorders>
            <w:shd w:val="clear" w:color="auto" w:fill="CCEEFF"/>
          </w:tcPr>
          <w:p>
            <w:pPr>
              <w:jc w:val="right"/>
              <w:ind w:right="155"/>
              <w:spacing w:after="0"/>
              <w:rPr>
                <w:sz w:val="20"/>
                <w:szCs w:val="20"/>
                <w:color w:val="auto"/>
              </w:rPr>
            </w:pPr>
            <w:r>
              <w:rPr>
                <w:rFonts w:ascii="Arial" w:cs="Arial" w:eastAsia="Arial" w:hAnsi="Arial"/>
                <w:sz w:val="13"/>
                <w:szCs w:val="13"/>
                <w:color w:val="auto"/>
                <w:w w:val="82"/>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1,298,493</w:t>
            </w:r>
          </w:p>
        </w:tc>
        <w:tc>
          <w:tcPr>
            <w:tcW w:w="100" w:type="dxa"/>
            <w:vAlign w:val="bottom"/>
            <w:tcBorders>
              <w:bottom w:val="single" w:sz="8" w:color="CCEEFF"/>
            </w:tcBorders>
            <w:shd w:val="clear" w:color="auto" w:fill="CCEEFF"/>
          </w:tcPr>
          <w:p>
            <w:pPr>
              <w:spacing w:after="0"/>
              <w:rPr>
                <w:sz w:val="16"/>
                <w:szCs w:val="16"/>
                <w:color w:val="auto"/>
              </w:rPr>
            </w:pPr>
          </w:p>
        </w:tc>
        <w:tc>
          <w:tcPr>
            <w:tcW w:w="500" w:type="dxa"/>
            <w:vAlign w:val="bottom"/>
            <w:tcBorders>
              <w:bottom w:val="single" w:sz="8" w:color="CCEEFF"/>
            </w:tcBorders>
            <w:shd w:val="clear" w:color="auto" w:fill="CCEEFF"/>
          </w:tcPr>
          <w:p>
            <w:pPr>
              <w:spacing w:after="0"/>
              <w:rPr>
                <w:sz w:val="16"/>
                <w:szCs w:val="16"/>
                <w:color w:val="auto"/>
              </w:rPr>
            </w:pPr>
          </w:p>
        </w:tc>
        <w:tc>
          <w:tcPr>
            <w:tcW w:w="340" w:type="dxa"/>
            <w:vAlign w:val="bottom"/>
            <w:tcBorders>
              <w:bottom w:val="single" w:sz="8" w:color="CCEEFF"/>
            </w:tcBorders>
            <w:shd w:val="clear" w:color="auto" w:fill="CCEEFF"/>
          </w:tcPr>
          <w:p>
            <w:pPr>
              <w:spacing w:after="0"/>
              <w:rPr>
                <w:sz w:val="16"/>
                <w:szCs w:val="16"/>
                <w:color w:val="auto"/>
              </w:rPr>
            </w:pPr>
          </w:p>
        </w:tc>
        <w:tc>
          <w:tcPr>
            <w:tcW w:w="14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320" w:type="dxa"/>
            <w:vAlign w:val="bottom"/>
            <w:tcBorders>
              <w:bottom w:val="single" w:sz="8" w:color="CCEEFF"/>
            </w:tcBorders>
            <w:shd w:val="clear" w:color="auto" w:fill="CCEEFF"/>
          </w:tcPr>
          <w:p>
            <w:pPr>
              <w:jc w:val="right"/>
              <w:ind w:right="175"/>
              <w:spacing w:after="0"/>
              <w:rPr>
                <w:sz w:val="20"/>
                <w:szCs w:val="20"/>
                <w:color w:val="auto"/>
              </w:rPr>
            </w:pPr>
            <w:r>
              <w:rPr>
                <w:rFonts w:ascii="Arial" w:cs="Arial" w:eastAsia="Arial" w:hAnsi="Arial"/>
                <w:sz w:val="13"/>
                <w:szCs w:val="13"/>
                <w:color w:val="auto"/>
                <w:w w:val="82"/>
              </w:rPr>
              <w:t>$</w:t>
            </w: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1,312,319</w:t>
            </w:r>
          </w:p>
        </w:tc>
        <w:tc>
          <w:tcPr>
            <w:tcW w:w="80" w:type="dxa"/>
            <w:vAlign w:val="bottom"/>
            <w:tcBorders>
              <w:bottom w:val="single" w:sz="8" w:color="CCEEFF"/>
            </w:tcBorders>
            <w:shd w:val="clear" w:color="auto" w:fill="CCEEFF"/>
          </w:tcPr>
          <w:p>
            <w:pPr>
              <w:spacing w:after="0"/>
              <w:rPr>
                <w:sz w:val="16"/>
                <w:szCs w:val="16"/>
                <w:color w:val="auto"/>
              </w:rPr>
            </w:pPr>
          </w:p>
        </w:tc>
        <w:tc>
          <w:tcPr>
            <w:tcW w:w="460" w:type="dxa"/>
            <w:vAlign w:val="bottom"/>
            <w:tcBorders>
              <w:bottom w:val="single" w:sz="8" w:color="CCEEFF"/>
            </w:tcBorders>
            <w:shd w:val="clear" w:color="auto" w:fill="CCEEFF"/>
          </w:tcPr>
          <w:p>
            <w:pPr>
              <w:spacing w:after="0"/>
              <w:rPr>
                <w:sz w:val="16"/>
                <w:szCs w:val="16"/>
                <w:color w:val="auto"/>
              </w:rPr>
            </w:pPr>
          </w:p>
        </w:tc>
        <w:tc>
          <w:tcPr>
            <w:tcW w:w="380" w:type="dxa"/>
            <w:vAlign w:val="bottom"/>
            <w:tcBorders>
              <w:bottom w:val="single" w:sz="8" w:color="CCEEFF"/>
            </w:tcBorders>
            <w:shd w:val="clear" w:color="auto" w:fill="CCEEFF"/>
          </w:tcPr>
          <w:p>
            <w:pPr>
              <w:spacing w:after="0"/>
              <w:rPr>
                <w:sz w:val="16"/>
                <w:szCs w:val="16"/>
                <w:color w:val="auto"/>
              </w:rPr>
            </w:pPr>
          </w:p>
        </w:tc>
        <w:tc>
          <w:tcPr>
            <w:tcW w:w="160" w:type="dxa"/>
            <w:vAlign w:val="bottom"/>
            <w:tcBorders>
              <w:bottom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78"/>
        </w:trPr>
        <w:tc>
          <w:tcPr>
            <w:tcW w:w="3820" w:type="dxa"/>
            <w:vAlign w:val="bottom"/>
          </w:tcPr>
          <w:p>
            <w:pPr>
              <w:spacing w:after="0"/>
              <w:rPr>
                <w:sz w:val="20"/>
                <w:szCs w:val="20"/>
                <w:color w:val="auto"/>
              </w:rPr>
            </w:pPr>
            <w:r>
              <w:rPr>
                <w:rFonts w:ascii="Arial" w:cs="Arial" w:eastAsia="Arial" w:hAnsi="Arial"/>
                <w:sz w:val="13"/>
                <w:szCs w:val="13"/>
                <w:color w:val="auto"/>
              </w:rPr>
              <w:t>Loans in forbearance</w:t>
            </w:r>
          </w:p>
        </w:tc>
        <w:tc>
          <w:tcPr>
            <w:tcW w:w="320" w:type="dxa"/>
            <w:vAlign w:val="bottom"/>
          </w:tcPr>
          <w:p>
            <w:pPr>
              <w:spacing w:after="0"/>
              <w:rPr>
                <w:sz w:val="15"/>
                <w:szCs w:val="15"/>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1,358,343</w:t>
            </w:r>
          </w:p>
        </w:tc>
        <w:tc>
          <w:tcPr>
            <w:tcW w:w="1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3"/>
                <w:szCs w:val="13"/>
                <w:color w:val="auto"/>
              </w:rPr>
              <w:t>1,430,291</w:t>
            </w:r>
          </w:p>
        </w:tc>
        <w:tc>
          <w:tcPr>
            <w:tcW w:w="10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3"/>
                <w:szCs w:val="13"/>
                <w:color w:val="auto"/>
              </w:rPr>
              <w:t>1,650,913</w:t>
            </w:r>
          </w:p>
        </w:tc>
        <w:tc>
          <w:tcPr>
            <w:tcW w:w="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7"/>
        </w:trPr>
        <w:tc>
          <w:tcPr>
            <w:tcW w:w="3820" w:type="dxa"/>
            <w:vAlign w:val="bottom"/>
          </w:tcPr>
          <w:p>
            <w:pPr>
              <w:spacing w:after="0"/>
              <w:rPr>
                <w:sz w:val="2"/>
                <w:szCs w:val="2"/>
                <w:color w:val="auto"/>
              </w:rPr>
            </w:pPr>
          </w:p>
        </w:tc>
        <w:tc>
          <w:tcPr>
            <w:tcW w:w="32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4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920" w:type="dxa"/>
            <w:vAlign w:val="bottom"/>
          </w:tcPr>
          <w:p>
            <w:pPr>
              <w:spacing w:after="0"/>
              <w:rPr>
                <w:sz w:val="2"/>
                <w:szCs w:val="2"/>
                <w:color w:val="auto"/>
              </w:rPr>
            </w:pPr>
          </w:p>
        </w:tc>
        <w:tc>
          <w:tcPr>
            <w:tcW w:w="80" w:type="dxa"/>
            <w:vAlign w:val="bottom"/>
          </w:tcPr>
          <w:p>
            <w:pPr>
              <w:spacing w:after="0"/>
              <w:rPr>
                <w:sz w:val="2"/>
                <w:szCs w:val="2"/>
                <w:color w:val="auto"/>
              </w:rPr>
            </w:pPr>
          </w:p>
        </w:tc>
        <w:tc>
          <w:tcPr>
            <w:tcW w:w="460" w:type="dxa"/>
            <w:vAlign w:val="bottom"/>
          </w:tcPr>
          <w:p>
            <w:pPr>
              <w:spacing w:after="0"/>
              <w:rPr>
                <w:sz w:val="2"/>
                <w:szCs w:val="2"/>
                <w:color w:val="auto"/>
              </w:rPr>
            </w:pPr>
          </w:p>
        </w:tc>
        <w:tc>
          <w:tcPr>
            <w:tcW w:w="380" w:type="dxa"/>
            <w:vAlign w:val="bottom"/>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5"/>
        </w:trPr>
        <w:tc>
          <w:tcPr>
            <w:tcW w:w="38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Loans in repayment status:</w:t>
            </w:r>
          </w:p>
        </w:tc>
        <w:tc>
          <w:tcPr>
            <w:tcW w:w="320" w:type="dxa"/>
            <w:vAlign w:val="bottom"/>
            <w:tcBorders>
              <w:bottom w:val="single" w:sz="8" w:color="CCEEFF"/>
            </w:tcBorders>
            <w:shd w:val="clear" w:color="auto" w:fill="CCEEFF"/>
          </w:tcPr>
          <w:p>
            <w:pPr>
              <w:spacing w:after="0"/>
              <w:rPr>
                <w:sz w:val="16"/>
                <w:szCs w:val="16"/>
                <w:color w:val="auto"/>
              </w:rPr>
            </w:pPr>
          </w:p>
        </w:tc>
        <w:tc>
          <w:tcPr>
            <w:tcW w:w="96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440" w:type="dxa"/>
            <w:vAlign w:val="bottom"/>
            <w:tcBorders>
              <w:bottom w:val="single" w:sz="8" w:color="CCEEFF"/>
            </w:tcBorders>
            <w:shd w:val="clear" w:color="auto" w:fill="CCEEFF"/>
          </w:tcPr>
          <w:p>
            <w:pPr>
              <w:spacing w:after="0"/>
              <w:rPr>
                <w:sz w:val="16"/>
                <w:szCs w:val="16"/>
                <w:color w:val="auto"/>
              </w:rPr>
            </w:pPr>
          </w:p>
        </w:tc>
        <w:tc>
          <w:tcPr>
            <w:tcW w:w="400" w:type="dxa"/>
            <w:vAlign w:val="bottom"/>
            <w:tcBorders>
              <w:bottom w:val="single" w:sz="8" w:color="CCEEFF"/>
            </w:tcBorders>
            <w:shd w:val="clear" w:color="auto" w:fill="CCEEFF"/>
          </w:tcPr>
          <w:p>
            <w:pPr>
              <w:spacing w:after="0"/>
              <w:rPr>
                <w:sz w:val="16"/>
                <w:szCs w:val="16"/>
                <w:color w:val="auto"/>
              </w:rPr>
            </w:pPr>
          </w:p>
        </w:tc>
        <w:tc>
          <w:tcPr>
            <w:tcW w:w="14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300" w:type="dxa"/>
            <w:vAlign w:val="bottom"/>
            <w:tcBorders>
              <w:bottom w:val="single" w:sz="8" w:color="CCEEFF"/>
            </w:tcBorders>
            <w:shd w:val="clear" w:color="auto" w:fill="CCEEFF"/>
          </w:tcPr>
          <w:p>
            <w:pPr>
              <w:spacing w:after="0"/>
              <w:rPr>
                <w:sz w:val="16"/>
                <w:szCs w:val="16"/>
                <w:color w:val="auto"/>
              </w:rPr>
            </w:pPr>
          </w:p>
        </w:tc>
        <w:tc>
          <w:tcPr>
            <w:tcW w:w="100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500" w:type="dxa"/>
            <w:vAlign w:val="bottom"/>
            <w:tcBorders>
              <w:bottom w:val="single" w:sz="8" w:color="CCEEFF"/>
            </w:tcBorders>
            <w:shd w:val="clear" w:color="auto" w:fill="CCEEFF"/>
          </w:tcPr>
          <w:p>
            <w:pPr>
              <w:spacing w:after="0"/>
              <w:rPr>
                <w:sz w:val="16"/>
                <w:szCs w:val="16"/>
                <w:color w:val="auto"/>
              </w:rPr>
            </w:pPr>
          </w:p>
        </w:tc>
        <w:tc>
          <w:tcPr>
            <w:tcW w:w="340" w:type="dxa"/>
            <w:vAlign w:val="bottom"/>
            <w:tcBorders>
              <w:bottom w:val="single" w:sz="8" w:color="CCEEFF"/>
            </w:tcBorders>
            <w:shd w:val="clear" w:color="auto" w:fill="CCEEFF"/>
          </w:tcPr>
          <w:p>
            <w:pPr>
              <w:spacing w:after="0"/>
              <w:rPr>
                <w:sz w:val="16"/>
                <w:szCs w:val="16"/>
                <w:color w:val="auto"/>
              </w:rPr>
            </w:pPr>
          </w:p>
        </w:tc>
        <w:tc>
          <w:tcPr>
            <w:tcW w:w="14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320" w:type="dxa"/>
            <w:vAlign w:val="bottom"/>
            <w:tcBorders>
              <w:bottom w:val="single" w:sz="8" w:color="CCEEFF"/>
            </w:tcBorders>
            <w:shd w:val="clear" w:color="auto" w:fill="CCEEFF"/>
          </w:tcPr>
          <w:p>
            <w:pPr>
              <w:spacing w:after="0"/>
              <w:rPr>
                <w:sz w:val="16"/>
                <w:szCs w:val="16"/>
                <w:color w:val="auto"/>
              </w:rPr>
            </w:pPr>
          </w:p>
        </w:tc>
        <w:tc>
          <w:tcPr>
            <w:tcW w:w="920" w:type="dxa"/>
            <w:vAlign w:val="bottom"/>
            <w:tcBorders>
              <w:bottom w:val="single" w:sz="8" w:color="CCEEFF"/>
            </w:tcBorders>
            <w:shd w:val="clear" w:color="auto" w:fill="CCEEFF"/>
          </w:tcPr>
          <w:p>
            <w:pPr>
              <w:spacing w:after="0"/>
              <w:rPr>
                <w:sz w:val="16"/>
                <w:szCs w:val="16"/>
                <w:color w:val="auto"/>
              </w:rPr>
            </w:pPr>
          </w:p>
        </w:tc>
        <w:tc>
          <w:tcPr>
            <w:tcW w:w="80" w:type="dxa"/>
            <w:vAlign w:val="bottom"/>
            <w:tcBorders>
              <w:bottom w:val="single" w:sz="8" w:color="CCEEFF"/>
            </w:tcBorders>
            <w:shd w:val="clear" w:color="auto" w:fill="CCEEFF"/>
          </w:tcPr>
          <w:p>
            <w:pPr>
              <w:spacing w:after="0"/>
              <w:rPr>
                <w:sz w:val="16"/>
                <w:szCs w:val="16"/>
                <w:color w:val="auto"/>
              </w:rPr>
            </w:pPr>
          </w:p>
        </w:tc>
        <w:tc>
          <w:tcPr>
            <w:tcW w:w="460" w:type="dxa"/>
            <w:vAlign w:val="bottom"/>
            <w:tcBorders>
              <w:bottom w:val="single" w:sz="8" w:color="CCEEFF"/>
            </w:tcBorders>
            <w:shd w:val="clear" w:color="auto" w:fill="CCEEFF"/>
          </w:tcPr>
          <w:p>
            <w:pPr>
              <w:spacing w:after="0"/>
              <w:rPr>
                <w:sz w:val="16"/>
                <w:szCs w:val="16"/>
                <w:color w:val="auto"/>
              </w:rPr>
            </w:pPr>
          </w:p>
        </w:tc>
        <w:tc>
          <w:tcPr>
            <w:tcW w:w="380" w:type="dxa"/>
            <w:vAlign w:val="bottom"/>
            <w:tcBorders>
              <w:bottom w:val="single" w:sz="8" w:color="CCEEFF"/>
            </w:tcBorders>
            <w:shd w:val="clear" w:color="auto" w:fill="CCEEFF"/>
          </w:tcPr>
          <w:p>
            <w:pPr>
              <w:spacing w:after="0"/>
              <w:rPr>
                <w:sz w:val="16"/>
                <w:szCs w:val="16"/>
                <w:color w:val="auto"/>
              </w:rPr>
            </w:pPr>
          </w:p>
        </w:tc>
        <w:tc>
          <w:tcPr>
            <w:tcW w:w="160" w:type="dxa"/>
            <w:vAlign w:val="bottom"/>
            <w:tcBorders>
              <w:bottom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78"/>
        </w:trPr>
        <w:tc>
          <w:tcPr>
            <w:tcW w:w="3820" w:type="dxa"/>
            <w:vAlign w:val="bottom"/>
          </w:tcPr>
          <w:p>
            <w:pPr>
              <w:ind w:left="80"/>
              <w:spacing w:after="0"/>
              <w:rPr>
                <w:sz w:val="20"/>
                <w:szCs w:val="20"/>
                <w:color w:val="auto"/>
              </w:rPr>
            </w:pPr>
            <w:r>
              <w:rPr>
                <w:rFonts w:ascii="Arial" w:cs="Arial" w:eastAsia="Arial" w:hAnsi="Arial"/>
                <w:sz w:val="13"/>
                <w:szCs w:val="13"/>
                <w:color w:val="auto"/>
              </w:rPr>
              <w:t>Loans current</w:t>
            </w:r>
          </w:p>
        </w:tc>
        <w:tc>
          <w:tcPr>
            <w:tcW w:w="320" w:type="dxa"/>
            <w:vAlign w:val="bottom"/>
          </w:tcPr>
          <w:p>
            <w:pPr>
              <w:spacing w:after="0"/>
              <w:rPr>
                <w:sz w:val="15"/>
                <w:szCs w:val="15"/>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16,550,665</w:t>
            </w:r>
          </w:p>
        </w:tc>
        <w:tc>
          <w:tcPr>
            <w:tcW w:w="1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400" w:type="dxa"/>
            <w:vAlign w:val="bottom"/>
          </w:tcPr>
          <w:p>
            <w:pPr>
              <w:jc w:val="right"/>
              <w:spacing w:after="0"/>
              <w:rPr>
                <w:sz w:val="20"/>
                <w:szCs w:val="20"/>
                <w:color w:val="auto"/>
              </w:rPr>
            </w:pPr>
            <w:r>
              <w:rPr>
                <w:rFonts w:ascii="Arial" w:cs="Arial" w:eastAsia="Arial" w:hAnsi="Arial"/>
                <w:sz w:val="13"/>
                <w:szCs w:val="13"/>
                <w:color w:val="auto"/>
              </w:rPr>
              <w:t>87.0</w:t>
            </w:r>
          </w:p>
        </w:tc>
        <w:tc>
          <w:tcPr>
            <w:tcW w:w="140" w:type="dxa"/>
            <w:vAlign w:val="bottom"/>
          </w:tcPr>
          <w:p>
            <w:pPr>
              <w:jc w:val="right"/>
              <w:spacing w:after="0"/>
              <w:rPr>
                <w:sz w:val="20"/>
                <w:szCs w:val="20"/>
                <w:color w:val="auto"/>
              </w:rPr>
            </w:pPr>
            <w:r>
              <w:rPr>
                <w:rFonts w:ascii="Arial" w:cs="Arial" w:eastAsia="Arial" w:hAnsi="Arial"/>
                <w:sz w:val="13"/>
                <w:szCs w:val="13"/>
                <w:color w:val="auto"/>
                <w:w w:val="86"/>
              </w:rPr>
              <w:t>%</w:t>
            </w: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3"/>
                <w:szCs w:val="13"/>
                <w:color w:val="auto"/>
              </w:rPr>
              <w:t>16,882,252</w:t>
            </w:r>
          </w:p>
        </w:tc>
        <w:tc>
          <w:tcPr>
            <w:tcW w:w="10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40" w:type="dxa"/>
            <w:vAlign w:val="bottom"/>
          </w:tcPr>
          <w:p>
            <w:pPr>
              <w:jc w:val="right"/>
              <w:spacing w:after="0"/>
              <w:rPr>
                <w:sz w:val="20"/>
                <w:szCs w:val="20"/>
                <w:color w:val="auto"/>
              </w:rPr>
            </w:pPr>
            <w:r>
              <w:rPr>
                <w:rFonts w:ascii="Arial" w:cs="Arial" w:eastAsia="Arial" w:hAnsi="Arial"/>
                <w:sz w:val="13"/>
                <w:szCs w:val="13"/>
                <w:color w:val="auto"/>
              </w:rPr>
              <w:t>86.9</w:t>
            </w:r>
          </w:p>
        </w:tc>
        <w:tc>
          <w:tcPr>
            <w:tcW w:w="140" w:type="dxa"/>
            <w:vAlign w:val="bottom"/>
          </w:tcPr>
          <w:p>
            <w:pPr>
              <w:jc w:val="right"/>
              <w:spacing w:after="0"/>
              <w:rPr>
                <w:sz w:val="20"/>
                <w:szCs w:val="20"/>
                <w:color w:val="auto"/>
              </w:rPr>
            </w:pPr>
            <w:r>
              <w:rPr>
                <w:rFonts w:ascii="Arial" w:cs="Arial" w:eastAsia="Arial" w:hAnsi="Arial"/>
                <w:sz w:val="13"/>
                <w:szCs w:val="13"/>
                <w:color w:val="auto"/>
                <w:w w:val="86"/>
              </w:rPr>
              <w:t>%</w:t>
            </w:r>
          </w:p>
        </w:tc>
        <w:tc>
          <w:tcPr>
            <w:tcW w:w="1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3"/>
                <w:szCs w:val="13"/>
                <w:color w:val="auto"/>
              </w:rPr>
              <w:t>16,368,668</w:t>
            </w:r>
          </w:p>
        </w:tc>
        <w:tc>
          <w:tcPr>
            <w:tcW w:w="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380" w:type="dxa"/>
            <w:vAlign w:val="bottom"/>
          </w:tcPr>
          <w:p>
            <w:pPr>
              <w:jc w:val="right"/>
              <w:spacing w:after="0"/>
              <w:rPr>
                <w:sz w:val="20"/>
                <w:szCs w:val="20"/>
                <w:color w:val="auto"/>
              </w:rPr>
            </w:pPr>
            <w:r>
              <w:rPr>
                <w:rFonts w:ascii="Arial" w:cs="Arial" w:eastAsia="Arial" w:hAnsi="Arial"/>
                <w:sz w:val="13"/>
                <w:szCs w:val="13"/>
                <w:color w:val="auto"/>
              </w:rPr>
              <w:t>88.5</w:t>
            </w:r>
          </w:p>
        </w:tc>
        <w:tc>
          <w:tcPr>
            <w:tcW w:w="160" w:type="dxa"/>
            <w:vAlign w:val="bottom"/>
          </w:tcPr>
          <w:p>
            <w:pPr>
              <w:jc w:val="right"/>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27"/>
        </w:trPr>
        <w:tc>
          <w:tcPr>
            <w:tcW w:w="3820" w:type="dxa"/>
            <w:vAlign w:val="bottom"/>
          </w:tcPr>
          <w:p>
            <w:pPr>
              <w:spacing w:after="0"/>
              <w:rPr>
                <w:sz w:val="2"/>
                <w:szCs w:val="2"/>
                <w:color w:val="auto"/>
              </w:rPr>
            </w:pPr>
          </w:p>
        </w:tc>
        <w:tc>
          <w:tcPr>
            <w:tcW w:w="32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4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920" w:type="dxa"/>
            <w:vAlign w:val="bottom"/>
          </w:tcPr>
          <w:p>
            <w:pPr>
              <w:spacing w:after="0"/>
              <w:rPr>
                <w:sz w:val="2"/>
                <w:szCs w:val="2"/>
                <w:color w:val="auto"/>
              </w:rPr>
            </w:pPr>
          </w:p>
        </w:tc>
        <w:tc>
          <w:tcPr>
            <w:tcW w:w="80" w:type="dxa"/>
            <w:vAlign w:val="bottom"/>
          </w:tcPr>
          <w:p>
            <w:pPr>
              <w:spacing w:after="0"/>
              <w:rPr>
                <w:sz w:val="2"/>
                <w:szCs w:val="2"/>
                <w:color w:val="auto"/>
              </w:rPr>
            </w:pPr>
          </w:p>
        </w:tc>
        <w:tc>
          <w:tcPr>
            <w:tcW w:w="460" w:type="dxa"/>
            <w:vAlign w:val="bottom"/>
          </w:tcPr>
          <w:p>
            <w:pPr>
              <w:spacing w:after="0"/>
              <w:rPr>
                <w:sz w:val="2"/>
                <w:szCs w:val="2"/>
                <w:color w:val="auto"/>
              </w:rPr>
            </w:pPr>
          </w:p>
        </w:tc>
        <w:tc>
          <w:tcPr>
            <w:tcW w:w="380" w:type="dxa"/>
            <w:vAlign w:val="bottom"/>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5"/>
        </w:trPr>
        <w:tc>
          <w:tcPr>
            <w:tcW w:w="3820" w:type="dxa"/>
            <w:vAlign w:val="bottom"/>
            <w:tcBorders>
              <w:bottom w:val="single" w:sz="8" w:color="CCEEFF"/>
            </w:tcBorders>
            <w:shd w:val="clear" w:color="auto" w:fill="CCEEFF"/>
          </w:tcPr>
          <w:p>
            <w:pPr>
              <w:ind w:left="80"/>
              <w:spacing w:after="0"/>
              <w:rPr>
                <w:sz w:val="20"/>
                <w:szCs w:val="20"/>
                <w:color w:val="auto"/>
              </w:rPr>
            </w:pPr>
            <w:r>
              <w:rPr>
                <w:rFonts w:ascii="Arial" w:cs="Arial" w:eastAsia="Arial" w:hAnsi="Arial"/>
                <w:sz w:val="13"/>
                <w:szCs w:val="13"/>
                <w:color w:val="auto"/>
              </w:rPr>
              <w:t>Loans delinquent 31-60 days</w:t>
            </w:r>
          </w:p>
        </w:tc>
        <w:tc>
          <w:tcPr>
            <w:tcW w:w="320" w:type="dxa"/>
            <w:vAlign w:val="bottom"/>
            <w:tcBorders>
              <w:bottom w:val="single" w:sz="8" w:color="CCEEFF"/>
            </w:tcBorders>
            <w:shd w:val="clear" w:color="auto" w:fill="CCEEFF"/>
          </w:tcPr>
          <w:p>
            <w:pPr>
              <w:spacing w:after="0"/>
              <w:rPr>
                <w:sz w:val="16"/>
                <w:szCs w:val="16"/>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666,668</w:t>
            </w:r>
          </w:p>
        </w:tc>
        <w:tc>
          <w:tcPr>
            <w:tcW w:w="100" w:type="dxa"/>
            <w:vAlign w:val="bottom"/>
            <w:tcBorders>
              <w:bottom w:val="single" w:sz="8" w:color="CCEEFF"/>
            </w:tcBorders>
            <w:shd w:val="clear" w:color="auto" w:fill="CCEEFF"/>
          </w:tcPr>
          <w:p>
            <w:pPr>
              <w:spacing w:after="0"/>
              <w:rPr>
                <w:sz w:val="16"/>
                <w:szCs w:val="16"/>
                <w:color w:val="auto"/>
              </w:rPr>
            </w:pPr>
          </w:p>
        </w:tc>
        <w:tc>
          <w:tcPr>
            <w:tcW w:w="440" w:type="dxa"/>
            <w:vAlign w:val="bottom"/>
            <w:tcBorders>
              <w:bottom w:val="single" w:sz="8" w:color="CCEEFF"/>
            </w:tcBorders>
            <w:shd w:val="clear" w:color="auto" w:fill="CCEEFF"/>
          </w:tcPr>
          <w:p>
            <w:pPr>
              <w:spacing w:after="0"/>
              <w:rPr>
                <w:sz w:val="16"/>
                <w:szCs w:val="16"/>
                <w:color w:val="auto"/>
              </w:rPr>
            </w:pPr>
          </w:p>
        </w:tc>
        <w:tc>
          <w:tcPr>
            <w:tcW w:w="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3.5</w:t>
            </w:r>
          </w:p>
        </w:tc>
        <w:tc>
          <w:tcPr>
            <w:tcW w:w="14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300" w:type="dxa"/>
            <w:vAlign w:val="bottom"/>
            <w:tcBorders>
              <w:bottom w:val="single" w:sz="8" w:color="CCEEFF"/>
            </w:tcBorders>
            <w:shd w:val="clear" w:color="auto" w:fill="CCEEFF"/>
          </w:tcPr>
          <w:p>
            <w:pPr>
              <w:spacing w:after="0"/>
              <w:rPr>
                <w:sz w:val="16"/>
                <w:szCs w:val="16"/>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683,084</w:t>
            </w:r>
          </w:p>
        </w:tc>
        <w:tc>
          <w:tcPr>
            <w:tcW w:w="100" w:type="dxa"/>
            <w:vAlign w:val="bottom"/>
            <w:tcBorders>
              <w:bottom w:val="single" w:sz="8" w:color="CCEEFF"/>
            </w:tcBorders>
            <w:shd w:val="clear" w:color="auto" w:fill="CCEEFF"/>
          </w:tcPr>
          <w:p>
            <w:pPr>
              <w:spacing w:after="0"/>
              <w:rPr>
                <w:sz w:val="16"/>
                <w:szCs w:val="16"/>
                <w:color w:val="auto"/>
              </w:rPr>
            </w:pPr>
          </w:p>
        </w:tc>
        <w:tc>
          <w:tcPr>
            <w:tcW w:w="500" w:type="dxa"/>
            <w:vAlign w:val="bottom"/>
            <w:tcBorders>
              <w:bottom w:val="single" w:sz="8" w:color="CCEEFF"/>
            </w:tcBorders>
            <w:shd w:val="clear" w:color="auto" w:fill="CCEEFF"/>
          </w:tcPr>
          <w:p>
            <w:pPr>
              <w:spacing w:after="0"/>
              <w:rPr>
                <w:sz w:val="16"/>
                <w:szCs w:val="16"/>
                <w:color w:val="auto"/>
              </w:rPr>
            </w:pPr>
          </w:p>
        </w:tc>
        <w:tc>
          <w:tcPr>
            <w:tcW w:w="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3.5</w:t>
            </w:r>
          </w:p>
        </w:tc>
        <w:tc>
          <w:tcPr>
            <w:tcW w:w="14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320" w:type="dxa"/>
            <w:vAlign w:val="bottom"/>
            <w:tcBorders>
              <w:bottom w:val="single" w:sz="8" w:color="CCEEFF"/>
            </w:tcBorders>
            <w:shd w:val="clear" w:color="auto" w:fill="CCEEFF"/>
          </w:tcPr>
          <w:p>
            <w:pPr>
              <w:spacing w:after="0"/>
              <w:rPr>
                <w:sz w:val="16"/>
                <w:szCs w:val="16"/>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669,490</w:t>
            </w:r>
          </w:p>
        </w:tc>
        <w:tc>
          <w:tcPr>
            <w:tcW w:w="80" w:type="dxa"/>
            <w:vAlign w:val="bottom"/>
            <w:tcBorders>
              <w:bottom w:val="single" w:sz="8" w:color="CCEEFF"/>
            </w:tcBorders>
            <w:shd w:val="clear" w:color="auto" w:fill="CCEEFF"/>
          </w:tcPr>
          <w:p>
            <w:pPr>
              <w:spacing w:after="0"/>
              <w:rPr>
                <w:sz w:val="16"/>
                <w:szCs w:val="16"/>
                <w:color w:val="auto"/>
              </w:rPr>
            </w:pPr>
          </w:p>
        </w:tc>
        <w:tc>
          <w:tcPr>
            <w:tcW w:w="460" w:type="dxa"/>
            <w:vAlign w:val="bottom"/>
            <w:tcBorders>
              <w:bottom w:val="single" w:sz="8" w:color="CCEEFF"/>
            </w:tcBorders>
            <w:shd w:val="clear" w:color="auto" w:fill="CCEEFF"/>
          </w:tcPr>
          <w:p>
            <w:pPr>
              <w:spacing w:after="0"/>
              <w:rPr>
                <w:sz w:val="16"/>
                <w:szCs w:val="16"/>
                <w:color w:val="auto"/>
              </w:rPr>
            </w:pPr>
          </w:p>
        </w:tc>
        <w:tc>
          <w:tcPr>
            <w:tcW w:w="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3.6</w:t>
            </w:r>
          </w:p>
        </w:tc>
        <w:tc>
          <w:tcPr>
            <w:tcW w:w="160" w:type="dxa"/>
            <w:vAlign w:val="bottom"/>
            <w:tcBorders>
              <w:bottom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78"/>
        </w:trPr>
        <w:tc>
          <w:tcPr>
            <w:tcW w:w="3820" w:type="dxa"/>
            <w:vAlign w:val="bottom"/>
          </w:tcPr>
          <w:p>
            <w:pPr>
              <w:ind w:left="80"/>
              <w:spacing w:after="0"/>
              <w:rPr>
                <w:sz w:val="20"/>
                <w:szCs w:val="20"/>
                <w:color w:val="auto"/>
              </w:rPr>
            </w:pPr>
            <w:r>
              <w:rPr>
                <w:rFonts w:ascii="Arial" w:cs="Arial" w:eastAsia="Arial" w:hAnsi="Arial"/>
                <w:sz w:val="13"/>
                <w:szCs w:val="13"/>
                <w:color w:val="auto"/>
              </w:rPr>
              <w:t>Loans delinquent 61-90 days</w:t>
            </w:r>
          </w:p>
        </w:tc>
        <w:tc>
          <w:tcPr>
            <w:tcW w:w="320" w:type="dxa"/>
            <w:vAlign w:val="bottom"/>
          </w:tcPr>
          <w:p>
            <w:pPr>
              <w:spacing w:after="0"/>
              <w:rPr>
                <w:sz w:val="15"/>
                <w:szCs w:val="15"/>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425,098</w:t>
            </w:r>
          </w:p>
        </w:tc>
        <w:tc>
          <w:tcPr>
            <w:tcW w:w="1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400" w:type="dxa"/>
            <w:vAlign w:val="bottom"/>
          </w:tcPr>
          <w:p>
            <w:pPr>
              <w:jc w:val="right"/>
              <w:spacing w:after="0"/>
              <w:rPr>
                <w:sz w:val="20"/>
                <w:szCs w:val="20"/>
                <w:color w:val="auto"/>
              </w:rPr>
            </w:pPr>
            <w:r>
              <w:rPr>
                <w:rFonts w:ascii="Arial" w:cs="Arial" w:eastAsia="Arial" w:hAnsi="Arial"/>
                <w:sz w:val="13"/>
                <w:szCs w:val="13"/>
                <w:color w:val="auto"/>
              </w:rPr>
              <w:t>2.2</w:t>
            </w: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3"/>
                <w:szCs w:val="13"/>
                <w:color w:val="auto"/>
              </w:rPr>
              <w:t>427,764</w:t>
            </w:r>
          </w:p>
        </w:tc>
        <w:tc>
          <w:tcPr>
            <w:tcW w:w="10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40" w:type="dxa"/>
            <w:vAlign w:val="bottom"/>
          </w:tcPr>
          <w:p>
            <w:pPr>
              <w:jc w:val="right"/>
              <w:spacing w:after="0"/>
              <w:rPr>
                <w:sz w:val="20"/>
                <w:szCs w:val="20"/>
                <w:color w:val="auto"/>
              </w:rPr>
            </w:pPr>
            <w:r>
              <w:rPr>
                <w:rFonts w:ascii="Arial" w:cs="Arial" w:eastAsia="Arial" w:hAnsi="Arial"/>
                <w:sz w:val="13"/>
                <w:szCs w:val="13"/>
                <w:color w:val="auto"/>
              </w:rPr>
              <w:t>2.2</w:t>
            </w: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3"/>
                <w:szCs w:val="13"/>
                <w:color w:val="auto"/>
              </w:rPr>
              <w:t>426,696</w:t>
            </w:r>
          </w:p>
        </w:tc>
        <w:tc>
          <w:tcPr>
            <w:tcW w:w="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380" w:type="dxa"/>
            <w:vAlign w:val="bottom"/>
          </w:tcPr>
          <w:p>
            <w:pPr>
              <w:jc w:val="right"/>
              <w:spacing w:after="0"/>
              <w:rPr>
                <w:sz w:val="20"/>
                <w:szCs w:val="20"/>
                <w:color w:val="auto"/>
              </w:rPr>
            </w:pPr>
            <w:r>
              <w:rPr>
                <w:rFonts w:ascii="Arial" w:cs="Arial" w:eastAsia="Arial" w:hAnsi="Arial"/>
                <w:sz w:val="13"/>
                <w:szCs w:val="13"/>
                <w:color w:val="auto"/>
              </w:rPr>
              <w:t>2.3</w:t>
            </w: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7"/>
        </w:trPr>
        <w:tc>
          <w:tcPr>
            <w:tcW w:w="3820" w:type="dxa"/>
            <w:vAlign w:val="bottom"/>
          </w:tcPr>
          <w:p>
            <w:pPr>
              <w:spacing w:after="0"/>
              <w:rPr>
                <w:sz w:val="2"/>
                <w:szCs w:val="2"/>
                <w:color w:val="auto"/>
              </w:rPr>
            </w:pPr>
          </w:p>
        </w:tc>
        <w:tc>
          <w:tcPr>
            <w:tcW w:w="32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4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920" w:type="dxa"/>
            <w:vAlign w:val="bottom"/>
          </w:tcPr>
          <w:p>
            <w:pPr>
              <w:spacing w:after="0"/>
              <w:rPr>
                <w:sz w:val="2"/>
                <w:szCs w:val="2"/>
                <w:color w:val="auto"/>
              </w:rPr>
            </w:pPr>
          </w:p>
        </w:tc>
        <w:tc>
          <w:tcPr>
            <w:tcW w:w="80" w:type="dxa"/>
            <w:vAlign w:val="bottom"/>
          </w:tcPr>
          <w:p>
            <w:pPr>
              <w:spacing w:after="0"/>
              <w:rPr>
                <w:sz w:val="2"/>
                <w:szCs w:val="2"/>
                <w:color w:val="auto"/>
              </w:rPr>
            </w:pPr>
          </w:p>
        </w:tc>
        <w:tc>
          <w:tcPr>
            <w:tcW w:w="460" w:type="dxa"/>
            <w:vAlign w:val="bottom"/>
          </w:tcPr>
          <w:p>
            <w:pPr>
              <w:spacing w:after="0"/>
              <w:rPr>
                <w:sz w:val="2"/>
                <w:szCs w:val="2"/>
                <w:color w:val="auto"/>
              </w:rPr>
            </w:pPr>
          </w:p>
        </w:tc>
        <w:tc>
          <w:tcPr>
            <w:tcW w:w="380" w:type="dxa"/>
            <w:vAlign w:val="bottom"/>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5"/>
        </w:trPr>
        <w:tc>
          <w:tcPr>
            <w:tcW w:w="3820" w:type="dxa"/>
            <w:vAlign w:val="bottom"/>
            <w:tcBorders>
              <w:bottom w:val="single" w:sz="8" w:color="CCEEFF"/>
            </w:tcBorders>
            <w:shd w:val="clear" w:color="auto" w:fill="CCEEFF"/>
          </w:tcPr>
          <w:p>
            <w:pPr>
              <w:ind w:left="80"/>
              <w:spacing w:after="0"/>
              <w:rPr>
                <w:sz w:val="20"/>
                <w:szCs w:val="20"/>
                <w:color w:val="auto"/>
              </w:rPr>
            </w:pPr>
            <w:r>
              <w:rPr>
                <w:rFonts w:ascii="Arial" w:cs="Arial" w:eastAsia="Arial" w:hAnsi="Arial"/>
                <w:sz w:val="13"/>
                <w:szCs w:val="13"/>
                <w:color w:val="auto"/>
              </w:rPr>
              <w:t>Loans delinquent 91-120 days</w:t>
            </w:r>
          </w:p>
        </w:tc>
        <w:tc>
          <w:tcPr>
            <w:tcW w:w="320" w:type="dxa"/>
            <w:vAlign w:val="bottom"/>
            <w:tcBorders>
              <w:bottom w:val="single" w:sz="8" w:color="CCEEFF"/>
            </w:tcBorders>
            <w:shd w:val="clear" w:color="auto" w:fill="CCEEFF"/>
          </w:tcPr>
          <w:p>
            <w:pPr>
              <w:spacing w:after="0"/>
              <w:rPr>
                <w:sz w:val="16"/>
                <w:szCs w:val="16"/>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296,242</w:t>
            </w:r>
          </w:p>
        </w:tc>
        <w:tc>
          <w:tcPr>
            <w:tcW w:w="100" w:type="dxa"/>
            <w:vAlign w:val="bottom"/>
            <w:tcBorders>
              <w:bottom w:val="single" w:sz="8" w:color="CCEEFF"/>
            </w:tcBorders>
            <w:shd w:val="clear" w:color="auto" w:fill="CCEEFF"/>
          </w:tcPr>
          <w:p>
            <w:pPr>
              <w:spacing w:after="0"/>
              <w:rPr>
                <w:sz w:val="16"/>
                <w:szCs w:val="16"/>
                <w:color w:val="auto"/>
              </w:rPr>
            </w:pPr>
          </w:p>
        </w:tc>
        <w:tc>
          <w:tcPr>
            <w:tcW w:w="440" w:type="dxa"/>
            <w:vAlign w:val="bottom"/>
            <w:tcBorders>
              <w:bottom w:val="single" w:sz="8" w:color="CCEEFF"/>
            </w:tcBorders>
            <w:shd w:val="clear" w:color="auto" w:fill="CCEEFF"/>
          </w:tcPr>
          <w:p>
            <w:pPr>
              <w:spacing w:after="0"/>
              <w:rPr>
                <w:sz w:val="16"/>
                <w:szCs w:val="16"/>
                <w:color w:val="auto"/>
              </w:rPr>
            </w:pPr>
          </w:p>
        </w:tc>
        <w:tc>
          <w:tcPr>
            <w:tcW w:w="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1.6</w:t>
            </w:r>
          </w:p>
        </w:tc>
        <w:tc>
          <w:tcPr>
            <w:tcW w:w="14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300" w:type="dxa"/>
            <w:vAlign w:val="bottom"/>
            <w:tcBorders>
              <w:bottom w:val="single" w:sz="8" w:color="CCEEFF"/>
            </w:tcBorders>
            <w:shd w:val="clear" w:color="auto" w:fill="CCEEFF"/>
          </w:tcPr>
          <w:p>
            <w:pPr>
              <w:spacing w:after="0"/>
              <w:rPr>
                <w:sz w:val="16"/>
                <w:szCs w:val="16"/>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283,831</w:t>
            </w:r>
          </w:p>
        </w:tc>
        <w:tc>
          <w:tcPr>
            <w:tcW w:w="100" w:type="dxa"/>
            <w:vAlign w:val="bottom"/>
            <w:tcBorders>
              <w:bottom w:val="single" w:sz="8" w:color="CCEEFF"/>
            </w:tcBorders>
            <w:shd w:val="clear" w:color="auto" w:fill="CCEEFF"/>
          </w:tcPr>
          <w:p>
            <w:pPr>
              <w:spacing w:after="0"/>
              <w:rPr>
                <w:sz w:val="16"/>
                <w:szCs w:val="16"/>
                <w:color w:val="auto"/>
              </w:rPr>
            </w:pPr>
          </w:p>
        </w:tc>
        <w:tc>
          <w:tcPr>
            <w:tcW w:w="500" w:type="dxa"/>
            <w:vAlign w:val="bottom"/>
            <w:tcBorders>
              <w:bottom w:val="single" w:sz="8" w:color="CCEEFF"/>
            </w:tcBorders>
            <w:shd w:val="clear" w:color="auto" w:fill="CCEEFF"/>
          </w:tcPr>
          <w:p>
            <w:pPr>
              <w:spacing w:after="0"/>
              <w:rPr>
                <w:sz w:val="16"/>
                <w:szCs w:val="16"/>
                <w:color w:val="auto"/>
              </w:rPr>
            </w:pPr>
          </w:p>
        </w:tc>
        <w:tc>
          <w:tcPr>
            <w:tcW w:w="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1.5</w:t>
            </w:r>
          </w:p>
        </w:tc>
        <w:tc>
          <w:tcPr>
            <w:tcW w:w="14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320" w:type="dxa"/>
            <w:vAlign w:val="bottom"/>
            <w:tcBorders>
              <w:bottom w:val="single" w:sz="8" w:color="CCEEFF"/>
            </w:tcBorders>
            <w:shd w:val="clear" w:color="auto" w:fill="CCEEFF"/>
          </w:tcPr>
          <w:p>
            <w:pPr>
              <w:spacing w:after="0"/>
              <w:rPr>
                <w:sz w:val="16"/>
                <w:szCs w:val="16"/>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252,659</w:t>
            </w:r>
          </w:p>
        </w:tc>
        <w:tc>
          <w:tcPr>
            <w:tcW w:w="80" w:type="dxa"/>
            <w:vAlign w:val="bottom"/>
            <w:tcBorders>
              <w:bottom w:val="single" w:sz="8" w:color="CCEEFF"/>
            </w:tcBorders>
            <w:shd w:val="clear" w:color="auto" w:fill="CCEEFF"/>
          </w:tcPr>
          <w:p>
            <w:pPr>
              <w:spacing w:after="0"/>
              <w:rPr>
                <w:sz w:val="16"/>
                <w:szCs w:val="16"/>
                <w:color w:val="auto"/>
              </w:rPr>
            </w:pPr>
          </w:p>
        </w:tc>
        <w:tc>
          <w:tcPr>
            <w:tcW w:w="460" w:type="dxa"/>
            <w:vAlign w:val="bottom"/>
            <w:tcBorders>
              <w:bottom w:val="single" w:sz="8" w:color="CCEEFF"/>
            </w:tcBorders>
            <w:shd w:val="clear" w:color="auto" w:fill="CCEEFF"/>
          </w:tcPr>
          <w:p>
            <w:pPr>
              <w:spacing w:after="0"/>
              <w:rPr>
                <w:sz w:val="16"/>
                <w:szCs w:val="16"/>
                <w:color w:val="auto"/>
              </w:rPr>
            </w:pPr>
          </w:p>
        </w:tc>
        <w:tc>
          <w:tcPr>
            <w:tcW w:w="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1.4</w:t>
            </w:r>
          </w:p>
        </w:tc>
        <w:tc>
          <w:tcPr>
            <w:tcW w:w="160" w:type="dxa"/>
            <w:vAlign w:val="bottom"/>
            <w:tcBorders>
              <w:bottom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02"/>
        </w:trPr>
        <w:tc>
          <w:tcPr>
            <w:tcW w:w="3820" w:type="dxa"/>
            <w:vAlign w:val="bottom"/>
          </w:tcPr>
          <w:p>
            <w:pPr>
              <w:ind w:left="100"/>
              <w:spacing w:after="0"/>
              <w:rPr>
                <w:sz w:val="20"/>
                <w:szCs w:val="20"/>
                <w:color w:val="auto"/>
              </w:rPr>
            </w:pPr>
            <w:r>
              <w:rPr>
                <w:rFonts w:ascii="Arial" w:cs="Arial" w:eastAsia="Arial" w:hAnsi="Arial"/>
                <w:sz w:val="13"/>
                <w:szCs w:val="13"/>
                <w:color w:val="auto"/>
              </w:rPr>
              <w:t>Loans delinquent 121-270 days</w:t>
            </w:r>
          </w:p>
        </w:tc>
        <w:tc>
          <w:tcPr>
            <w:tcW w:w="320" w:type="dxa"/>
            <w:vAlign w:val="bottom"/>
          </w:tcPr>
          <w:p>
            <w:pPr>
              <w:spacing w:after="0"/>
              <w:rPr>
                <w:sz w:val="17"/>
                <w:szCs w:val="17"/>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718,409</w:t>
            </w:r>
          </w:p>
        </w:tc>
        <w:tc>
          <w:tcPr>
            <w:tcW w:w="1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400" w:type="dxa"/>
            <w:vAlign w:val="bottom"/>
          </w:tcPr>
          <w:p>
            <w:pPr>
              <w:jc w:val="right"/>
              <w:spacing w:after="0"/>
              <w:rPr>
                <w:sz w:val="20"/>
                <w:szCs w:val="20"/>
                <w:color w:val="auto"/>
              </w:rPr>
            </w:pPr>
            <w:r>
              <w:rPr>
                <w:rFonts w:ascii="Arial" w:cs="Arial" w:eastAsia="Arial" w:hAnsi="Arial"/>
                <w:sz w:val="13"/>
                <w:szCs w:val="13"/>
                <w:color w:val="auto"/>
              </w:rPr>
              <w:t>3.8</w:t>
            </w: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3"/>
                <w:szCs w:val="13"/>
                <w:color w:val="auto"/>
              </w:rPr>
              <w:t>806,692</w:t>
            </w:r>
          </w:p>
        </w:tc>
        <w:tc>
          <w:tcPr>
            <w:tcW w:w="1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340" w:type="dxa"/>
            <w:vAlign w:val="bottom"/>
          </w:tcPr>
          <w:p>
            <w:pPr>
              <w:jc w:val="right"/>
              <w:spacing w:after="0"/>
              <w:rPr>
                <w:sz w:val="20"/>
                <w:szCs w:val="20"/>
                <w:color w:val="auto"/>
              </w:rPr>
            </w:pPr>
            <w:r>
              <w:rPr>
                <w:rFonts w:ascii="Arial" w:cs="Arial" w:eastAsia="Arial" w:hAnsi="Arial"/>
                <w:sz w:val="13"/>
                <w:szCs w:val="13"/>
                <w:color w:val="auto"/>
              </w:rPr>
              <w:t>4.2</w:t>
            </w: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3"/>
                <w:szCs w:val="13"/>
                <w:color w:val="auto"/>
              </w:rPr>
              <w:t>570,538</w:t>
            </w:r>
          </w:p>
        </w:tc>
        <w:tc>
          <w:tcPr>
            <w:tcW w:w="8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380" w:type="dxa"/>
            <w:vAlign w:val="bottom"/>
          </w:tcPr>
          <w:p>
            <w:pPr>
              <w:jc w:val="right"/>
              <w:spacing w:after="0"/>
              <w:rPr>
                <w:sz w:val="20"/>
                <w:szCs w:val="20"/>
                <w:color w:val="auto"/>
              </w:rPr>
            </w:pPr>
            <w:r>
              <w:rPr>
                <w:rFonts w:ascii="Arial" w:cs="Arial" w:eastAsia="Arial" w:hAnsi="Arial"/>
                <w:sz w:val="13"/>
                <w:szCs w:val="13"/>
                <w:color w:val="auto"/>
              </w:rPr>
              <w:t>3.1</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3820" w:type="dxa"/>
            <w:vAlign w:val="bottom"/>
            <w:shd w:val="clear" w:color="auto" w:fill="CCEEFF"/>
          </w:tcPr>
          <w:p>
            <w:pPr>
              <w:ind w:left="100"/>
              <w:spacing w:after="0"/>
              <w:rPr>
                <w:sz w:val="20"/>
                <w:szCs w:val="20"/>
                <w:color w:val="auto"/>
              </w:rPr>
            </w:pPr>
            <w:r>
              <w:rPr>
                <w:rFonts w:ascii="Arial" w:cs="Arial" w:eastAsia="Arial" w:hAnsi="Arial"/>
                <w:sz w:val="13"/>
                <w:szCs w:val="13"/>
                <w:color w:val="auto"/>
              </w:rPr>
              <w:t>Loans delinquent 271 days or greater</w:t>
            </w:r>
          </w:p>
        </w:tc>
        <w:tc>
          <w:tcPr>
            <w:tcW w:w="320" w:type="dxa"/>
            <w:vAlign w:val="bottom"/>
            <w:tcBorders>
              <w:bottom w:val="single" w:sz="8" w:color="auto"/>
            </w:tcBorders>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377,177</w:t>
            </w:r>
          </w:p>
        </w:tc>
        <w:tc>
          <w:tcPr>
            <w:tcW w:w="100" w:type="dxa"/>
            <w:vAlign w:val="bottom"/>
            <w:shd w:val="clear" w:color="auto" w:fill="CCEEFF"/>
          </w:tcPr>
          <w:p>
            <w:pPr>
              <w:spacing w:after="0"/>
              <w:rPr>
                <w:sz w:val="17"/>
                <w:szCs w:val="17"/>
                <w:color w:val="auto"/>
              </w:rPr>
            </w:pPr>
          </w:p>
        </w:tc>
        <w:tc>
          <w:tcPr>
            <w:tcW w:w="440" w:type="dxa"/>
            <w:vAlign w:val="bottom"/>
            <w:tcBorders>
              <w:bottom w:val="single" w:sz="8" w:color="auto"/>
            </w:tcBorders>
            <w:shd w:val="clear" w:color="auto" w:fill="CCEEFF"/>
          </w:tcPr>
          <w:p>
            <w:pPr>
              <w:spacing w:after="0"/>
              <w:rPr>
                <w:sz w:val="17"/>
                <w:szCs w:val="17"/>
                <w:color w:val="auto"/>
              </w:rPr>
            </w:pPr>
          </w:p>
        </w:tc>
        <w:tc>
          <w:tcPr>
            <w:tcW w:w="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1.9</w:t>
            </w:r>
          </w:p>
        </w:tc>
        <w:tc>
          <w:tcPr>
            <w:tcW w:w="140" w:type="dxa"/>
            <w:vAlign w:val="bottom"/>
            <w:tcBorders>
              <w:bottom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343,489</w:t>
            </w:r>
          </w:p>
        </w:tc>
        <w:tc>
          <w:tcPr>
            <w:tcW w:w="100" w:type="dxa"/>
            <w:vAlign w:val="bottom"/>
            <w:shd w:val="clear" w:color="auto" w:fill="CCEEFF"/>
          </w:tcPr>
          <w:p>
            <w:pPr>
              <w:spacing w:after="0"/>
              <w:rPr>
                <w:sz w:val="17"/>
                <w:szCs w:val="17"/>
                <w:color w:val="auto"/>
              </w:rPr>
            </w:pPr>
          </w:p>
        </w:tc>
        <w:tc>
          <w:tcPr>
            <w:tcW w:w="500" w:type="dxa"/>
            <w:vAlign w:val="bottom"/>
            <w:tcBorders>
              <w:bottom w:val="single" w:sz="8" w:color="auto"/>
            </w:tcBorders>
            <w:shd w:val="clear" w:color="auto" w:fill="CCEEFF"/>
          </w:tcPr>
          <w:p>
            <w:pPr>
              <w:spacing w:after="0"/>
              <w:rPr>
                <w:sz w:val="17"/>
                <w:szCs w:val="17"/>
                <w:color w:val="auto"/>
              </w:rPr>
            </w:pPr>
          </w:p>
        </w:tc>
        <w:tc>
          <w:tcPr>
            <w:tcW w:w="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1.7</w:t>
            </w:r>
          </w:p>
        </w:tc>
        <w:tc>
          <w:tcPr>
            <w:tcW w:w="140" w:type="dxa"/>
            <w:vAlign w:val="bottom"/>
            <w:tcBorders>
              <w:bottom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2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210,265</w:t>
            </w:r>
          </w:p>
        </w:tc>
        <w:tc>
          <w:tcPr>
            <w:tcW w:w="80" w:type="dxa"/>
            <w:vAlign w:val="bottom"/>
            <w:shd w:val="clear" w:color="auto" w:fill="CCEEFF"/>
          </w:tcPr>
          <w:p>
            <w:pPr>
              <w:spacing w:after="0"/>
              <w:rPr>
                <w:sz w:val="17"/>
                <w:szCs w:val="17"/>
                <w:color w:val="auto"/>
              </w:rPr>
            </w:pPr>
          </w:p>
        </w:tc>
        <w:tc>
          <w:tcPr>
            <w:tcW w:w="460" w:type="dxa"/>
            <w:vAlign w:val="bottom"/>
            <w:tcBorders>
              <w:bottom w:val="single" w:sz="8" w:color="auto"/>
            </w:tcBorders>
            <w:shd w:val="clear" w:color="auto" w:fill="CCEEFF"/>
          </w:tcPr>
          <w:p>
            <w:pPr>
              <w:spacing w:after="0"/>
              <w:rPr>
                <w:sz w:val="17"/>
                <w:szCs w:val="17"/>
                <w:color w:val="auto"/>
              </w:rPr>
            </w:pPr>
          </w:p>
        </w:tc>
        <w:tc>
          <w:tcPr>
            <w:tcW w:w="3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1.1</w:t>
            </w:r>
          </w:p>
        </w:tc>
        <w:tc>
          <w:tcPr>
            <w:tcW w:w="160" w:type="dxa"/>
            <w:vAlign w:val="bottom"/>
            <w:tcBorders>
              <w:bottom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820" w:type="dxa"/>
            <w:vAlign w:val="bottom"/>
          </w:tcPr>
          <w:p>
            <w:pPr>
              <w:ind w:left="260"/>
              <w:spacing w:after="0"/>
              <w:rPr>
                <w:sz w:val="20"/>
                <w:szCs w:val="20"/>
                <w:color w:val="auto"/>
              </w:rPr>
            </w:pPr>
            <w:r>
              <w:rPr>
                <w:rFonts w:ascii="Arial" w:cs="Arial" w:eastAsia="Arial" w:hAnsi="Arial"/>
                <w:sz w:val="13"/>
                <w:szCs w:val="13"/>
                <w:color w:val="auto"/>
              </w:rPr>
              <w:t>Total loans in repayment</w:t>
            </w:r>
          </w:p>
        </w:tc>
        <w:tc>
          <w:tcPr>
            <w:tcW w:w="320" w:type="dxa"/>
            <w:vAlign w:val="bottom"/>
          </w:tcPr>
          <w:p>
            <w:pPr>
              <w:spacing w:after="0"/>
              <w:rPr>
                <w:sz w:val="17"/>
                <w:szCs w:val="17"/>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19,034,259</w:t>
            </w:r>
          </w:p>
        </w:tc>
        <w:tc>
          <w:tcPr>
            <w:tcW w:w="100" w:type="dxa"/>
            <w:vAlign w:val="bottom"/>
          </w:tcPr>
          <w:p>
            <w:pPr>
              <w:spacing w:after="0"/>
              <w:rPr>
                <w:sz w:val="17"/>
                <w:szCs w:val="17"/>
                <w:color w:val="auto"/>
              </w:rPr>
            </w:pPr>
          </w:p>
        </w:tc>
        <w:tc>
          <w:tcPr>
            <w:tcW w:w="440" w:type="dxa"/>
            <w:vAlign w:val="bottom"/>
            <w:tcBorders>
              <w:bottom w:val="single" w:sz="8" w:color="auto"/>
            </w:tcBorders>
          </w:tcPr>
          <w:p>
            <w:pPr>
              <w:spacing w:after="0"/>
              <w:rPr>
                <w:sz w:val="17"/>
                <w:szCs w:val="17"/>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100.0</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w w:val="86"/>
              </w:rPr>
              <w:t>%</w:t>
            </w: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3"/>
                <w:szCs w:val="13"/>
                <w:color w:val="auto"/>
              </w:rPr>
              <w:t>19,427,112</w:t>
            </w:r>
          </w:p>
        </w:tc>
        <w:tc>
          <w:tcPr>
            <w:tcW w:w="100" w:type="dxa"/>
            <w:vAlign w:val="bottom"/>
          </w:tcPr>
          <w:p>
            <w:pPr>
              <w:spacing w:after="0"/>
              <w:rPr>
                <w:sz w:val="17"/>
                <w:szCs w:val="17"/>
                <w:color w:val="auto"/>
              </w:rPr>
            </w:pPr>
          </w:p>
        </w:tc>
        <w:tc>
          <w:tcPr>
            <w:tcW w:w="500" w:type="dxa"/>
            <w:vAlign w:val="bottom"/>
            <w:tcBorders>
              <w:bottom w:val="single" w:sz="8" w:color="auto"/>
            </w:tcBorders>
          </w:tcPr>
          <w:p>
            <w:pPr>
              <w:spacing w:after="0"/>
              <w:rPr>
                <w:sz w:val="17"/>
                <w:szCs w:val="17"/>
                <w:color w:val="auto"/>
              </w:rPr>
            </w:pPr>
          </w:p>
        </w:tc>
        <w:tc>
          <w:tcPr>
            <w:tcW w:w="3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w w:val="85"/>
              </w:rPr>
              <w:t>100.0</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w w:val="86"/>
              </w:rPr>
              <w:t>%</w:t>
            </w: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3"/>
                <w:szCs w:val="13"/>
                <w:color w:val="auto"/>
              </w:rPr>
              <w:t>18,498,316</w:t>
            </w:r>
          </w:p>
        </w:tc>
        <w:tc>
          <w:tcPr>
            <w:tcW w:w="80" w:type="dxa"/>
            <w:vAlign w:val="bottom"/>
          </w:tcPr>
          <w:p>
            <w:pPr>
              <w:spacing w:after="0"/>
              <w:rPr>
                <w:sz w:val="17"/>
                <w:szCs w:val="17"/>
                <w:color w:val="auto"/>
              </w:rPr>
            </w:pPr>
          </w:p>
        </w:tc>
        <w:tc>
          <w:tcPr>
            <w:tcW w:w="460" w:type="dxa"/>
            <w:vAlign w:val="bottom"/>
            <w:tcBorders>
              <w:bottom w:val="single" w:sz="8" w:color="auto"/>
            </w:tcBorders>
          </w:tcPr>
          <w:p>
            <w:pPr>
              <w:spacing w:after="0"/>
              <w:rPr>
                <w:sz w:val="17"/>
                <w:szCs w:val="17"/>
                <w:color w:val="auto"/>
              </w:rPr>
            </w:pPr>
          </w:p>
        </w:tc>
        <w:tc>
          <w:tcPr>
            <w:tcW w:w="38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100.0</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45"/>
        </w:trPr>
        <w:tc>
          <w:tcPr>
            <w:tcW w:w="3820" w:type="dxa"/>
            <w:vAlign w:val="bottom"/>
            <w:tcBorders>
              <w:bottom w:val="single" w:sz="8" w:color="CCEEFF"/>
            </w:tcBorders>
          </w:tcPr>
          <w:p>
            <w:pPr>
              <w:spacing w:after="0"/>
              <w:rPr>
                <w:sz w:val="3"/>
                <w:szCs w:val="3"/>
                <w:color w:val="auto"/>
              </w:rPr>
            </w:pPr>
          </w:p>
        </w:tc>
        <w:tc>
          <w:tcPr>
            <w:tcW w:w="320" w:type="dxa"/>
            <w:vAlign w:val="bottom"/>
            <w:tcBorders>
              <w:bottom w:val="single" w:sz="8" w:color="auto"/>
            </w:tcBorders>
          </w:tcPr>
          <w:p>
            <w:pPr>
              <w:spacing w:after="0"/>
              <w:rPr>
                <w:sz w:val="3"/>
                <w:szCs w:val="3"/>
                <w:color w:val="auto"/>
              </w:rPr>
            </w:pPr>
          </w:p>
        </w:tc>
        <w:tc>
          <w:tcPr>
            <w:tcW w:w="960" w:type="dxa"/>
            <w:vAlign w:val="bottom"/>
            <w:tcBorders>
              <w:bottom w:val="single" w:sz="8" w:color="auto"/>
            </w:tcBorders>
          </w:tcPr>
          <w:p>
            <w:pPr>
              <w:spacing w:after="0"/>
              <w:rPr>
                <w:sz w:val="3"/>
                <w:szCs w:val="3"/>
                <w:color w:val="auto"/>
              </w:rPr>
            </w:pPr>
          </w:p>
        </w:tc>
        <w:tc>
          <w:tcPr>
            <w:tcW w:w="100" w:type="dxa"/>
            <w:vAlign w:val="bottom"/>
            <w:tcBorders>
              <w:bottom w:val="single" w:sz="8" w:color="CCEEFF"/>
            </w:tcBorders>
          </w:tcPr>
          <w:p>
            <w:pPr>
              <w:spacing w:after="0"/>
              <w:rPr>
                <w:sz w:val="3"/>
                <w:szCs w:val="3"/>
                <w:color w:val="auto"/>
              </w:rPr>
            </w:pPr>
          </w:p>
        </w:tc>
        <w:tc>
          <w:tcPr>
            <w:tcW w:w="440" w:type="dxa"/>
            <w:vAlign w:val="bottom"/>
            <w:tcBorders>
              <w:bottom w:val="single" w:sz="8" w:color="CCEEFF"/>
            </w:tcBorders>
          </w:tcPr>
          <w:p>
            <w:pPr>
              <w:spacing w:after="0"/>
              <w:rPr>
                <w:sz w:val="3"/>
                <w:szCs w:val="3"/>
                <w:color w:val="auto"/>
              </w:rPr>
            </w:pPr>
          </w:p>
        </w:tc>
        <w:tc>
          <w:tcPr>
            <w:tcW w:w="400" w:type="dxa"/>
            <w:vAlign w:val="bottom"/>
            <w:tcBorders>
              <w:bottom w:val="single" w:sz="8" w:color="CCEEFF"/>
            </w:tcBorders>
          </w:tcPr>
          <w:p>
            <w:pPr>
              <w:spacing w:after="0"/>
              <w:rPr>
                <w:sz w:val="3"/>
                <w:szCs w:val="3"/>
                <w:color w:val="auto"/>
              </w:rPr>
            </w:pPr>
          </w:p>
        </w:tc>
        <w:tc>
          <w:tcPr>
            <w:tcW w:w="140" w:type="dxa"/>
            <w:vAlign w:val="bottom"/>
            <w:tcBorders>
              <w:bottom w:val="single" w:sz="8" w:color="CCEEFF"/>
            </w:tcBorders>
          </w:tcPr>
          <w:p>
            <w:pPr>
              <w:spacing w:after="0"/>
              <w:rPr>
                <w:sz w:val="3"/>
                <w:szCs w:val="3"/>
                <w:color w:val="auto"/>
              </w:rPr>
            </w:pPr>
          </w:p>
        </w:tc>
        <w:tc>
          <w:tcPr>
            <w:tcW w:w="100" w:type="dxa"/>
            <w:vAlign w:val="bottom"/>
            <w:tcBorders>
              <w:bottom w:val="single" w:sz="8" w:color="CCEEFF"/>
            </w:tcBorders>
          </w:tcPr>
          <w:p>
            <w:pPr>
              <w:spacing w:after="0"/>
              <w:rPr>
                <w:sz w:val="3"/>
                <w:szCs w:val="3"/>
                <w:color w:val="auto"/>
              </w:rPr>
            </w:pPr>
          </w:p>
        </w:tc>
        <w:tc>
          <w:tcPr>
            <w:tcW w:w="300" w:type="dxa"/>
            <w:vAlign w:val="bottom"/>
            <w:tcBorders>
              <w:bottom w:val="single" w:sz="8" w:color="auto"/>
            </w:tcBorders>
          </w:tcPr>
          <w:p>
            <w:pPr>
              <w:spacing w:after="0"/>
              <w:rPr>
                <w:sz w:val="3"/>
                <w:szCs w:val="3"/>
                <w:color w:val="auto"/>
              </w:rPr>
            </w:pPr>
          </w:p>
        </w:tc>
        <w:tc>
          <w:tcPr>
            <w:tcW w:w="1000" w:type="dxa"/>
            <w:vAlign w:val="bottom"/>
            <w:tcBorders>
              <w:bottom w:val="single" w:sz="8" w:color="auto"/>
            </w:tcBorders>
          </w:tcPr>
          <w:p>
            <w:pPr>
              <w:spacing w:after="0"/>
              <w:rPr>
                <w:sz w:val="3"/>
                <w:szCs w:val="3"/>
                <w:color w:val="auto"/>
              </w:rPr>
            </w:pPr>
          </w:p>
        </w:tc>
        <w:tc>
          <w:tcPr>
            <w:tcW w:w="100" w:type="dxa"/>
            <w:vAlign w:val="bottom"/>
            <w:tcBorders>
              <w:bottom w:val="single" w:sz="8" w:color="CCEEFF"/>
            </w:tcBorders>
          </w:tcPr>
          <w:p>
            <w:pPr>
              <w:spacing w:after="0"/>
              <w:rPr>
                <w:sz w:val="3"/>
                <w:szCs w:val="3"/>
                <w:color w:val="auto"/>
              </w:rPr>
            </w:pPr>
          </w:p>
        </w:tc>
        <w:tc>
          <w:tcPr>
            <w:tcW w:w="500" w:type="dxa"/>
            <w:vAlign w:val="bottom"/>
            <w:tcBorders>
              <w:bottom w:val="single" w:sz="8" w:color="CCEEFF"/>
            </w:tcBorders>
          </w:tcPr>
          <w:p>
            <w:pPr>
              <w:spacing w:after="0"/>
              <w:rPr>
                <w:sz w:val="3"/>
                <w:szCs w:val="3"/>
                <w:color w:val="auto"/>
              </w:rPr>
            </w:pPr>
          </w:p>
        </w:tc>
        <w:tc>
          <w:tcPr>
            <w:tcW w:w="340" w:type="dxa"/>
            <w:vAlign w:val="bottom"/>
            <w:tcBorders>
              <w:bottom w:val="single" w:sz="8" w:color="CCEEFF"/>
            </w:tcBorders>
          </w:tcPr>
          <w:p>
            <w:pPr>
              <w:spacing w:after="0"/>
              <w:rPr>
                <w:sz w:val="3"/>
                <w:szCs w:val="3"/>
                <w:color w:val="auto"/>
              </w:rPr>
            </w:pPr>
          </w:p>
        </w:tc>
        <w:tc>
          <w:tcPr>
            <w:tcW w:w="140" w:type="dxa"/>
            <w:vAlign w:val="bottom"/>
            <w:tcBorders>
              <w:bottom w:val="single" w:sz="8" w:color="CCEEFF"/>
            </w:tcBorders>
          </w:tcPr>
          <w:p>
            <w:pPr>
              <w:spacing w:after="0"/>
              <w:rPr>
                <w:sz w:val="3"/>
                <w:szCs w:val="3"/>
                <w:color w:val="auto"/>
              </w:rPr>
            </w:pPr>
          </w:p>
        </w:tc>
        <w:tc>
          <w:tcPr>
            <w:tcW w:w="100" w:type="dxa"/>
            <w:vAlign w:val="bottom"/>
            <w:tcBorders>
              <w:bottom w:val="single" w:sz="8" w:color="CCEEFF"/>
            </w:tcBorders>
          </w:tcPr>
          <w:p>
            <w:pPr>
              <w:spacing w:after="0"/>
              <w:rPr>
                <w:sz w:val="3"/>
                <w:szCs w:val="3"/>
                <w:color w:val="auto"/>
              </w:rPr>
            </w:pPr>
          </w:p>
        </w:tc>
        <w:tc>
          <w:tcPr>
            <w:tcW w:w="32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80" w:type="dxa"/>
            <w:vAlign w:val="bottom"/>
            <w:tcBorders>
              <w:bottom w:val="single" w:sz="8" w:color="CCEEFF"/>
            </w:tcBorders>
          </w:tcPr>
          <w:p>
            <w:pPr>
              <w:spacing w:after="0"/>
              <w:rPr>
                <w:sz w:val="3"/>
                <w:szCs w:val="3"/>
                <w:color w:val="auto"/>
              </w:rPr>
            </w:pPr>
          </w:p>
        </w:tc>
        <w:tc>
          <w:tcPr>
            <w:tcW w:w="460" w:type="dxa"/>
            <w:vAlign w:val="bottom"/>
            <w:tcBorders>
              <w:bottom w:val="single" w:sz="8" w:color="CCEEFF"/>
            </w:tcBorders>
          </w:tcPr>
          <w:p>
            <w:pPr>
              <w:spacing w:after="0"/>
              <w:rPr>
                <w:sz w:val="3"/>
                <w:szCs w:val="3"/>
                <w:color w:val="auto"/>
              </w:rPr>
            </w:pPr>
          </w:p>
        </w:tc>
        <w:tc>
          <w:tcPr>
            <w:tcW w:w="380" w:type="dxa"/>
            <w:vAlign w:val="bottom"/>
            <w:tcBorders>
              <w:bottom w:val="single" w:sz="8" w:color="CCEEFF"/>
            </w:tcBorders>
          </w:tcPr>
          <w:p>
            <w:pPr>
              <w:spacing w:after="0"/>
              <w:rPr>
                <w:sz w:val="3"/>
                <w:szCs w:val="3"/>
                <w:color w:val="auto"/>
              </w:rPr>
            </w:pPr>
          </w:p>
        </w:tc>
        <w:tc>
          <w:tcPr>
            <w:tcW w:w="160" w:type="dxa"/>
            <w:vAlign w:val="bottom"/>
            <w:tcBorders>
              <w:bottom w:val="single" w:sz="8" w:color="CCEEFF"/>
            </w:tcBorders>
          </w:tcPr>
          <w:p>
            <w:pPr>
              <w:spacing w:after="0"/>
              <w:rPr>
                <w:sz w:val="3"/>
                <w:szCs w:val="3"/>
                <w:color w:val="auto"/>
              </w:rPr>
            </w:pPr>
          </w:p>
        </w:tc>
        <w:tc>
          <w:tcPr>
            <w:tcW w:w="0" w:type="dxa"/>
            <w:vAlign w:val="bottom"/>
          </w:tcPr>
          <w:p>
            <w:pPr>
              <w:spacing w:after="0"/>
              <w:rPr>
                <w:sz w:val="1"/>
                <w:szCs w:val="1"/>
                <w:color w:val="auto"/>
              </w:rPr>
            </w:pPr>
          </w:p>
        </w:tc>
      </w:tr>
      <w:tr>
        <w:trPr>
          <w:trHeight w:val="182"/>
        </w:trPr>
        <w:tc>
          <w:tcPr>
            <w:tcW w:w="3820" w:type="dxa"/>
            <w:vAlign w:val="bottom"/>
            <w:tcBorders>
              <w:top w:val="single" w:sz="8" w:color="CCEEFF"/>
              <w:bottom w:val="single" w:sz="8" w:color="CCEEFF"/>
            </w:tcBorders>
            <w:shd w:val="clear" w:color="auto" w:fill="CCEEFF"/>
          </w:tcPr>
          <w:p>
            <w:pPr>
              <w:ind w:left="260"/>
              <w:spacing w:after="0"/>
              <w:rPr>
                <w:sz w:val="20"/>
                <w:szCs w:val="20"/>
                <w:color w:val="auto"/>
              </w:rPr>
            </w:pPr>
            <w:r>
              <w:rPr>
                <w:rFonts w:ascii="Arial" w:cs="Arial" w:eastAsia="Arial" w:hAnsi="Arial"/>
                <w:sz w:val="13"/>
                <w:szCs w:val="13"/>
                <w:color w:val="auto"/>
              </w:rPr>
              <w:t>Total federally insured loans</w:t>
            </w:r>
          </w:p>
        </w:tc>
        <w:tc>
          <w:tcPr>
            <w:tcW w:w="320" w:type="dxa"/>
            <w:vAlign w:val="bottom"/>
            <w:tcBorders>
              <w:top w:val="single" w:sz="8" w:color="CCEEFF"/>
              <w:bottom w:val="single" w:sz="8" w:color="auto"/>
            </w:tcBorders>
            <w:shd w:val="clear" w:color="auto" w:fill="CCEEFF"/>
          </w:tcPr>
          <w:p>
            <w:pPr>
              <w:jc w:val="right"/>
              <w:ind w:right="212"/>
              <w:spacing w:after="0"/>
              <w:rPr>
                <w:sz w:val="20"/>
                <w:szCs w:val="20"/>
                <w:color w:val="auto"/>
              </w:rPr>
            </w:pPr>
            <w:r>
              <w:rPr>
                <w:rFonts w:ascii="Arial" w:cs="Arial" w:eastAsia="Arial" w:hAnsi="Arial"/>
                <w:sz w:val="10"/>
                <w:szCs w:val="10"/>
                <w:color w:val="auto"/>
                <w:w w:val="71"/>
              </w:rPr>
              <w:t>$</w:t>
            </w:r>
          </w:p>
        </w:tc>
        <w:tc>
          <w:tcPr>
            <w:tcW w:w="960" w:type="dxa"/>
            <w:vAlign w:val="bottom"/>
            <w:tcBorders>
              <w:top w:val="single" w:sz="8" w:color="CCEEFF"/>
              <w:bottom w:val="single" w:sz="8" w:color="auto"/>
            </w:tcBorders>
            <w:shd w:val="clear" w:color="auto" w:fill="CCEEFF"/>
          </w:tcPr>
          <w:p>
            <w:pPr>
              <w:jc w:val="right"/>
              <w:spacing w:after="0" w:line="143" w:lineRule="exact"/>
              <w:rPr>
                <w:sz w:val="20"/>
                <w:szCs w:val="20"/>
                <w:color w:val="auto"/>
              </w:rPr>
            </w:pPr>
            <w:r>
              <w:rPr>
                <w:rFonts w:ascii="Arial" w:cs="Arial" w:eastAsia="Arial" w:hAnsi="Arial"/>
                <w:sz w:val="13"/>
                <w:szCs w:val="13"/>
                <w:color w:val="auto"/>
              </w:rPr>
              <w:t>21,680,613</w:t>
            </w:r>
          </w:p>
        </w:tc>
        <w:tc>
          <w:tcPr>
            <w:tcW w:w="100" w:type="dxa"/>
            <w:vAlign w:val="bottom"/>
            <w:tcBorders>
              <w:top w:val="single" w:sz="8" w:color="CCEEFF"/>
              <w:bottom w:val="single" w:sz="8" w:color="CCEEFF"/>
            </w:tcBorders>
            <w:shd w:val="clear" w:color="auto" w:fill="CCEEFF"/>
          </w:tcPr>
          <w:p>
            <w:pPr>
              <w:spacing w:after="0"/>
              <w:rPr>
                <w:sz w:val="15"/>
                <w:szCs w:val="15"/>
                <w:color w:val="auto"/>
              </w:rPr>
            </w:pPr>
          </w:p>
        </w:tc>
        <w:tc>
          <w:tcPr>
            <w:tcW w:w="440" w:type="dxa"/>
            <w:vAlign w:val="bottom"/>
            <w:tcBorders>
              <w:top w:val="single" w:sz="8" w:color="auto"/>
              <w:bottom w:val="single" w:sz="8" w:color="CCEEFF"/>
            </w:tcBorders>
            <w:shd w:val="clear" w:color="auto" w:fill="CCEEFF"/>
          </w:tcPr>
          <w:p>
            <w:pPr>
              <w:spacing w:after="0"/>
              <w:rPr>
                <w:sz w:val="15"/>
                <w:szCs w:val="15"/>
                <w:color w:val="auto"/>
              </w:rPr>
            </w:pPr>
          </w:p>
        </w:tc>
        <w:tc>
          <w:tcPr>
            <w:tcW w:w="400" w:type="dxa"/>
            <w:vAlign w:val="bottom"/>
            <w:tcBorders>
              <w:top w:val="single" w:sz="8" w:color="auto"/>
              <w:bottom w:val="single" w:sz="8" w:color="CCEEFF"/>
            </w:tcBorders>
            <w:shd w:val="clear" w:color="auto" w:fill="CCEEFF"/>
          </w:tcPr>
          <w:p>
            <w:pPr>
              <w:spacing w:after="0"/>
              <w:rPr>
                <w:sz w:val="15"/>
                <w:szCs w:val="15"/>
                <w:color w:val="auto"/>
              </w:rPr>
            </w:pPr>
          </w:p>
        </w:tc>
        <w:tc>
          <w:tcPr>
            <w:tcW w:w="140" w:type="dxa"/>
            <w:vAlign w:val="bottom"/>
            <w:tcBorders>
              <w:top w:val="single" w:sz="8" w:color="auto"/>
              <w:bottom w:val="single" w:sz="8" w:color="CCEEFF"/>
            </w:tcBorders>
            <w:shd w:val="clear" w:color="auto" w:fill="CCEEFF"/>
          </w:tcPr>
          <w:p>
            <w:pPr>
              <w:spacing w:after="0"/>
              <w:rPr>
                <w:sz w:val="15"/>
                <w:szCs w:val="15"/>
                <w:color w:val="auto"/>
              </w:rPr>
            </w:pPr>
          </w:p>
        </w:tc>
        <w:tc>
          <w:tcPr>
            <w:tcW w:w="100" w:type="dxa"/>
            <w:vAlign w:val="bottom"/>
            <w:tcBorders>
              <w:top w:val="single" w:sz="8" w:color="CCEEFF"/>
              <w:bottom w:val="single" w:sz="8" w:color="CCEEFF"/>
            </w:tcBorders>
            <w:shd w:val="clear" w:color="auto" w:fill="CCEEFF"/>
          </w:tcPr>
          <w:p>
            <w:pPr>
              <w:spacing w:after="0"/>
              <w:rPr>
                <w:sz w:val="15"/>
                <w:szCs w:val="15"/>
                <w:color w:val="auto"/>
              </w:rPr>
            </w:pPr>
          </w:p>
        </w:tc>
        <w:tc>
          <w:tcPr>
            <w:tcW w:w="300" w:type="dxa"/>
            <w:vAlign w:val="bottom"/>
            <w:tcBorders>
              <w:top w:val="single" w:sz="8" w:color="CCEEFF"/>
              <w:bottom w:val="single" w:sz="8" w:color="auto"/>
            </w:tcBorders>
            <w:shd w:val="clear" w:color="auto" w:fill="CCEEFF"/>
          </w:tcPr>
          <w:p>
            <w:pPr>
              <w:jc w:val="right"/>
              <w:ind w:right="155"/>
              <w:spacing w:after="0" w:line="143" w:lineRule="exact"/>
              <w:rPr>
                <w:sz w:val="20"/>
                <w:szCs w:val="20"/>
                <w:color w:val="auto"/>
              </w:rPr>
            </w:pPr>
            <w:r>
              <w:rPr>
                <w:rFonts w:ascii="Arial" w:cs="Arial" w:eastAsia="Arial" w:hAnsi="Arial"/>
                <w:sz w:val="13"/>
                <w:szCs w:val="13"/>
                <w:color w:val="auto"/>
                <w:w w:val="82"/>
              </w:rPr>
              <w:t>$</w:t>
            </w:r>
          </w:p>
        </w:tc>
        <w:tc>
          <w:tcPr>
            <w:tcW w:w="1000" w:type="dxa"/>
            <w:vAlign w:val="bottom"/>
            <w:tcBorders>
              <w:top w:val="single" w:sz="8" w:color="CCEEFF"/>
              <w:bottom w:val="single" w:sz="8" w:color="auto"/>
            </w:tcBorders>
            <w:shd w:val="clear" w:color="auto" w:fill="CCEEFF"/>
          </w:tcPr>
          <w:p>
            <w:pPr>
              <w:jc w:val="right"/>
              <w:spacing w:after="0" w:line="143" w:lineRule="exact"/>
              <w:rPr>
                <w:sz w:val="20"/>
                <w:szCs w:val="20"/>
                <w:color w:val="auto"/>
              </w:rPr>
            </w:pPr>
            <w:r>
              <w:rPr>
                <w:rFonts w:ascii="Arial" w:cs="Arial" w:eastAsia="Arial" w:hAnsi="Arial"/>
                <w:sz w:val="13"/>
                <w:szCs w:val="13"/>
                <w:color w:val="auto"/>
              </w:rPr>
              <w:t>22,155,896</w:t>
            </w:r>
          </w:p>
        </w:tc>
        <w:tc>
          <w:tcPr>
            <w:tcW w:w="100" w:type="dxa"/>
            <w:vAlign w:val="bottom"/>
            <w:tcBorders>
              <w:top w:val="single" w:sz="8" w:color="CCEEFF"/>
              <w:bottom w:val="single" w:sz="8" w:color="CCEEFF"/>
            </w:tcBorders>
            <w:shd w:val="clear" w:color="auto" w:fill="CCEEFF"/>
          </w:tcPr>
          <w:p>
            <w:pPr>
              <w:spacing w:after="0"/>
              <w:rPr>
                <w:sz w:val="15"/>
                <w:szCs w:val="15"/>
                <w:color w:val="auto"/>
              </w:rPr>
            </w:pPr>
          </w:p>
        </w:tc>
        <w:tc>
          <w:tcPr>
            <w:tcW w:w="500" w:type="dxa"/>
            <w:vAlign w:val="bottom"/>
            <w:tcBorders>
              <w:top w:val="single" w:sz="8" w:color="auto"/>
              <w:bottom w:val="single" w:sz="8" w:color="CCEEFF"/>
            </w:tcBorders>
            <w:shd w:val="clear" w:color="auto" w:fill="CCEEFF"/>
          </w:tcPr>
          <w:p>
            <w:pPr>
              <w:spacing w:after="0"/>
              <w:rPr>
                <w:sz w:val="15"/>
                <w:szCs w:val="15"/>
                <w:color w:val="auto"/>
              </w:rPr>
            </w:pPr>
          </w:p>
        </w:tc>
        <w:tc>
          <w:tcPr>
            <w:tcW w:w="340" w:type="dxa"/>
            <w:vAlign w:val="bottom"/>
            <w:tcBorders>
              <w:top w:val="single" w:sz="8" w:color="auto"/>
              <w:bottom w:val="single" w:sz="8" w:color="CCEEFF"/>
            </w:tcBorders>
            <w:shd w:val="clear" w:color="auto" w:fill="CCEEFF"/>
          </w:tcPr>
          <w:p>
            <w:pPr>
              <w:spacing w:after="0"/>
              <w:rPr>
                <w:sz w:val="15"/>
                <w:szCs w:val="15"/>
                <w:color w:val="auto"/>
              </w:rPr>
            </w:pPr>
          </w:p>
        </w:tc>
        <w:tc>
          <w:tcPr>
            <w:tcW w:w="140" w:type="dxa"/>
            <w:vAlign w:val="bottom"/>
            <w:tcBorders>
              <w:top w:val="single" w:sz="8" w:color="auto"/>
              <w:bottom w:val="single" w:sz="8" w:color="CCEEFF"/>
            </w:tcBorders>
            <w:shd w:val="clear" w:color="auto" w:fill="CCEEFF"/>
          </w:tcPr>
          <w:p>
            <w:pPr>
              <w:spacing w:after="0"/>
              <w:rPr>
                <w:sz w:val="15"/>
                <w:szCs w:val="15"/>
                <w:color w:val="auto"/>
              </w:rPr>
            </w:pPr>
          </w:p>
        </w:tc>
        <w:tc>
          <w:tcPr>
            <w:tcW w:w="100" w:type="dxa"/>
            <w:vAlign w:val="bottom"/>
            <w:tcBorders>
              <w:top w:val="single" w:sz="8" w:color="CCEEFF"/>
              <w:bottom w:val="single" w:sz="8" w:color="CCEEFF"/>
            </w:tcBorders>
            <w:shd w:val="clear" w:color="auto" w:fill="CCEEFF"/>
          </w:tcPr>
          <w:p>
            <w:pPr>
              <w:spacing w:after="0"/>
              <w:rPr>
                <w:sz w:val="15"/>
                <w:szCs w:val="15"/>
                <w:color w:val="auto"/>
              </w:rPr>
            </w:pPr>
          </w:p>
        </w:tc>
        <w:tc>
          <w:tcPr>
            <w:tcW w:w="320" w:type="dxa"/>
            <w:vAlign w:val="bottom"/>
            <w:tcBorders>
              <w:top w:val="single" w:sz="8" w:color="CCEEFF"/>
              <w:bottom w:val="single" w:sz="8" w:color="auto"/>
            </w:tcBorders>
            <w:shd w:val="clear" w:color="auto" w:fill="CCEEFF"/>
          </w:tcPr>
          <w:p>
            <w:pPr>
              <w:jc w:val="right"/>
              <w:ind w:right="175"/>
              <w:spacing w:after="0" w:line="143" w:lineRule="exact"/>
              <w:rPr>
                <w:sz w:val="20"/>
                <w:szCs w:val="20"/>
                <w:color w:val="auto"/>
              </w:rPr>
            </w:pPr>
            <w:r>
              <w:rPr>
                <w:rFonts w:ascii="Arial" w:cs="Arial" w:eastAsia="Arial" w:hAnsi="Arial"/>
                <w:sz w:val="13"/>
                <w:szCs w:val="13"/>
                <w:color w:val="auto"/>
                <w:w w:val="82"/>
              </w:rPr>
              <w:t>$</w:t>
            </w:r>
          </w:p>
        </w:tc>
        <w:tc>
          <w:tcPr>
            <w:tcW w:w="920" w:type="dxa"/>
            <w:vAlign w:val="bottom"/>
            <w:tcBorders>
              <w:top w:val="single" w:sz="8" w:color="CCEEFF"/>
              <w:bottom w:val="single" w:sz="8" w:color="auto"/>
            </w:tcBorders>
            <w:shd w:val="clear" w:color="auto" w:fill="CCEEFF"/>
          </w:tcPr>
          <w:p>
            <w:pPr>
              <w:jc w:val="right"/>
              <w:spacing w:after="0" w:line="143" w:lineRule="exact"/>
              <w:rPr>
                <w:sz w:val="20"/>
                <w:szCs w:val="20"/>
                <w:color w:val="auto"/>
              </w:rPr>
            </w:pPr>
            <w:r>
              <w:rPr>
                <w:rFonts w:ascii="Arial" w:cs="Arial" w:eastAsia="Arial" w:hAnsi="Arial"/>
                <w:sz w:val="13"/>
                <w:szCs w:val="13"/>
                <w:color w:val="auto"/>
              </w:rPr>
              <w:t>21,461,548</w:t>
            </w:r>
          </w:p>
        </w:tc>
        <w:tc>
          <w:tcPr>
            <w:tcW w:w="80" w:type="dxa"/>
            <w:vAlign w:val="bottom"/>
            <w:tcBorders>
              <w:top w:val="single" w:sz="8" w:color="CCEEFF"/>
              <w:bottom w:val="single" w:sz="8" w:color="CCEEFF"/>
            </w:tcBorders>
            <w:shd w:val="clear" w:color="auto" w:fill="CCEEFF"/>
          </w:tcPr>
          <w:p>
            <w:pPr>
              <w:spacing w:after="0"/>
              <w:rPr>
                <w:sz w:val="15"/>
                <w:szCs w:val="15"/>
                <w:color w:val="auto"/>
              </w:rPr>
            </w:pPr>
          </w:p>
        </w:tc>
        <w:tc>
          <w:tcPr>
            <w:tcW w:w="460" w:type="dxa"/>
            <w:vAlign w:val="bottom"/>
            <w:tcBorders>
              <w:top w:val="single" w:sz="8" w:color="auto"/>
              <w:bottom w:val="single" w:sz="8" w:color="CCEEFF"/>
            </w:tcBorders>
            <w:shd w:val="clear" w:color="auto" w:fill="CCEEFF"/>
          </w:tcPr>
          <w:p>
            <w:pPr>
              <w:spacing w:after="0"/>
              <w:rPr>
                <w:sz w:val="15"/>
                <w:szCs w:val="15"/>
                <w:color w:val="auto"/>
              </w:rPr>
            </w:pPr>
          </w:p>
        </w:tc>
        <w:tc>
          <w:tcPr>
            <w:tcW w:w="380" w:type="dxa"/>
            <w:vAlign w:val="bottom"/>
            <w:tcBorders>
              <w:top w:val="single" w:sz="8" w:color="auto"/>
              <w:bottom w:val="single" w:sz="8" w:color="CCEEFF"/>
            </w:tcBorders>
            <w:shd w:val="clear" w:color="auto" w:fill="CCEEFF"/>
          </w:tcPr>
          <w:p>
            <w:pPr>
              <w:spacing w:after="0"/>
              <w:rPr>
                <w:sz w:val="15"/>
                <w:szCs w:val="15"/>
                <w:color w:val="auto"/>
              </w:rPr>
            </w:pPr>
          </w:p>
        </w:tc>
        <w:tc>
          <w:tcPr>
            <w:tcW w:w="160" w:type="dxa"/>
            <w:vAlign w:val="bottom"/>
            <w:tcBorders>
              <w:top w:val="single" w:sz="8" w:color="auto"/>
              <w:bottom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382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3"/>
                <w:szCs w:val="13"/>
                <w:b w:val="1"/>
                <w:bCs w:val="1"/>
                <w:color w:val="auto"/>
              </w:rPr>
              <w:t>Private education loans:</w:t>
            </w: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2"/>
        </w:trPr>
        <w:tc>
          <w:tcPr>
            <w:tcW w:w="3820" w:type="dxa"/>
            <w:vAlign w:val="bottom"/>
            <w:vMerge w:val="continue"/>
          </w:tcPr>
          <w:p>
            <w:pPr>
              <w:spacing w:after="0"/>
              <w:rPr>
                <w:sz w:val="10"/>
                <w:szCs w:val="10"/>
                <w:color w:val="auto"/>
              </w:rPr>
            </w:pPr>
          </w:p>
        </w:tc>
        <w:tc>
          <w:tcPr>
            <w:tcW w:w="32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7"/>
        </w:trPr>
        <w:tc>
          <w:tcPr>
            <w:tcW w:w="3820" w:type="dxa"/>
            <w:vAlign w:val="bottom"/>
          </w:tcPr>
          <w:p>
            <w:pPr>
              <w:spacing w:after="0"/>
              <w:rPr>
                <w:sz w:val="2"/>
                <w:szCs w:val="2"/>
                <w:color w:val="auto"/>
              </w:rPr>
            </w:pPr>
          </w:p>
        </w:tc>
        <w:tc>
          <w:tcPr>
            <w:tcW w:w="32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4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920" w:type="dxa"/>
            <w:vAlign w:val="bottom"/>
          </w:tcPr>
          <w:p>
            <w:pPr>
              <w:spacing w:after="0"/>
              <w:rPr>
                <w:sz w:val="2"/>
                <w:szCs w:val="2"/>
                <w:color w:val="auto"/>
              </w:rPr>
            </w:pPr>
          </w:p>
        </w:tc>
        <w:tc>
          <w:tcPr>
            <w:tcW w:w="80" w:type="dxa"/>
            <w:vAlign w:val="bottom"/>
          </w:tcPr>
          <w:p>
            <w:pPr>
              <w:spacing w:after="0"/>
              <w:rPr>
                <w:sz w:val="2"/>
                <w:szCs w:val="2"/>
                <w:color w:val="auto"/>
              </w:rPr>
            </w:pPr>
          </w:p>
        </w:tc>
        <w:tc>
          <w:tcPr>
            <w:tcW w:w="460" w:type="dxa"/>
            <w:vAlign w:val="bottom"/>
          </w:tcPr>
          <w:p>
            <w:pPr>
              <w:spacing w:after="0"/>
              <w:rPr>
                <w:sz w:val="2"/>
                <w:szCs w:val="2"/>
                <w:color w:val="auto"/>
              </w:rPr>
            </w:pPr>
          </w:p>
        </w:tc>
        <w:tc>
          <w:tcPr>
            <w:tcW w:w="380" w:type="dxa"/>
            <w:vAlign w:val="bottom"/>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5"/>
        </w:trPr>
        <w:tc>
          <w:tcPr>
            <w:tcW w:w="38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Loans in-school/grace/deferment</w:t>
            </w:r>
          </w:p>
        </w:tc>
        <w:tc>
          <w:tcPr>
            <w:tcW w:w="320" w:type="dxa"/>
            <w:vAlign w:val="bottom"/>
            <w:tcBorders>
              <w:bottom w:val="single" w:sz="8" w:color="CCEEFF"/>
            </w:tcBorders>
            <w:shd w:val="clear" w:color="auto" w:fill="CCEEFF"/>
          </w:tcPr>
          <w:p>
            <w:pPr>
              <w:jc w:val="right"/>
              <w:ind w:right="212"/>
              <w:spacing w:after="0"/>
              <w:rPr>
                <w:sz w:val="20"/>
                <w:szCs w:val="20"/>
                <w:color w:val="auto"/>
              </w:rPr>
            </w:pPr>
            <w:r>
              <w:rPr>
                <w:rFonts w:ascii="Arial" w:cs="Arial" w:eastAsia="Arial" w:hAnsi="Arial"/>
                <w:sz w:val="10"/>
                <w:szCs w:val="10"/>
                <w:color w:val="auto"/>
                <w:w w:val="71"/>
              </w:rPr>
              <w:t>$</w:t>
            </w: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4,208</w:t>
            </w:r>
          </w:p>
        </w:tc>
        <w:tc>
          <w:tcPr>
            <w:tcW w:w="100" w:type="dxa"/>
            <w:vAlign w:val="bottom"/>
            <w:tcBorders>
              <w:bottom w:val="single" w:sz="8" w:color="CCEEFF"/>
            </w:tcBorders>
            <w:shd w:val="clear" w:color="auto" w:fill="CCEEFF"/>
          </w:tcPr>
          <w:p>
            <w:pPr>
              <w:spacing w:after="0"/>
              <w:rPr>
                <w:sz w:val="16"/>
                <w:szCs w:val="16"/>
                <w:color w:val="auto"/>
              </w:rPr>
            </w:pPr>
          </w:p>
        </w:tc>
        <w:tc>
          <w:tcPr>
            <w:tcW w:w="440" w:type="dxa"/>
            <w:vAlign w:val="bottom"/>
            <w:tcBorders>
              <w:bottom w:val="single" w:sz="8" w:color="CCEEFF"/>
            </w:tcBorders>
            <w:shd w:val="clear" w:color="auto" w:fill="CCEEFF"/>
          </w:tcPr>
          <w:p>
            <w:pPr>
              <w:spacing w:after="0"/>
              <w:rPr>
                <w:sz w:val="16"/>
                <w:szCs w:val="16"/>
                <w:color w:val="auto"/>
              </w:rPr>
            </w:pPr>
          </w:p>
        </w:tc>
        <w:tc>
          <w:tcPr>
            <w:tcW w:w="400" w:type="dxa"/>
            <w:vAlign w:val="bottom"/>
            <w:tcBorders>
              <w:bottom w:val="single" w:sz="8" w:color="CCEEFF"/>
            </w:tcBorders>
            <w:shd w:val="clear" w:color="auto" w:fill="CCEEFF"/>
          </w:tcPr>
          <w:p>
            <w:pPr>
              <w:spacing w:after="0"/>
              <w:rPr>
                <w:sz w:val="16"/>
                <w:szCs w:val="16"/>
                <w:color w:val="auto"/>
              </w:rPr>
            </w:pPr>
          </w:p>
        </w:tc>
        <w:tc>
          <w:tcPr>
            <w:tcW w:w="14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300" w:type="dxa"/>
            <w:vAlign w:val="bottom"/>
            <w:tcBorders>
              <w:bottom w:val="single" w:sz="8" w:color="CCEEFF"/>
            </w:tcBorders>
            <w:shd w:val="clear" w:color="auto" w:fill="CCEEFF"/>
          </w:tcPr>
          <w:p>
            <w:pPr>
              <w:jc w:val="right"/>
              <w:ind w:right="155"/>
              <w:spacing w:after="0"/>
              <w:rPr>
                <w:sz w:val="20"/>
                <w:szCs w:val="20"/>
                <w:color w:val="auto"/>
              </w:rPr>
            </w:pPr>
            <w:r>
              <w:rPr>
                <w:rFonts w:ascii="Arial" w:cs="Arial" w:eastAsia="Arial" w:hAnsi="Arial"/>
                <w:sz w:val="13"/>
                <w:szCs w:val="13"/>
                <w:color w:val="auto"/>
                <w:w w:val="82"/>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4,320</w:t>
            </w:r>
          </w:p>
        </w:tc>
        <w:tc>
          <w:tcPr>
            <w:tcW w:w="100" w:type="dxa"/>
            <w:vAlign w:val="bottom"/>
            <w:tcBorders>
              <w:bottom w:val="single" w:sz="8" w:color="CCEEFF"/>
            </w:tcBorders>
            <w:shd w:val="clear" w:color="auto" w:fill="CCEEFF"/>
          </w:tcPr>
          <w:p>
            <w:pPr>
              <w:spacing w:after="0"/>
              <w:rPr>
                <w:sz w:val="16"/>
                <w:szCs w:val="16"/>
                <w:color w:val="auto"/>
              </w:rPr>
            </w:pPr>
          </w:p>
        </w:tc>
        <w:tc>
          <w:tcPr>
            <w:tcW w:w="500" w:type="dxa"/>
            <w:vAlign w:val="bottom"/>
            <w:tcBorders>
              <w:bottom w:val="single" w:sz="8" w:color="CCEEFF"/>
            </w:tcBorders>
            <w:shd w:val="clear" w:color="auto" w:fill="CCEEFF"/>
          </w:tcPr>
          <w:p>
            <w:pPr>
              <w:spacing w:after="0"/>
              <w:rPr>
                <w:sz w:val="16"/>
                <w:szCs w:val="16"/>
                <w:color w:val="auto"/>
              </w:rPr>
            </w:pPr>
          </w:p>
        </w:tc>
        <w:tc>
          <w:tcPr>
            <w:tcW w:w="340" w:type="dxa"/>
            <w:vAlign w:val="bottom"/>
            <w:tcBorders>
              <w:bottom w:val="single" w:sz="8" w:color="CCEEFF"/>
            </w:tcBorders>
            <w:shd w:val="clear" w:color="auto" w:fill="CCEEFF"/>
          </w:tcPr>
          <w:p>
            <w:pPr>
              <w:spacing w:after="0"/>
              <w:rPr>
                <w:sz w:val="16"/>
                <w:szCs w:val="16"/>
                <w:color w:val="auto"/>
              </w:rPr>
            </w:pPr>
          </w:p>
        </w:tc>
        <w:tc>
          <w:tcPr>
            <w:tcW w:w="14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320" w:type="dxa"/>
            <w:vAlign w:val="bottom"/>
            <w:tcBorders>
              <w:bottom w:val="single" w:sz="8" w:color="CCEEFF"/>
            </w:tcBorders>
            <w:shd w:val="clear" w:color="auto" w:fill="CCEEFF"/>
          </w:tcPr>
          <w:p>
            <w:pPr>
              <w:jc w:val="right"/>
              <w:ind w:right="175"/>
              <w:spacing w:after="0"/>
              <w:rPr>
                <w:sz w:val="20"/>
                <w:szCs w:val="20"/>
                <w:color w:val="auto"/>
              </w:rPr>
            </w:pPr>
            <w:r>
              <w:rPr>
                <w:rFonts w:ascii="Arial" w:cs="Arial" w:eastAsia="Arial" w:hAnsi="Arial"/>
                <w:sz w:val="13"/>
                <w:szCs w:val="13"/>
                <w:color w:val="auto"/>
                <w:w w:val="82"/>
              </w:rPr>
              <w:t>$</w:t>
            </w: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5,532</w:t>
            </w:r>
          </w:p>
        </w:tc>
        <w:tc>
          <w:tcPr>
            <w:tcW w:w="80" w:type="dxa"/>
            <w:vAlign w:val="bottom"/>
            <w:tcBorders>
              <w:bottom w:val="single" w:sz="8" w:color="CCEEFF"/>
            </w:tcBorders>
            <w:shd w:val="clear" w:color="auto" w:fill="CCEEFF"/>
          </w:tcPr>
          <w:p>
            <w:pPr>
              <w:spacing w:after="0"/>
              <w:rPr>
                <w:sz w:val="16"/>
                <w:szCs w:val="16"/>
                <w:color w:val="auto"/>
              </w:rPr>
            </w:pPr>
          </w:p>
        </w:tc>
        <w:tc>
          <w:tcPr>
            <w:tcW w:w="460" w:type="dxa"/>
            <w:vAlign w:val="bottom"/>
            <w:tcBorders>
              <w:bottom w:val="single" w:sz="8" w:color="CCEEFF"/>
            </w:tcBorders>
            <w:shd w:val="clear" w:color="auto" w:fill="CCEEFF"/>
          </w:tcPr>
          <w:p>
            <w:pPr>
              <w:spacing w:after="0"/>
              <w:rPr>
                <w:sz w:val="16"/>
                <w:szCs w:val="16"/>
                <w:color w:val="auto"/>
              </w:rPr>
            </w:pPr>
          </w:p>
        </w:tc>
        <w:tc>
          <w:tcPr>
            <w:tcW w:w="380" w:type="dxa"/>
            <w:vAlign w:val="bottom"/>
            <w:tcBorders>
              <w:bottom w:val="single" w:sz="8" w:color="CCEEFF"/>
            </w:tcBorders>
            <w:shd w:val="clear" w:color="auto" w:fill="CCEEFF"/>
          </w:tcPr>
          <w:p>
            <w:pPr>
              <w:spacing w:after="0"/>
              <w:rPr>
                <w:sz w:val="16"/>
                <w:szCs w:val="16"/>
                <w:color w:val="auto"/>
              </w:rPr>
            </w:pPr>
          </w:p>
        </w:tc>
        <w:tc>
          <w:tcPr>
            <w:tcW w:w="160" w:type="dxa"/>
            <w:vAlign w:val="bottom"/>
            <w:tcBorders>
              <w:bottom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78"/>
        </w:trPr>
        <w:tc>
          <w:tcPr>
            <w:tcW w:w="3820" w:type="dxa"/>
            <w:vAlign w:val="bottom"/>
          </w:tcPr>
          <w:p>
            <w:pPr>
              <w:spacing w:after="0"/>
              <w:rPr>
                <w:sz w:val="20"/>
                <w:szCs w:val="20"/>
                <w:color w:val="auto"/>
              </w:rPr>
            </w:pPr>
            <w:r>
              <w:rPr>
                <w:rFonts w:ascii="Arial" w:cs="Arial" w:eastAsia="Arial" w:hAnsi="Arial"/>
                <w:sz w:val="13"/>
                <w:szCs w:val="13"/>
                <w:color w:val="auto"/>
              </w:rPr>
              <w:t>Loans in forbearance</w:t>
            </w:r>
          </w:p>
        </w:tc>
        <w:tc>
          <w:tcPr>
            <w:tcW w:w="320" w:type="dxa"/>
            <w:vAlign w:val="bottom"/>
          </w:tcPr>
          <w:p>
            <w:pPr>
              <w:spacing w:after="0"/>
              <w:rPr>
                <w:sz w:val="15"/>
                <w:szCs w:val="15"/>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1,473</w:t>
            </w:r>
          </w:p>
        </w:tc>
        <w:tc>
          <w:tcPr>
            <w:tcW w:w="1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3"/>
                <w:szCs w:val="13"/>
                <w:color w:val="auto"/>
              </w:rPr>
              <w:t>1,494</w:t>
            </w:r>
          </w:p>
        </w:tc>
        <w:tc>
          <w:tcPr>
            <w:tcW w:w="10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3"/>
                <w:szCs w:val="13"/>
                <w:color w:val="auto"/>
              </w:rPr>
              <w:t>2,574</w:t>
            </w:r>
          </w:p>
        </w:tc>
        <w:tc>
          <w:tcPr>
            <w:tcW w:w="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7"/>
        </w:trPr>
        <w:tc>
          <w:tcPr>
            <w:tcW w:w="3820" w:type="dxa"/>
            <w:vAlign w:val="bottom"/>
          </w:tcPr>
          <w:p>
            <w:pPr>
              <w:spacing w:after="0"/>
              <w:rPr>
                <w:sz w:val="2"/>
                <w:szCs w:val="2"/>
                <w:color w:val="auto"/>
              </w:rPr>
            </w:pPr>
          </w:p>
        </w:tc>
        <w:tc>
          <w:tcPr>
            <w:tcW w:w="32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4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920" w:type="dxa"/>
            <w:vAlign w:val="bottom"/>
          </w:tcPr>
          <w:p>
            <w:pPr>
              <w:spacing w:after="0"/>
              <w:rPr>
                <w:sz w:val="2"/>
                <w:szCs w:val="2"/>
                <w:color w:val="auto"/>
              </w:rPr>
            </w:pPr>
          </w:p>
        </w:tc>
        <w:tc>
          <w:tcPr>
            <w:tcW w:w="80" w:type="dxa"/>
            <w:vAlign w:val="bottom"/>
          </w:tcPr>
          <w:p>
            <w:pPr>
              <w:spacing w:after="0"/>
              <w:rPr>
                <w:sz w:val="2"/>
                <w:szCs w:val="2"/>
                <w:color w:val="auto"/>
              </w:rPr>
            </w:pPr>
          </w:p>
        </w:tc>
        <w:tc>
          <w:tcPr>
            <w:tcW w:w="460" w:type="dxa"/>
            <w:vAlign w:val="bottom"/>
          </w:tcPr>
          <w:p>
            <w:pPr>
              <w:spacing w:after="0"/>
              <w:rPr>
                <w:sz w:val="2"/>
                <w:szCs w:val="2"/>
                <w:color w:val="auto"/>
              </w:rPr>
            </w:pPr>
          </w:p>
        </w:tc>
        <w:tc>
          <w:tcPr>
            <w:tcW w:w="380" w:type="dxa"/>
            <w:vAlign w:val="bottom"/>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5"/>
        </w:trPr>
        <w:tc>
          <w:tcPr>
            <w:tcW w:w="38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Loans in repayment status:</w:t>
            </w:r>
          </w:p>
        </w:tc>
        <w:tc>
          <w:tcPr>
            <w:tcW w:w="320" w:type="dxa"/>
            <w:vAlign w:val="bottom"/>
            <w:tcBorders>
              <w:bottom w:val="single" w:sz="8" w:color="CCEEFF"/>
            </w:tcBorders>
            <w:shd w:val="clear" w:color="auto" w:fill="CCEEFF"/>
          </w:tcPr>
          <w:p>
            <w:pPr>
              <w:spacing w:after="0"/>
              <w:rPr>
                <w:sz w:val="16"/>
                <w:szCs w:val="16"/>
                <w:color w:val="auto"/>
              </w:rPr>
            </w:pPr>
          </w:p>
        </w:tc>
        <w:tc>
          <w:tcPr>
            <w:tcW w:w="96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440" w:type="dxa"/>
            <w:vAlign w:val="bottom"/>
            <w:tcBorders>
              <w:bottom w:val="single" w:sz="8" w:color="CCEEFF"/>
            </w:tcBorders>
            <w:shd w:val="clear" w:color="auto" w:fill="CCEEFF"/>
          </w:tcPr>
          <w:p>
            <w:pPr>
              <w:spacing w:after="0"/>
              <w:rPr>
                <w:sz w:val="16"/>
                <w:szCs w:val="16"/>
                <w:color w:val="auto"/>
              </w:rPr>
            </w:pPr>
          </w:p>
        </w:tc>
        <w:tc>
          <w:tcPr>
            <w:tcW w:w="400" w:type="dxa"/>
            <w:vAlign w:val="bottom"/>
            <w:tcBorders>
              <w:bottom w:val="single" w:sz="8" w:color="CCEEFF"/>
            </w:tcBorders>
            <w:shd w:val="clear" w:color="auto" w:fill="CCEEFF"/>
          </w:tcPr>
          <w:p>
            <w:pPr>
              <w:spacing w:after="0"/>
              <w:rPr>
                <w:sz w:val="16"/>
                <w:szCs w:val="16"/>
                <w:color w:val="auto"/>
              </w:rPr>
            </w:pPr>
          </w:p>
        </w:tc>
        <w:tc>
          <w:tcPr>
            <w:tcW w:w="14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300" w:type="dxa"/>
            <w:vAlign w:val="bottom"/>
            <w:tcBorders>
              <w:bottom w:val="single" w:sz="8" w:color="CCEEFF"/>
            </w:tcBorders>
            <w:shd w:val="clear" w:color="auto" w:fill="CCEEFF"/>
          </w:tcPr>
          <w:p>
            <w:pPr>
              <w:spacing w:after="0"/>
              <w:rPr>
                <w:sz w:val="16"/>
                <w:szCs w:val="16"/>
                <w:color w:val="auto"/>
              </w:rPr>
            </w:pPr>
          </w:p>
        </w:tc>
        <w:tc>
          <w:tcPr>
            <w:tcW w:w="100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500" w:type="dxa"/>
            <w:vAlign w:val="bottom"/>
            <w:tcBorders>
              <w:bottom w:val="single" w:sz="8" w:color="CCEEFF"/>
            </w:tcBorders>
            <w:shd w:val="clear" w:color="auto" w:fill="CCEEFF"/>
          </w:tcPr>
          <w:p>
            <w:pPr>
              <w:spacing w:after="0"/>
              <w:rPr>
                <w:sz w:val="16"/>
                <w:szCs w:val="16"/>
                <w:color w:val="auto"/>
              </w:rPr>
            </w:pPr>
          </w:p>
        </w:tc>
        <w:tc>
          <w:tcPr>
            <w:tcW w:w="340" w:type="dxa"/>
            <w:vAlign w:val="bottom"/>
            <w:tcBorders>
              <w:bottom w:val="single" w:sz="8" w:color="CCEEFF"/>
            </w:tcBorders>
            <w:shd w:val="clear" w:color="auto" w:fill="CCEEFF"/>
          </w:tcPr>
          <w:p>
            <w:pPr>
              <w:spacing w:after="0"/>
              <w:rPr>
                <w:sz w:val="16"/>
                <w:szCs w:val="16"/>
                <w:color w:val="auto"/>
              </w:rPr>
            </w:pPr>
          </w:p>
        </w:tc>
        <w:tc>
          <w:tcPr>
            <w:tcW w:w="14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320" w:type="dxa"/>
            <w:vAlign w:val="bottom"/>
            <w:tcBorders>
              <w:bottom w:val="single" w:sz="8" w:color="CCEEFF"/>
            </w:tcBorders>
            <w:shd w:val="clear" w:color="auto" w:fill="CCEEFF"/>
          </w:tcPr>
          <w:p>
            <w:pPr>
              <w:spacing w:after="0"/>
              <w:rPr>
                <w:sz w:val="16"/>
                <w:szCs w:val="16"/>
                <w:color w:val="auto"/>
              </w:rPr>
            </w:pPr>
          </w:p>
        </w:tc>
        <w:tc>
          <w:tcPr>
            <w:tcW w:w="920" w:type="dxa"/>
            <w:vAlign w:val="bottom"/>
            <w:tcBorders>
              <w:bottom w:val="single" w:sz="8" w:color="CCEEFF"/>
            </w:tcBorders>
            <w:shd w:val="clear" w:color="auto" w:fill="CCEEFF"/>
          </w:tcPr>
          <w:p>
            <w:pPr>
              <w:spacing w:after="0"/>
              <w:rPr>
                <w:sz w:val="16"/>
                <w:szCs w:val="16"/>
                <w:color w:val="auto"/>
              </w:rPr>
            </w:pPr>
          </w:p>
        </w:tc>
        <w:tc>
          <w:tcPr>
            <w:tcW w:w="80" w:type="dxa"/>
            <w:vAlign w:val="bottom"/>
            <w:tcBorders>
              <w:bottom w:val="single" w:sz="8" w:color="CCEEFF"/>
            </w:tcBorders>
            <w:shd w:val="clear" w:color="auto" w:fill="CCEEFF"/>
          </w:tcPr>
          <w:p>
            <w:pPr>
              <w:spacing w:after="0"/>
              <w:rPr>
                <w:sz w:val="16"/>
                <w:szCs w:val="16"/>
                <w:color w:val="auto"/>
              </w:rPr>
            </w:pPr>
          </w:p>
        </w:tc>
        <w:tc>
          <w:tcPr>
            <w:tcW w:w="460" w:type="dxa"/>
            <w:vAlign w:val="bottom"/>
            <w:tcBorders>
              <w:bottom w:val="single" w:sz="8" w:color="CCEEFF"/>
            </w:tcBorders>
            <w:shd w:val="clear" w:color="auto" w:fill="CCEEFF"/>
          </w:tcPr>
          <w:p>
            <w:pPr>
              <w:spacing w:after="0"/>
              <w:rPr>
                <w:sz w:val="16"/>
                <w:szCs w:val="16"/>
                <w:color w:val="auto"/>
              </w:rPr>
            </w:pPr>
          </w:p>
        </w:tc>
        <w:tc>
          <w:tcPr>
            <w:tcW w:w="380" w:type="dxa"/>
            <w:vAlign w:val="bottom"/>
            <w:tcBorders>
              <w:bottom w:val="single" w:sz="8" w:color="CCEEFF"/>
            </w:tcBorders>
            <w:shd w:val="clear" w:color="auto" w:fill="CCEEFF"/>
          </w:tcPr>
          <w:p>
            <w:pPr>
              <w:spacing w:after="0"/>
              <w:rPr>
                <w:sz w:val="16"/>
                <w:szCs w:val="16"/>
                <w:color w:val="auto"/>
              </w:rPr>
            </w:pPr>
          </w:p>
        </w:tc>
        <w:tc>
          <w:tcPr>
            <w:tcW w:w="160" w:type="dxa"/>
            <w:vAlign w:val="bottom"/>
            <w:tcBorders>
              <w:bottom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78"/>
        </w:trPr>
        <w:tc>
          <w:tcPr>
            <w:tcW w:w="3820" w:type="dxa"/>
            <w:vAlign w:val="bottom"/>
          </w:tcPr>
          <w:p>
            <w:pPr>
              <w:ind w:left="160"/>
              <w:spacing w:after="0"/>
              <w:rPr>
                <w:sz w:val="20"/>
                <w:szCs w:val="20"/>
                <w:color w:val="auto"/>
              </w:rPr>
            </w:pPr>
            <w:r>
              <w:rPr>
                <w:rFonts w:ascii="Arial" w:cs="Arial" w:eastAsia="Arial" w:hAnsi="Arial"/>
                <w:sz w:val="13"/>
                <w:szCs w:val="13"/>
                <w:color w:val="auto"/>
              </w:rPr>
              <w:t>Loans current</w:t>
            </w:r>
          </w:p>
        </w:tc>
        <w:tc>
          <w:tcPr>
            <w:tcW w:w="320" w:type="dxa"/>
            <w:vAlign w:val="bottom"/>
          </w:tcPr>
          <w:p>
            <w:pPr>
              <w:spacing w:after="0"/>
              <w:rPr>
                <w:sz w:val="15"/>
                <w:szCs w:val="15"/>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196,122</w:t>
            </w:r>
          </w:p>
        </w:tc>
        <w:tc>
          <w:tcPr>
            <w:tcW w:w="1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400" w:type="dxa"/>
            <w:vAlign w:val="bottom"/>
          </w:tcPr>
          <w:p>
            <w:pPr>
              <w:jc w:val="right"/>
              <w:spacing w:after="0"/>
              <w:rPr>
                <w:sz w:val="20"/>
                <w:szCs w:val="20"/>
                <w:color w:val="auto"/>
              </w:rPr>
            </w:pPr>
            <w:r>
              <w:rPr>
                <w:rFonts w:ascii="Arial" w:cs="Arial" w:eastAsia="Arial" w:hAnsi="Arial"/>
                <w:sz w:val="13"/>
                <w:szCs w:val="13"/>
                <w:color w:val="auto"/>
              </w:rPr>
              <w:t>95.5</w:t>
            </w:r>
          </w:p>
        </w:tc>
        <w:tc>
          <w:tcPr>
            <w:tcW w:w="140" w:type="dxa"/>
            <w:vAlign w:val="bottom"/>
          </w:tcPr>
          <w:p>
            <w:pPr>
              <w:jc w:val="right"/>
              <w:spacing w:after="0"/>
              <w:rPr>
                <w:sz w:val="20"/>
                <w:szCs w:val="20"/>
                <w:color w:val="auto"/>
              </w:rPr>
            </w:pPr>
            <w:r>
              <w:rPr>
                <w:rFonts w:ascii="Arial" w:cs="Arial" w:eastAsia="Arial" w:hAnsi="Arial"/>
                <w:sz w:val="13"/>
                <w:szCs w:val="13"/>
                <w:color w:val="auto"/>
                <w:w w:val="86"/>
              </w:rPr>
              <w:t>%</w:t>
            </w: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3"/>
                <w:szCs w:val="13"/>
                <w:color w:val="auto"/>
              </w:rPr>
              <w:t>208,977</w:t>
            </w:r>
          </w:p>
        </w:tc>
        <w:tc>
          <w:tcPr>
            <w:tcW w:w="10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40" w:type="dxa"/>
            <w:vAlign w:val="bottom"/>
          </w:tcPr>
          <w:p>
            <w:pPr>
              <w:jc w:val="right"/>
              <w:spacing w:after="0"/>
              <w:rPr>
                <w:sz w:val="20"/>
                <w:szCs w:val="20"/>
                <w:color w:val="auto"/>
              </w:rPr>
            </w:pPr>
            <w:r>
              <w:rPr>
                <w:rFonts w:ascii="Arial" w:cs="Arial" w:eastAsia="Arial" w:hAnsi="Arial"/>
                <w:sz w:val="13"/>
                <w:szCs w:val="13"/>
                <w:color w:val="auto"/>
              </w:rPr>
              <w:t>95.0</w:t>
            </w:r>
          </w:p>
        </w:tc>
        <w:tc>
          <w:tcPr>
            <w:tcW w:w="140" w:type="dxa"/>
            <w:vAlign w:val="bottom"/>
          </w:tcPr>
          <w:p>
            <w:pPr>
              <w:jc w:val="right"/>
              <w:spacing w:after="0"/>
              <w:rPr>
                <w:sz w:val="20"/>
                <w:szCs w:val="20"/>
                <w:color w:val="auto"/>
              </w:rPr>
            </w:pPr>
            <w:r>
              <w:rPr>
                <w:rFonts w:ascii="Arial" w:cs="Arial" w:eastAsia="Arial" w:hAnsi="Arial"/>
                <w:sz w:val="13"/>
                <w:szCs w:val="13"/>
                <w:color w:val="auto"/>
                <w:w w:val="86"/>
              </w:rPr>
              <w:t>%</w:t>
            </w:r>
          </w:p>
        </w:tc>
        <w:tc>
          <w:tcPr>
            <w:tcW w:w="1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3"/>
                <w:szCs w:val="13"/>
                <w:color w:val="auto"/>
              </w:rPr>
              <w:t>178,976</w:t>
            </w:r>
          </w:p>
        </w:tc>
        <w:tc>
          <w:tcPr>
            <w:tcW w:w="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380" w:type="dxa"/>
            <w:vAlign w:val="bottom"/>
          </w:tcPr>
          <w:p>
            <w:pPr>
              <w:jc w:val="right"/>
              <w:spacing w:after="0"/>
              <w:rPr>
                <w:sz w:val="20"/>
                <w:szCs w:val="20"/>
                <w:color w:val="auto"/>
              </w:rPr>
            </w:pPr>
            <w:r>
              <w:rPr>
                <w:rFonts w:ascii="Arial" w:cs="Arial" w:eastAsia="Arial" w:hAnsi="Arial"/>
                <w:sz w:val="13"/>
                <w:szCs w:val="13"/>
                <w:color w:val="auto"/>
              </w:rPr>
              <w:t>96.1</w:t>
            </w:r>
          </w:p>
        </w:tc>
        <w:tc>
          <w:tcPr>
            <w:tcW w:w="160" w:type="dxa"/>
            <w:vAlign w:val="bottom"/>
          </w:tcPr>
          <w:p>
            <w:pPr>
              <w:jc w:val="right"/>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27"/>
        </w:trPr>
        <w:tc>
          <w:tcPr>
            <w:tcW w:w="3820" w:type="dxa"/>
            <w:vAlign w:val="bottom"/>
          </w:tcPr>
          <w:p>
            <w:pPr>
              <w:spacing w:after="0"/>
              <w:rPr>
                <w:sz w:val="2"/>
                <w:szCs w:val="2"/>
                <w:color w:val="auto"/>
              </w:rPr>
            </w:pPr>
          </w:p>
        </w:tc>
        <w:tc>
          <w:tcPr>
            <w:tcW w:w="32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4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920" w:type="dxa"/>
            <w:vAlign w:val="bottom"/>
          </w:tcPr>
          <w:p>
            <w:pPr>
              <w:spacing w:after="0"/>
              <w:rPr>
                <w:sz w:val="2"/>
                <w:szCs w:val="2"/>
                <w:color w:val="auto"/>
              </w:rPr>
            </w:pPr>
          </w:p>
        </w:tc>
        <w:tc>
          <w:tcPr>
            <w:tcW w:w="80" w:type="dxa"/>
            <w:vAlign w:val="bottom"/>
          </w:tcPr>
          <w:p>
            <w:pPr>
              <w:spacing w:after="0"/>
              <w:rPr>
                <w:sz w:val="2"/>
                <w:szCs w:val="2"/>
                <w:color w:val="auto"/>
              </w:rPr>
            </w:pPr>
          </w:p>
        </w:tc>
        <w:tc>
          <w:tcPr>
            <w:tcW w:w="460" w:type="dxa"/>
            <w:vAlign w:val="bottom"/>
          </w:tcPr>
          <w:p>
            <w:pPr>
              <w:spacing w:after="0"/>
              <w:rPr>
                <w:sz w:val="2"/>
                <w:szCs w:val="2"/>
                <w:color w:val="auto"/>
              </w:rPr>
            </w:pPr>
          </w:p>
        </w:tc>
        <w:tc>
          <w:tcPr>
            <w:tcW w:w="380" w:type="dxa"/>
            <w:vAlign w:val="bottom"/>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5"/>
        </w:trPr>
        <w:tc>
          <w:tcPr>
            <w:tcW w:w="38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3"/>
                <w:szCs w:val="13"/>
                <w:color w:val="auto"/>
              </w:rPr>
              <w:t>Loans delinquent 31-60 days</w:t>
            </w:r>
          </w:p>
        </w:tc>
        <w:tc>
          <w:tcPr>
            <w:tcW w:w="320" w:type="dxa"/>
            <w:vAlign w:val="bottom"/>
            <w:tcBorders>
              <w:bottom w:val="single" w:sz="8" w:color="CCEEFF"/>
            </w:tcBorders>
            <w:shd w:val="clear" w:color="auto" w:fill="CCEEFF"/>
          </w:tcPr>
          <w:p>
            <w:pPr>
              <w:spacing w:after="0"/>
              <w:rPr>
                <w:sz w:val="16"/>
                <w:szCs w:val="16"/>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2,292</w:t>
            </w:r>
          </w:p>
        </w:tc>
        <w:tc>
          <w:tcPr>
            <w:tcW w:w="100" w:type="dxa"/>
            <w:vAlign w:val="bottom"/>
            <w:tcBorders>
              <w:bottom w:val="single" w:sz="8" w:color="CCEEFF"/>
            </w:tcBorders>
            <w:shd w:val="clear" w:color="auto" w:fill="CCEEFF"/>
          </w:tcPr>
          <w:p>
            <w:pPr>
              <w:spacing w:after="0"/>
              <w:rPr>
                <w:sz w:val="16"/>
                <w:szCs w:val="16"/>
                <w:color w:val="auto"/>
              </w:rPr>
            </w:pPr>
          </w:p>
        </w:tc>
        <w:tc>
          <w:tcPr>
            <w:tcW w:w="440" w:type="dxa"/>
            <w:vAlign w:val="bottom"/>
            <w:tcBorders>
              <w:bottom w:val="single" w:sz="8" w:color="CCEEFF"/>
            </w:tcBorders>
            <w:shd w:val="clear" w:color="auto" w:fill="CCEEFF"/>
          </w:tcPr>
          <w:p>
            <w:pPr>
              <w:spacing w:after="0"/>
              <w:rPr>
                <w:sz w:val="16"/>
                <w:szCs w:val="16"/>
                <w:color w:val="auto"/>
              </w:rPr>
            </w:pPr>
          </w:p>
        </w:tc>
        <w:tc>
          <w:tcPr>
            <w:tcW w:w="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1.1</w:t>
            </w:r>
          </w:p>
        </w:tc>
        <w:tc>
          <w:tcPr>
            <w:tcW w:w="14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300" w:type="dxa"/>
            <w:vAlign w:val="bottom"/>
            <w:tcBorders>
              <w:bottom w:val="single" w:sz="8" w:color="CCEEFF"/>
            </w:tcBorders>
            <w:shd w:val="clear" w:color="auto" w:fill="CCEEFF"/>
          </w:tcPr>
          <w:p>
            <w:pPr>
              <w:spacing w:after="0"/>
              <w:rPr>
                <w:sz w:val="16"/>
                <w:szCs w:val="16"/>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3,626</w:t>
            </w:r>
          </w:p>
        </w:tc>
        <w:tc>
          <w:tcPr>
            <w:tcW w:w="100" w:type="dxa"/>
            <w:vAlign w:val="bottom"/>
            <w:tcBorders>
              <w:bottom w:val="single" w:sz="8" w:color="CCEEFF"/>
            </w:tcBorders>
            <w:shd w:val="clear" w:color="auto" w:fill="CCEEFF"/>
          </w:tcPr>
          <w:p>
            <w:pPr>
              <w:spacing w:after="0"/>
              <w:rPr>
                <w:sz w:val="16"/>
                <w:szCs w:val="16"/>
                <w:color w:val="auto"/>
              </w:rPr>
            </w:pPr>
          </w:p>
        </w:tc>
        <w:tc>
          <w:tcPr>
            <w:tcW w:w="500" w:type="dxa"/>
            <w:vAlign w:val="bottom"/>
            <w:tcBorders>
              <w:bottom w:val="single" w:sz="8" w:color="CCEEFF"/>
            </w:tcBorders>
            <w:shd w:val="clear" w:color="auto" w:fill="CCEEFF"/>
          </w:tcPr>
          <w:p>
            <w:pPr>
              <w:spacing w:after="0"/>
              <w:rPr>
                <w:sz w:val="16"/>
                <w:szCs w:val="16"/>
                <w:color w:val="auto"/>
              </w:rPr>
            </w:pPr>
          </w:p>
        </w:tc>
        <w:tc>
          <w:tcPr>
            <w:tcW w:w="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1.6</w:t>
            </w:r>
          </w:p>
        </w:tc>
        <w:tc>
          <w:tcPr>
            <w:tcW w:w="14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320" w:type="dxa"/>
            <w:vAlign w:val="bottom"/>
            <w:tcBorders>
              <w:bottom w:val="single" w:sz="8" w:color="CCEEFF"/>
            </w:tcBorders>
            <w:shd w:val="clear" w:color="auto" w:fill="CCEEFF"/>
          </w:tcPr>
          <w:p>
            <w:pPr>
              <w:spacing w:after="0"/>
              <w:rPr>
                <w:sz w:val="16"/>
                <w:szCs w:val="16"/>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1,630</w:t>
            </w:r>
          </w:p>
        </w:tc>
        <w:tc>
          <w:tcPr>
            <w:tcW w:w="80" w:type="dxa"/>
            <w:vAlign w:val="bottom"/>
            <w:tcBorders>
              <w:bottom w:val="single" w:sz="8" w:color="CCEEFF"/>
            </w:tcBorders>
            <w:shd w:val="clear" w:color="auto" w:fill="CCEEFF"/>
          </w:tcPr>
          <w:p>
            <w:pPr>
              <w:spacing w:after="0"/>
              <w:rPr>
                <w:sz w:val="16"/>
                <w:szCs w:val="16"/>
                <w:color w:val="auto"/>
              </w:rPr>
            </w:pPr>
          </w:p>
        </w:tc>
        <w:tc>
          <w:tcPr>
            <w:tcW w:w="460" w:type="dxa"/>
            <w:vAlign w:val="bottom"/>
            <w:tcBorders>
              <w:bottom w:val="single" w:sz="8" w:color="CCEEFF"/>
            </w:tcBorders>
            <w:shd w:val="clear" w:color="auto" w:fill="CCEEFF"/>
          </w:tcPr>
          <w:p>
            <w:pPr>
              <w:spacing w:after="0"/>
              <w:rPr>
                <w:sz w:val="16"/>
                <w:szCs w:val="16"/>
                <w:color w:val="auto"/>
              </w:rPr>
            </w:pPr>
          </w:p>
        </w:tc>
        <w:tc>
          <w:tcPr>
            <w:tcW w:w="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0.9</w:t>
            </w:r>
          </w:p>
        </w:tc>
        <w:tc>
          <w:tcPr>
            <w:tcW w:w="160" w:type="dxa"/>
            <w:vAlign w:val="bottom"/>
            <w:tcBorders>
              <w:bottom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78"/>
        </w:trPr>
        <w:tc>
          <w:tcPr>
            <w:tcW w:w="3820" w:type="dxa"/>
            <w:vAlign w:val="bottom"/>
          </w:tcPr>
          <w:p>
            <w:pPr>
              <w:ind w:left="160"/>
              <w:spacing w:after="0"/>
              <w:rPr>
                <w:sz w:val="20"/>
                <w:szCs w:val="20"/>
                <w:color w:val="auto"/>
              </w:rPr>
            </w:pPr>
            <w:r>
              <w:rPr>
                <w:rFonts w:ascii="Arial" w:cs="Arial" w:eastAsia="Arial" w:hAnsi="Arial"/>
                <w:sz w:val="13"/>
                <w:szCs w:val="13"/>
                <w:color w:val="auto"/>
              </w:rPr>
              <w:t>Loans delinquent 61-90 days</w:t>
            </w:r>
          </w:p>
        </w:tc>
        <w:tc>
          <w:tcPr>
            <w:tcW w:w="320" w:type="dxa"/>
            <w:vAlign w:val="bottom"/>
          </w:tcPr>
          <w:p>
            <w:pPr>
              <w:spacing w:after="0"/>
              <w:rPr>
                <w:sz w:val="15"/>
                <w:szCs w:val="15"/>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1,481</w:t>
            </w:r>
          </w:p>
        </w:tc>
        <w:tc>
          <w:tcPr>
            <w:tcW w:w="1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400" w:type="dxa"/>
            <w:vAlign w:val="bottom"/>
          </w:tcPr>
          <w:p>
            <w:pPr>
              <w:jc w:val="right"/>
              <w:spacing w:after="0"/>
              <w:rPr>
                <w:sz w:val="20"/>
                <w:szCs w:val="20"/>
                <w:color w:val="auto"/>
              </w:rPr>
            </w:pPr>
            <w:r>
              <w:rPr>
                <w:rFonts w:ascii="Arial" w:cs="Arial" w:eastAsia="Arial" w:hAnsi="Arial"/>
                <w:sz w:val="13"/>
                <w:szCs w:val="13"/>
                <w:color w:val="auto"/>
              </w:rPr>
              <w:t>0.7</w:t>
            </w: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3"/>
                <w:szCs w:val="13"/>
                <w:color w:val="auto"/>
              </w:rPr>
              <w:t>1,560</w:t>
            </w:r>
          </w:p>
        </w:tc>
        <w:tc>
          <w:tcPr>
            <w:tcW w:w="10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40" w:type="dxa"/>
            <w:vAlign w:val="bottom"/>
          </w:tcPr>
          <w:p>
            <w:pPr>
              <w:jc w:val="right"/>
              <w:spacing w:after="0"/>
              <w:rPr>
                <w:sz w:val="20"/>
                <w:szCs w:val="20"/>
                <w:color w:val="auto"/>
              </w:rPr>
            </w:pPr>
            <w:r>
              <w:rPr>
                <w:rFonts w:ascii="Arial" w:cs="Arial" w:eastAsia="Arial" w:hAnsi="Arial"/>
                <w:sz w:val="13"/>
                <w:szCs w:val="13"/>
                <w:color w:val="auto"/>
              </w:rPr>
              <w:t>0.7</w:t>
            </w: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3"/>
                <w:szCs w:val="13"/>
                <w:color w:val="auto"/>
              </w:rPr>
              <w:t>1,110</w:t>
            </w:r>
          </w:p>
        </w:tc>
        <w:tc>
          <w:tcPr>
            <w:tcW w:w="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380" w:type="dxa"/>
            <w:vAlign w:val="bottom"/>
          </w:tcPr>
          <w:p>
            <w:pPr>
              <w:jc w:val="right"/>
              <w:spacing w:after="0"/>
              <w:rPr>
                <w:sz w:val="20"/>
                <w:szCs w:val="20"/>
                <w:color w:val="auto"/>
              </w:rPr>
            </w:pPr>
            <w:r>
              <w:rPr>
                <w:rFonts w:ascii="Arial" w:cs="Arial" w:eastAsia="Arial" w:hAnsi="Arial"/>
                <w:sz w:val="13"/>
                <w:szCs w:val="13"/>
                <w:color w:val="auto"/>
              </w:rPr>
              <w:t>0.6</w:t>
            </w: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7"/>
        </w:trPr>
        <w:tc>
          <w:tcPr>
            <w:tcW w:w="3820" w:type="dxa"/>
            <w:vAlign w:val="bottom"/>
          </w:tcPr>
          <w:p>
            <w:pPr>
              <w:spacing w:after="0"/>
              <w:rPr>
                <w:sz w:val="2"/>
                <w:szCs w:val="2"/>
                <w:color w:val="auto"/>
              </w:rPr>
            </w:pPr>
          </w:p>
        </w:tc>
        <w:tc>
          <w:tcPr>
            <w:tcW w:w="32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4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920" w:type="dxa"/>
            <w:vAlign w:val="bottom"/>
          </w:tcPr>
          <w:p>
            <w:pPr>
              <w:spacing w:after="0"/>
              <w:rPr>
                <w:sz w:val="2"/>
                <w:szCs w:val="2"/>
                <w:color w:val="auto"/>
              </w:rPr>
            </w:pPr>
          </w:p>
        </w:tc>
        <w:tc>
          <w:tcPr>
            <w:tcW w:w="80" w:type="dxa"/>
            <w:vAlign w:val="bottom"/>
          </w:tcPr>
          <w:p>
            <w:pPr>
              <w:spacing w:after="0"/>
              <w:rPr>
                <w:sz w:val="2"/>
                <w:szCs w:val="2"/>
                <w:color w:val="auto"/>
              </w:rPr>
            </w:pPr>
          </w:p>
        </w:tc>
        <w:tc>
          <w:tcPr>
            <w:tcW w:w="460" w:type="dxa"/>
            <w:vAlign w:val="bottom"/>
          </w:tcPr>
          <w:p>
            <w:pPr>
              <w:spacing w:after="0"/>
              <w:rPr>
                <w:sz w:val="2"/>
                <w:szCs w:val="2"/>
                <w:color w:val="auto"/>
              </w:rPr>
            </w:pPr>
          </w:p>
        </w:tc>
        <w:tc>
          <w:tcPr>
            <w:tcW w:w="380" w:type="dxa"/>
            <w:vAlign w:val="bottom"/>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5"/>
        </w:trPr>
        <w:tc>
          <w:tcPr>
            <w:tcW w:w="38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3"/>
                <w:szCs w:val="13"/>
                <w:color w:val="auto"/>
              </w:rPr>
              <w:t>Loans delinquent 91 days or greater</w:t>
            </w:r>
          </w:p>
        </w:tc>
        <w:tc>
          <w:tcPr>
            <w:tcW w:w="320" w:type="dxa"/>
            <w:vAlign w:val="bottom"/>
            <w:tcBorders>
              <w:bottom w:val="single" w:sz="8" w:color="CCEEFF"/>
            </w:tcBorders>
            <w:shd w:val="clear" w:color="auto" w:fill="CCEEFF"/>
          </w:tcPr>
          <w:p>
            <w:pPr>
              <w:spacing w:after="0"/>
              <w:rPr>
                <w:sz w:val="17"/>
                <w:szCs w:val="17"/>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5,453</w:t>
            </w:r>
          </w:p>
        </w:tc>
        <w:tc>
          <w:tcPr>
            <w:tcW w:w="100" w:type="dxa"/>
            <w:vAlign w:val="bottom"/>
            <w:tcBorders>
              <w:bottom w:val="single" w:sz="8" w:color="CCEEFF"/>
            </w:tcBorders>
            <w:shd w:val="clear" w:color="auto" w:fill="CCEEFF"/>
          </w:tcPr>
          <w:p>
            <w:pPr>
              <w:spacing w:after="0"/>
              <w:rPr>
                <w:sz w:val="17"/>
                <w:szCs w:val="17"/>
                <w:color w:val="auto"/>
              </w:rPr>
            </w:pPr>
          </w:p>
        </w:tc>
        <w:tc>
          <w:tcPr>
            <w:tcW w:w="440" w:type="dxa"/>
            <w:vAlign w:val="bottom"/>
            <w:tcBorders>
              <w:bottom w:val="single" w:sz="8" w:color="CCEEFF"/>
            </w:tcBorders>
            <w:shd w:val="clear" w:color="auto" w:fill="CCEEFF"/>
          </w:tcPr>
          <w:p>
            <w:pPr>
              <w:spacing w:after="0"/>
              <w:rPr>
                <w:sz w:val="17"/>
                <w:szCs w:val="17"/>
                <w:color w:val="auto"/>
              </w:rPr>
            </w:pPr>
          </w:p>
        </w:tc>
        <w:tc>
          <w:tcPr>
            <w:tcW w:w="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2.7</w:t>
            </w:r>
          </w:p>
        </w:tc>
        <w:tc>
          <w:tcPr>
            <w:tcW w:w="14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300" w:type="dxa"/>
            <w:vAlign w:val="bottom"/>
            <w:tcBorders>
              <w:bottom w:val="single" w:sz="8" w:color="CCEEFF"/>
            </w:tcBorders>
            <w:shd w:val="clear" w:color="auto" w:fill="CCEEFF"/>
          </w:tcPr>
          <w:p>
            <w:pPr>
              <w:spacing w:after="0"/>
              <w:rPr>
                <w:sz w:val="17"/>
                <w:szCs w:val="17"/>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5,998</w:t>
            </w:r>
          </w:p>
        </w:tc>
        <w:tc>
          <w:tcPr>
            <w:tcW w:w="100" w:type="dxa"/>
            <w:vAlign w:val="bottom"/>
            <w:tcBorders>
              <w:bottom w:val="single" w:sz="8" w:color="CCEEFF"/>
            </w:tcBorders>
            <w:shd w:val="clear" w:color="auto" w:fill="CCEEFF"/>
          </w:tcPr>
          <w:p>
            <w:pPr>
              <w:spacing w:after="0"/>
              <w:rPr>
                <w:sz w:val="17"/>
                <w:szCs w:val="17"/>
                <w:color w:val="auto"/>
              </w:rPr>
            </w:pPr>
          </w:p>
        </w:tc>
        <w:tc>
          <w:tcPr>
            <w:tcW w:w="500" w:type="dxa"/>
            <w:vAlign w:val="bottom"/>
            <w:tcBorders>
              <w:bottom w:val="single" w:sz="8" w:color="CCEEFF"/>
            </w:tcBorders>
            <w:shd w:val="clear" w:color="auto" w:fill="CCEEFF"/>
          </w:tcPr>
          <w:p>
            <w:pPr>
              <w:spacing w:after="0"/>
              <w:rPr>
                <w:sz w:val="17"/>
                <w:szCs w:val="17"/>
                <w:color w:val="auto"/>
              </w:rPr>
            </w:pPr>
          </w:p>
        </w:tc>
        <w:tc>
          <w:tcPr>
            <w:tcW w:w="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2.7</w:t>
            </w:r>
          </w:p>
        </w:tc>
        <w:tc>
          <w:tcPr>
            <w:tcW w:w="14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320" w:type="dxa"/>
            <w:vAlign w:val="bottom"/>
            <w:tcBorders>
              <w:bottom w:val="single" w:sz="8" w:color="CCEEFF"/>
            </w:tcBorders>
            <w:shd w:val="clear" w:color="auto" w:fill="CCEEFF"/>
          </w:tcPr>
          <w:p>
            <w:pPr>
              <w:spacing w:after="0"/>
              <w:rPr>
                <w:sz w:val="17"/>
                <w:szCs w:val="17"/>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4,488</w:t>
            </w:r>
          </w:p>
        </w:tc>
        <w:tc>
          <w:tcPr>
            <w:tcW w:w="80" w:type="dxa"/>
            <w:vAlign w:val="bottom"/>
            <w:tcBorders>
              <w:bottom w:val="single" w:sz="8" w:color="CCEEFF"/>
            </w:tcBorders>
            <w:shd w:val="clear" w:color="auto" w:fill="CCEEFF"/>
          </w:tcPr>
          <w:p>
            <w:pPr>
              <w:spacing w:after="0"/>
              <w:rPr>
                <w:sz w:val="17"/>
                <w:szCs w:val="17"/>
                <w:color w:val="auto"/>
              </w:rPr>
            </w:pPr>
          </w:p>
        </w:tc>
        <w:tc>
          <w:tcPr>
            <w:tcW w:w="460" w:type="dxa"/>
            <w:vAlign w:val="bottom"/>
            <w:tcBorders>
              <w:bottom w:val="single" w:sz="8" w:color="CCEEFF"/>
            </w:tcBorders>
            <w:shd w:val="clear" w:color="auto" w:fill="CCEEFF"/>
          </w:tcPr>
          <w:p>
            <w:pPr>
              <w:spacing w:after="0"/>
              <w:rPr>
                <w:sz w:val="17"/>
                <w:szCs w:val="17"/>
                <w:color w:val="auto"/>
              </w:rPr>
            </w:pPr>
          </w:p>
        </w:tc>
        <w:tc>
          <w:tcPr>
            <w:tcW w:w="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2.4</w:t>
            </w:r>
          </w:p>
        </w:tc>
        <w:tc>
          <w:tcPr>
            <w:tcW w:w="160" w:type="dxa"/>
            <w:vAlign w:val="bottom"/>
            <w:tcBorders>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3"/>
        </w:trPr>
        <w:tc>
          <w:tcPr>
            <w:tcW w:w="3820" w:type="dxa"/>
            <w:vAlign w:val="bottom"/>
          </w:tcPr>
          <w:p>
            <w:pPr>
              <w:ind w:left="340"/>
              <w:spacing w:after="0"/>
              <w:rPr>
                <w:sz w:val="20"/>
                <w:szCs w:val="20"/>
                <w:color w:val="auto"/>
              </w:rPr>
            </w:pPr>
            <w:r>
              <w:rPr>
                <w:rFonts w:ascii="Arial" w:cs="Arial" w:eastAsia="Arial" w:hAnsi="Arial"/>
                <w:sz w:val="13"/>
                <w:szCs w:val="13"/>
                <w:color w:val="auto"/>
              </w:rPr>
              <w:t>Total loans in repayment</w:t>
            </w:r>
          </w:p>
        </w:tc>
        <w:tc>
          <w:tcPr>
            <w:tcW w:w="320" w:type="dxa"/>
            <w:vAlign w:val="bottom"/>
            <w:tcBorders>
              <w:top w:val="single" w:sz="8" w:color="auto"/>
            </w:tcBorders>
          </w:tcPr>
          <w:p>
            <w:pPr>
              <w:spacing w:after="0"/>
              <w:rPr>
                <w:sz w:val="16"/>
                <w:szCs w:val="16"/>
                <w:color w:val="auto"/>
              </w:rPr>
            </w:pP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205,348</w:t>
            </w:r>
          </w:p>
        </w:tc>
        <w:tc>
          <w:tcPr>
            <w:tcW w:w="100" w:type="dxa"/>
            <w:vAlign w:val="bottom"/>
          </w:tcPr>
          <w:p>
            <w:pPr>
              <w:spacing w:after="0"/>
              <w:rPr>
                <w:sz w:val="16"/>
                <w:szCs w:val="16"/>
                <w:color w:val="auto"/>
              </w:rPr>
            </w:pPr>
          </w:p>
        </w:tc>
        <w:tc>
          <w:tcPr>
            <w:tcW w:w="440" w:type="dxa"/>
            <w:vAlign w:val="bottom"/>
            <w:tcBorders>
              <w:top w:val="single" w:sz="8" w:color="auto"/>
              <w:bottom w:val="single" w:sz="8" w:color="auto"/>
            </w:tcBorders>
          </w:tcPr>
          <w:p>
            <w:pPr>
              <w:spacing w:after="0"/>
              <w:rPr>
                <w:sz w:val="16"/>
                <w:szCs w:val="16"/>
                <w:color w:val="auto"/>
              </w:rPr>
            </w:pPr>
          </w:p>
        </w:tc>
        <w:tc>
          <w:tcPr>
            <w:tcW w:w="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100.0</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6"/>
              </w:rPr>
              <w:t>%</w:t>
            </w:r>
          </w:p>
        </w:tc>
        <w:tc>
          <w:tcPr>
            <w:tcW w:w="100" w:type="dxa"/>
            <w:vAlign w:val="bottom"/>
          </w:tcPr>
          <w:p>
            <w:pPr>
              <w:spacing w:after="0"/>
              <w:rPr>
                <w:sz w:val="16"/>
                <w:szCs w:val="16"/>
                <w:color w:val="auto"/>
              </w:rPr>
            </w:pPr>
          </w:p>
        </w:tc>
        <w:tc>
          <w:tcPr>
            <w:tcW w:w="300" w:type="dxa"/>
            <w:vAlign w:val="bottom"/>
            <w:tcBorders>
              <w:top w:val="single" w:sz="8" w:color="auto"/>
            </w:tcBorders>
          </w:tcPr>
          <w:p>
            <w:pPr>
              <w:spacing w:after="0"/>
              <w:rPr>
                <w:sz w:val="16"/>
                <w:szCs w:val="16"/>
                <w:color w:val="auto"/>
              </w:rPr>
            </w:pP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220,161</w:t>
            </w:r>
          </w:p>
        </w:tc>
        <w:tc>
          <w:tcPr>
            <w:tcW w:w="100" w:type="dxa"/>
            <w:vAlign w:val="bottom"/>
          </w:tcPr>
          <w:p>
            <w:pPr>
              <w:spacing w:after="0"/>
              <w:rPr>
                <w:sz w:val="16"/>
                <w:szCs w:val="16"/>
                <w:color w:val="auto"/>
              </w:rPr>
            </w:pPr>
          </w:p>
        </w:tc>
        <w:tc>
          <w:tcPr>
            <w:tcW w:w="500" w:type="dxa"/>
            <w:vAlign w:val="bottom"/>
            <w:tcBorders>
              <w:top w:val="single" w:sz="8" w:color="auto"/>
              <w:bottom w:val="single" w:sz="8" w:color="auto"/>
            </w:tcBorders>
          </w:tcPr>
          <w:p>
            <w:pPr>
              <w:spacing w:after="0"/>
              <w:rPr>
                <w:sz w:val="16"/>
                <w:szCs w:val="16"/>
                <w:color w:val="auto"/>
              </w:rPr>
            </w:pPr>
          </w:p>
        </w:tc>
        <w:tc>
          <w:tcPr>
            <w:tcW w:w="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5"/>
              </w:rPr>
              <w:t>100.0</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6"/>
              </w:rPr>
              <w:t>%</w:t>
            </w:r>
          </w:p>
        </w:tc>
        <w:tc>
          <w:tcPr>
            <w:tcW w:w="100" w:type="dxa"/>
            <w:vAlign w:val="bottom"/>
          </w:tcPr>
          <w:p>
            <w:pPr>
              <w:spacing w:after="0"/>
              <w:rPr>
                <w:sz w:val="16"/>
                <w:szCs w:val="16"/>
                <w:color w:val="auto"/>
              </w:rPr>
            </w:pPr>
          </w:p>
        </w:tc>
        <w:tc>
          <w:tcPr>
            <w:tcW w:w="320" w:type="dxa"/>
            <w:vAlign w:val="bottom"/>
            <w:tcBorders>
              <w:top w:val="single" w:sz="8" w:color="auto"/>
            </w:tcBorders>
          </w:tcPr>
          <w:p>
            <w:pPr>
              <w:spacing w:after="0"/>
              <w:rPr>
                <w:sz w:val="16"/>
                <w:szCs w:val="16"/>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186,204</w:t>
            </w:r>
          </w:p>
        </w:tc>
        <w:tc>
          <w:tcPr>
            <w:tcW w:w="80" w:type="dxa"/>
            <w:vAlign w:val="bottom"/>
          </w:tcPr>
          <w:p>
            <w:pPr>
              <w:spacing w:after="0"/>
              <w:rPr>
                <w:sz w:val="16"/>
                <w:szCs w:val="16"/>
                <w:color w:val="auto"/>
              </w:rPr>
            </w:pPr>
          </w:p>
        </w:tc>
        <w:tc>
          <w:tcPr>
            <w:tcW w:w="460" w:type="dxa"/>
            <w:vAlign w:val="bottom"/>
            <w:tcBorders>
              <w:top w:val="single" w:sz="8" w:color="auto"/>
              <w:bottom w:val="single" w:sz="8" w:color="auto"/>
            </w:tcBorders>
          </w:tcPr>
          <w:p>
            <w:pPr>
              <w:spacing w:after="0"/>
              <w:rPr>
                <w:sz w:val="16"/>
                <w:szCs w:val="16"/>
                <w:color w:val="auto"/>
              </w:rPr>
            </w:pPr>
          </w:p>
        </w:tc>
        <w:tc>
          <w:tcPr>
            <w:tcW w:w="3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100.0</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45"/>
        </w:trPr>
        <w:tc>
          <w:tcPr>
            <w:tcW w:w="3820" w:type="dxa"/>
            <w:vAlign w:val="bottom"/>
            <w:tcBorders>
              <w:bottom w:val="single" w:sz="8" w:color="CCEEFF"/>
            </w:tcBorders>
          </w:tcPr>
          <w:p>
            <w:pPr>
              <w:spacing w:after="0"/>
              <w:rPr>
                <w:sz w:val="3"/>
                <w:szCs w:val="3"/>
                <w:color w:val="auto"/>
              </w:rPr>
            </w:pPr>
          </w:p>
        </w:tc>
        <w:tc>
          <w:tcPr>
            <w:tcW w:w="320" w:type="dxa"/>
            <w:vAlign w:val="bottom"/>
            <w:tcBorders>
              <w:bottom w:val="single" w:sz="8" w:color="auto"/>
            </w:tcBorders>
          </w:tcPr>
          <w:p>
            <w:pPr>
              <w:spacing w:after="0"/>
              <w:rPr>
                <w:sz w:val="3"/>
                <w:szCs w:val="3"/>
                <w:color w:val="auto"/>
              </w:rPr>
            </w:pPr>
          </w:p>
        </w:tc>
        <w:tc>
          <w:tcPr>
            <w:tcW w:w="960" w:type="dxa"/>
            <w:vAlign w:val="bottom"/>
            <w:tcBorders>
              <w:bottom w:val="single" w:sz="8" w:color="auto"/>
            </w:tcBorders>
          </w:tcPr>
          <w:p>
            <w:pPr>
              <w:spacing w:after="0"/>
              <w:rPr>
                <w:sz w:val="3"/>
                <w:szCs w:val="3"/>
                <w:color w:val="auto"/>
              </w:rPr>
            </w:pPr>
          </w:p>
        </w:tc>
        <w:tc>
          <w:tcPr>
            <w:tcW w:w="100" w:type="dxa"/>
            <w:vAlign w:val="bottom"/>
            <w:tcBorders>
              <w:bottom w:val="single" w:sz="8" w:color="CCEEFF"/>
            </w:tcBorders>
          </w:tcPr>
          <w:p>
            <w:pPr>
              <w:spacing w:after="0"/>
              <w:rPr>
                <w:sz w:val="3"/>
                <w:szCs w:val="3"/>
                <w:color w:val="auto"/>
              </w:rPr>
            </w:pPr>
          </w:p>
        </w:tc>
        <w:tc>
          <w:tcPr>
            <w:tcW w:w="440" w:type="dxa"/>
            <w:vAlign w:val="bottom"/>
            <w:tcBorders>
              <w:bottom w:val="single" w:sz="8" w:color="CCEEFF"/>
            </w:tcBorders>
          </w:tcPr>
          <w:p>
            <w:pPr>
              <w:spacing w:after="0"/>
              <w:rPr>
                <w:sz w:val="3"/>
                <w:szCs w:val="3"/>
                <w:color w:val="auto"/>
              </w:rPr>
            </w:pPr>
          </w:p>
        </w:tc>
        <w:tc>
          <w:tcPr>
            <w:tcW w:w="400" w:type="dxa"/>
            <w:vAlign w:val="bottom"/>
            <w:tcBorders>
              <w:bottom w:val="single" w:sz="8" w:color="CCEEFF"/>
            </w:tcBorders>
          </w:tcPr>
          <w:p>
            <w:pPr>
              <w:spacing w:after="0"/>
              <w:rPr>
                <w:sz w:val="3"/>
                <w:szCs w:val="3"/>
                <w:color w:val="auto"/>
              </w:rPr>
            </w:pPr>
          </w:p>
        </w:tc>
        <w:tc>
          <w:tcPr>
            <w:tcW w:w="140" w:type="dxa"/>
            <w:vAlign w:val="bottom"/>
            <w:tcBorders>
              <w:bottom w:val="single" w:sz="8" w:color="CCEEFF"/>
            </w:tcBorders>
          </w:tcPr>
          <w:p>
            <w:pPr>
              <w:spacing w:after="0"/>
              <w:rPr>
                <w:sz w:val="3"/>
                <w:szCs w:val="3"/>
                <w:color w:val="auto"/>
              </w:rPr>
            </w:pPr>
          </w:p>
        </w:tc>
        <w:tc>
          <w:tcPr>
            <w:tcW w:w="100" w:type="dxa"/>
            <w:vAlign w:val="bottom"/>
            <w:tcBorders>
              <w:bottom w:val="single" w:sz="8" w:color="CCEEFF"/>
            </w:tcBorders>
          </w:tcPr>
          <w:p>
            <w:pPr>
              <w:spacing w:after="0"/>
              <w:rPr>
                <w:sz w:val="3"/>
                <w:szCs w:val="3"/>
                <w:color w:val="auto"/>
              </w:rPr>
            </w:pPr>
          </w:p>
        </w:tc>
        <w:tc>
          <w:tcPr>
            <w:tcW w:w="300" w:type="dxa"/>
            <w:vAlign w:val="bottom"/>
            <w:tcBorders>
              <w:bottom w:val="single" w:sz="8" w:color="auto"/>
            </w:tcBorders>
          </w:tcPr>
          <w:p>
            <w:pPr>
              <w:spacing w:after="0"/>
              <w:rPr>
                <w:sz w:val="3"/>
                <w:szCs w:val="3"/>
                <w:color w:val="auto"/>
              </w:rPr>
            </w:pPr>
          </w:p>
        </w:tc>
        <w:tc>
          <w:tcPr>
            <w:tcW w:w="1000" w:type="dxa"/>
            <w:vAlign w:val="bottom"/>
            <w:tcBorders>
              <w:bottom w:val="single" w:sz="8" w:color="auto"/>
            </w:tcBorders>
          </w:tcPr>
          <w:p>
            <w:pPr>
              <w:spacing w:after="0"/>
              <w:rPr>
                <w:sz w:val="3"/>
                <w:szCs w:val="3"/>
                <w:color w:val="auto"/>
              </w:rPr>
            </w:pPr>
          </w:p>
        </w:tc>
        <w:tc>
          <w:tcPr>
            <w:tcW w:w="100" w:type="dxa"/>
            <w:vAlign w:val="bottom"/>
            <w:tcBorders>
              <w:bottom w:val="single" w:sz="8" w:color="CCEEFF"/>
            </w:tcBorders>
          </w:tcPr>
          <w:p>
            <w:pPr>
              <w:spacing w:after="0"/>
              <w:rPr>
                <w:sz w:val="3"/>
                <w:szCs w:val="3"/>
                <w:color w:val="auto"/>
              </w:rPr>
            </w:pPr>
          </w:p>
        </w:tc>
        <w:tc>
          <w:tcPr>
            <w:tcW w:w="500" w:type="dxa"/>
            <w:vAlign w:val="bottom"/>
            <w:tcBorders>
              <w:bottom w:val="single" w:sz="8" w:color="CCEEFF"/>
            </w:tcBorders>
          </w:tcPr>
          <w:p>
            <w:pPr>
              <w:spacing w:after="0"/>
              <w:rPr>
                <w:sz w:val="3"/>
                <w:szCs w:val="3"/>
                <w:color w:val="auto"/>
              </w:rPr>
            </w:pPr>
          </w:p>
        </w:tc>
        <w:tc>
          <w:tcPr>
            <w:tcW w:w="340" w:type="dxa"/>
            <w:vAlign w:val="bottom"/>
            <w:tcBorders>
              <w:bottom w:val="single" w:sz="8" w:color="CCEEFF"/>
            </w:tcBorders>
          </w:tcPr>
          <w:p>
            <w:pPr>
              <w:spacing w:after="0"/>
              <w:rPr>
                <w:sz w:val="3"/>
                <w:szCs w:val="3"/>
                <w:color w:val="auto"/>
              </w:rPr>
            </w:pPr>
          </w:p>
        </w:tc>
        <w:tc>
          <w:tcPr>
            <w:tcW w:w="140" w:type="dxa"/>
            <w:vAlign w:val="bottom"/>
            <w:tcBorders>
              <w:bottom w:val="single" w:sz="8" w:color="CCEEFF"/>
            </w:tcBorders>
          </w:tcPr>
          <w:p>
            <w:pPr>
              <w:spacing w:after="0"/>
              <w:rPr>
                <w:sz w:val="3"/>
                <w:szCs w:val="3"/>
                <w:color w:val="auto"/>
              </w:rPr>
            </w:pPr>
          </w:p>
        </w:tc>
        <w:tc>
          <w:tcPr>
            <w:tcW w:w="100" w:type="dxa"/>
            <w:vAlign w:val="bottom"/>
            <w:tcBorders>
              <w:bottom w:val="single" w:sz="8" w:color="CCEEFF"/>
            </w:tcBorders>
          </w:tcPr>
          <w:p>
            <w:pPr>
              <w:spacing w:after="0"/>
              <w:rPr>
                <w:sz w:val="3"/>
                <w:szCs w:val="3"/>
                <w:color w:val="auto"/>
              </w:rPr>
            </w:pPr>
          </w:p>
        </w:tc>
        <w:tc>
          <w:tcPr>
            <w:tcW w:w="32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80" w:type="dxa"/>
            <w:vAlign w:val="bottom"/>
            <w:tcBorders>
              <w:bottom w:val="single" w:sz="8" w:color="CCEEFF"/>
            </w:tcBorders>
          </w:tcPr>
          <w:p>
            <w:pPr>
              <w:spacing w:after="0"/>
              <w:rPr>
                <w:sz w:val="3"/>
                <w:szCs w:val="3"/>
                <w:color w:val="auto"/>
              </w:rPr>
            </w:pPr>
          </w:p>
        </w:tc>
        <w:tc>
          <w:tcPr>
            <w:tcW w:w="460" w:type="dxa"/>
            <w:vAlign w:val="bottom"/>
            <w:tcBorders>
              <w:bottom w:val="single" w:sz="8" w:color="CCEEFF"/>
            </w:tcBorders>
          </w:tcPr>
          <w:p>
            <w:pPr>
              <w:spacing w:after="0"/>
              <w:rPr>
                <w:sz w:val="3"/>
                <w:szCs w:val="3"/>
                <w:color w:val="auto"/>
              </w:rPr>
            </w:pPr>
          </w:p>
        </w:tc>
        <w:tc>
          <w:tcPr>
            <w:tcW w:w="380" w:type="dxa"/>
            <w:vAlign w:val="bottom"/>
            <w:tcBorders>
              <w:bottom w:val="single" w:sz="8" w:color="CCEEFF"/>
            </w:tcBorders>
          </w:tcPr>
          <w:p>
            <w:pPr>
              <w:spacing w:after="0"/>
              <w:rPr>
                <w:sz w:val="3"/>
                <w:szCs w:val="3"/>
                <w:color w:val="auto"/>
              </w:rPr>
            </w:pPr>
          </w:p>
        </w:tc>
        <w:tc>
          <w:tcPr>
            <w:tcW w:w="160" w:type="dxa"/>
            <w:vAlign w:val="bottom"/>
            <w:tcBorders>
              <w:bottom w:val="single" w:sz="8" w:color="CCEEFF"/>
            </w:tcBorders>
          </w:tcPr>
          <w:p>
            <w:pPr>
              <w:spacing w:after="0"/>
              <w:rPr>
                <w:sz w:val="3"/>
                <w:szCs w:val="3"/>
                <w:color w:val="auto"/>
              </w:rPr>
            </w:pPr>
          </w:p>
        </w:tc>
        <w:tc>
          <w:tcPr>
            <w:tcW w:w="0" w:type="dxa"/>
            <w:vAlign w:val="bottom"/>
          </w:tcPr>
          <w:p>
            <w:pPr>
              <w:spacing w:after="0"/>
              <w:rPr>
                <w:sz w:val="1"/>
                <w:szCs w:val="1"/>
                <w:color w:val="auto"/>
              </w:rPr>
            </w:pPr>
          </w:p>
        </w:tc>
      </w:tr>
      <w:tr>
        <w:trPr>
          <w:trHeight w:val="182"/>
        </w:trPr>
        <w:tc>
          <w:tcPr>
            <w:tcW w:w="3820" w:type="dxa"/>
            <w:vAlign w:val="bottom"/>
            <w:tcBorders>
              <w:top w:val="single" w:sz="8" w:color="CCEEFF"/>
              <w:bottom w:val="single" w:sz="8" w:color="CCEEFF"/>
            </w:tcBorders>
            <w:shd w:val="clear" w:color="auto" w:fill="CCEEFF"/>
          </w:tcPr>
          <w:p>
            <w:pPr>
              <w:ind w:left="340"/>
              <w:spacing w:after="0"/>
              <w:rPr>
                <w:sz w:val="20"/>
                <w:szCs w:val="20"/>
                <w:color w:val="auto"/>
              </w:rPr>
            </w:pPr>
            <w:r>
              <w:rPr>
                <w:rFonts w:ascii="Arial" w:cs="Arial" w:eastAsia="Arial" w:hAnsi="Arial"/>
                <w:sz w:val="13"/>
                <w:szCs w:val="13"/>
                <w:color w:val="auto"/>
              </w:rPr>
              <w:t>Total private education loans</w:t>
            </w:r>
          </w:p>
        </w:tc>
        <w:tc>
          <w:tcPr>
            <w:tcW w:w="320" w:type="dxa"/>
            <w:vAlign w:val="bottom"/>
            <w:tcBorders>
              <w:top w:val="single" w:sz="8" w:color="CCEEFF"/>
              <w:bottom w:val="single" w:sz="8" w:color="auto"/>
            </w:tcBorders>
            <w:shd w:val="clear" w:color="auto" w:fill="CCEEFF"/>
          </w:tcPr>
          <w:p>
            <w:pPr>
              <w:jc w:val="right"/>
              <w:ind w:right="212"/>
              <w:spacing w:after="0"/>
              <w:rPr>
                <w:sz w:val="20"/>
                <w:szCs w:val="20"/>
                <w:color w:val="auto"/>
              </w:rPr>
            </w:pPr>
            <w:r>
              <w:rPr>
                <w:rFonts w:ascii="Arial" w:cs="Arial" w:eastAsia="Arial" w:hAnsi="Arial"/>
                <w:sz w:val="10"/>
                <w:szCs w:val="10"/>
                <w:color w:val="auto"/>
                <w:w w:val="71"/>
              </w:rPr>
              <w:t>$</w:t>
            </w:r>
          </w:p>
        </w:tc>
        <w:tc>
          <w:tcPr>
            <w:tcW w:w="960" w:type="dxa"/>
            <w:vAlign w:val="bottom"/>
            <w:tcBorders>
              <w:top w:val="single" w:sz="8" w:color="CCEEFF"/>
              <w:bottom w:val="single" w:sz="8" w:color="auto"/>
            </w:tcBorders>
            <w:shd w:val="clear" w:color="auto" w:fill="CCEEFF"/>
          </w:tcPr>
          <w:p>
            <w:pPr>
              <w:jc w:val="right"/>
              <w:spacing w:after="0" w:line="143" w:lineRule="exact"/>
              <w:rPr>
                <w:sz w:val="20"/>
                <w:szCs w:val="20"/>
                <w:color w:val="auto"/>
              </w:rPr>
            </w:pPr>
            <w:r>
              <w:rPr>
                <w:rFonts w:ascii="Arial" w:cs="Arial" w:eastAsia="Arial" w:hAnsi="Arial"/>
                <w:sz w:val="13"/>
                <w:szCs w:val="13"/>
                <w:color w:val="auto"/>
              </w:rPr>
              <w:t>211,029</w:t>
            </w:r>
          </w:p>
        </w:tc>
        <w:tc>
          <w:tcPr>
            <w:tcW w:w="100" w:type="dxa"/>
            <w:vAlign w:val="bottom"/>
            <w:tcBorders>
              <w:top w:val="single" w:sz="8" w:color="CCEEFF"/>
              <w:bottom w:val="single" w:sz="8" w:color="CCEEFF"/>
            </w:tcBorders>
            <w:shd w:val="clear" w:color="auto" w:fill="CCEEFF"/>
          </w:tcPr>
          <w:p>
            <w:pPr>
              <w:spacing w:after="0"/>
              <w:rPr>
                <w:sz w:val="15"/>
                <w:szCs w:val="15"/>
                <w:color w:val="auto"/>
              </w:rPr>
            </w:pPr>
          </w:p>
        </w:tc>
        <w:tc>
          <w:tcPr>
            <w:tcW w:w="440" w:type="dxa"/>
            <w:vAlign w:val="bottom"/>
            <w:tcBorders>
              <w:top w:val="single" w:sz="8" w:color="auto"/>
              <w:bottom w:val="single" w:sz="8" w:color="CCEEFF"/>
            </w:tcBorders>
            <w:shd w:val="clear" w:color="auto" w:fill="CCEEFF"/>
          </w:tcPr>
          <w:p>
            <w:pPr>
              <w:spacing w:after="0"/>
              <w:rPr>
                <w:sz w:val="15"/>
                <w:szCs w:val="15"/>
                <w:color w:val="auto"/>
              </w:rPr>
            </w:pPr>
          </w:p>
        </w:tc>
        <w:tc>
          <w:tcPr>
            <w:tcW w:w="400" w:type="dxa"/>
            <w:vAlign w:val="bottom"/>
            <w:tcBorders>
              <w:top w:val="single" w:sz="8" w:color="auto"/>
              <w:bottom w:val="single" w:sz="8" w:color="CCEEFF"/>
            </w:tcBorders>
            <w:shd w:val="clear" w:color="auto" w:fill="CCEEFF"/>
          </w:tcPr>
          <w:p>
            <w:pPr>
              <w:spacing w:after="0"/>
              <w:rPr>
                <w:sz w:val="15"/>
                <w:szCs w:val="15"/>
                <w:color w:val="auto"/>
              </w:rPr>
            </w:pPr>
          </w:p>
        </w:tc>
        <w:tc>
          <w:tcPr>
            <w:tcW w:w="140" w:type="dxa"/>
            <w:vAlign w:val="bottom"/>
            <w:tcBorders>
              <w:top w:val="single" w:sz="8" w:color="auto"/>
              <w:bottom w:val="single" w:sz="8" w:color="CCEEFF"/>
            </w:tcBorders>
            <w:shd w:val="clear" w:color="auto" w:fill="CCEEFF"/>
          </w:tcPr>
          <w:p>
            <w:pPr>
              <w:spacing w:after="0"/>
              <w:rPr>
                <w:sz w:val="15"/>
                <w:szCs w:val="15"/>
                <w:color w:val="auto"/>
              </w:rPr>
            </w:pPr>
          </w:p>
        </w:tc>
        <w:tc>
          <w:tcPr>
            <w:tcW w:w="100" w:type="dxa"/>
            <w:vAlign w:val="bottom"/>
            <w:tcBorders>
              <w:top w:val="single" w:sz="8" w:color="CCEEFF"/>
              <w:bottom w:val="single" w:sz="8" w:color="CCEEFF"/>
            </w:tcBorders>
            <w:shd w:val="clear" w:color="auto" w:fill="CCEEFF"/>
          </w:tcPr>
          <w:p>
            <w:pPr>
              <w:spacing w:after="0"/>
              <w:rPr>
                <w:sz w:val="15"/>
                <w:szCs w:val="15"/>
                <w:color w:val="auto"/>
              </w:rPr>
            </w:pPr>
          </w:p>
        </w:tc>
        <w:tc>
          <w:tcPr>
            <w:tcW w:w="300" w:type="dxa"/>
            <w:vAlign w:val="bottom"/>
            <w:tcBorders>
              <w:top w:val="single" w:sz="8" w:color="CCEEFF"/>
              <w:bottom w:val="single" w:sz="8" w:color="auto"/>
            </w:tcBorders>
            <w:shd w:val="clear" w:color="auto" w:fill="CCEEFF"/>
          </w:tcPr>
          <w:p>
            <w:pPr>
              <w:jc w:val="right"/>
              <w:ind w:right="155"/>
              <w:spacing w:after="0" w:line="143" w:lineRule="exact"/>
              <w:rPr>
                <w:sz w:val="20"/>
                <w:szCs w:val="20"/>
                <w:color w:val="auto"/>
              </w:rPr>
            </w:pPr>
            <w:r>
              <w:rPr>
                <w:rFonts w:ascii="Arial" w:cs="Arial" w:eastAsia="Arial" w:hAnsi="Arial"/>
                <w:sz w:val="13"/>
                <w:szCs w:val="13"/>
                <w:color w:val="auto"/>
                <w:w w:val="82"/>
              </w:rPr>
              <w:t>$</w:t>
            </w:r>
          </w:p>
        </w:tc>
        <w:tc>
          <w:tcPr>
            <w:tcW w:w="1000" w:type="dxa"/>
            <w:vAlign w:val="bottom"/>
            <w:tcBorders>
              <w:top w:val="single" w:sz="8" w:color="CCEEFF"/>
              <w:bottom w:val="single" w:sz="8" w:color="auto"/>
            </w:tcBorders>
            <w:shd w:val="clear" w:color="auto" w:fill="CCEEFF"/>
          </w:tcPr>
          <w:p>
            <w:pPr>
              <w:jc w:val="right"/>
              <w:spacing w:after="0" w:line="143" w:lineRule="exact"/>
              <w:rPr>
                <w:sz w:val="20"/>
                <w:szCs w:val="20"/>
                <w:color w:val="auto"/>
              </w:rPr>
            </w:pPr>
            <w:r>
              <w:rPr>
                <w:rFonts w:ascii="Arial" w:cs="Arial" w:eastAsia="Arial" w:hAnsi="Arial"/>
                <w:sz w:val="13"/>
                <w:szCs w:val="13"/>
                <w:color w:val="auto"/>
              </w:rPr>
              <w:t>225,975</w:t>
            </w:r>
          </w:p>
        </w:tc>
        <w:tc>
          <w:tcPr>
            <w:tcW w:w="100" w:type="dxa"/>
            <w:vAlign w:val="bottom"/>
            <w:tcBorders>
              <w:top w:val="single" w:sz="8" w:color="CCEEFF"/>
              <w:bottom w:val="single" w:sz="8" w:color="CCEEFF"/>
            </w:tcBorders>
            <w:shd w:val="clear" w:color="auto" w:fill="CCEEFF"/>
          </w:tcPr>
          <w:p>
            <w:pPr>
              <w:spacing w:after="0"/>
              <w:rPr>
                <w:sz w:val="15"/>
                <w:szCs w:val="15"/>
                <w:color w:val="auto"/>
              </w:rPr>
            </w:pPr>
          </w:p>
        </w:tc>
        <w:tc>
          <w:tcPr>
            <w:tcW w:w="500" w:type="dxa"/>
            <w:vAlign w:val="bottom"/>
            <w:tcBorders>
              <w:top w:val="single" w:sz="8" w:color="auto"/>
              <w:bottom w:val="single" w:sz="8" w:color="CCEEFF"/>
            </w:tcBorders>
            <w:shd w:val="clear" w:color="auto" w:fill="CCEEFF"/>
          </w:tcPr>
          <w:p>
            <w:pPr>
              <w:spacing w:after="0"/>
              <w:rPr>
                <w:sz w:val="15"/>
                <w:szCs w:val="15"/>
                <w:color w:val="auto"/>
              </w:rPr>
            </w:pPr>
          </w:p>
        </w:tc>
        <w:tc>
          <w:tcPr>
            <w:tcW w:w="340" w:type="dxa"/>
            <w:vAlign w:val="bottom"/>
            <w:tcBorders>
              <w:top w:val="single" w:sz="8" w:color="auto"/>
              <w:bottom w:val="single" w:sz="8" w:color="CCEEFF"/>
            </w:tcBorders>
            <w:shd w:val="clear" w:color="auto" w:fill="CCEEFF"/>
          </w:tcPr>
          <w:p>
            <w:pPr>
              <w:spacing w:after="0"/>
              <w:rPr>
                <w:sz w:val="15"/>
                <w:szCs w:val="15"/>
                <w:color w:val="auto"/>
              </w:rPr>
            </w:pPr>
          </w:p>
        </w:tc>
        <w:tc>
          <w:tcPr>
            <w:tcW w:w="140" w:type="dxa"/>
            <w:vAlign w:val="bottom"/>
            <w:tcBorders>
              <w:top w:val="single" w:sz="8" w:color="auto"/>
              <w:bottom w:val="single" w:sz="8" w:color="CCEEFF"/>
            </w:tcBorders>
            <w:shd w:val="clear" w:color="auto" w:fill="CCEEFF"/>
          </w:tcPr>
          <w:p>
            <w:pPr>
              <w:spacing w:after="0"/>
              <w:rPr>
                <w:sz w:val="15"/>
                <w:szCs w:val="15"/>
                <w:color w:val="auto"/>
              </w:rPr>
            </w:pPr>
          </w:p>
        </w:tc>
        <w:tc>
          <w:tcPr>
            <w:tcW w:w="100" w:type="dxa"/>
            <w:vAlign w:val="bottom"/>
            <w:tcBorders>
              <w:top w:val="single" w:sz="8" w:color="CCEEFF"/>
              <w:bottom w:val="single" w:sz="8" w:color="CCEEFF"/>
            </w:tcBorders>
            <w:shd w:val="clear" w:color="auto" w:fill="CCEEFF"/>
          </w:tcPr>
          <w:p>
            <w:pPr>
              <w:spacing w:after="0"/>
              <w:rPr>
                <w:sz w:val="15"/>
                <w:szCs w:val="15"/>
                <w:color w:val="auto"/>
              </w:rPr>
            </w:pPr>
          </w:p>
        </w:tc>
        <w:tc>
          <w:tcPr>
            <w:tcW w:w="320" w:type="dxa"/>
            <w:vAlign w:val="bottom"/>
            <w:tcBorders>
              <w:top w:val="single" w:sz="8" w:color="CCEEFF"/>
              <w:bottom w:val="single" w:sz="8" w:color="auto"/>
            </w:tcBorders>
            <w:shd w:val="clear" w:color="auto" w:fill="CCEEFF"/>
          </w:tcPr>
          <w:p>
            <w:pPr>
              <w:jc w:val="right"/>
              <w:ind w:right="175"/>
              <w:spacing w:after="0" w:line="143" w:lineRule="exact"/>
              <w:rPr>
                <w:sz w:val="20"/>
                <w:szCs w:val="20"/>
                <w:color w:val="auto"/>
              </w:rPr>
            </w:pPr>
            <w:r>
              <w:rPr>
                <w:rFonts w:ascii="Arial" w:cs="Arial" w:eastAsia="Arial" w:hAnsi="Arial"/>
                <w:sz w:val="13"/>
                <w:szCs w:val="13"/>
                <w:color w:val="auto"/>
                <w:w w:val="82"/>
              </w:rPr>
              <w:t>$</w:t>
            </w:r>
          </w:p>
        </w:tc>
        <w:tc>
          <w:tcPr>
            <w:tcW w:w="920" w:type="dxa"/>
            <w:vAlign w:val="bottom"/>
            <w:tcBorders>
              <w:top w:val="single" w:sz="8" w:color="CCEEFF"/>
              <w:bottom w:val="single" w:sz="8" w:color="auto"/>
            </w:tcBorders>
            <w:shd w:val="clear" w:color="auto" w:fill="CCEEFF"/>
          </w:tcPr>
          <w:p>
            <w:pPr>
              <w:jc w:val="right"/>
              <w:spacing w:after="0" w:line="143" w:lineRule="exact"/>
              <w:rPr>
                <w:sz w:val="20"/>
                <w:szCs w:val="20"/>
                <w:color w:val="auto"/>
              </w:rPr>
            </w:pPr>
            <w:r>
              <w:rPr>
                <w:rFonts w:ascii="Arial" w:cs="Arial" w:eastAsia="Arial" w:hAnsi="Arial"/>
                <w:sz w:val="13"/>
                <w:szCs w:val="13"/>
                <w:color w:val="auto"/>
              </w:rPr>
              <w:t>194,310</w:t>
            </w:r>
          </w:p>
        </w:tc>
        <w:tc>
          <w:tcPr>
            <w:tcW w:w="80" w:type="dxa"/>
            <w:vAlign w:val="bottom"/>
            <w:tcBorders>
              <w:top w:val="single" w:sz="8" w:color="CCEEFF"/>
              <w:bottom w:val="single" w:sz="8" w:color="CCEEFF"/>
            </w:tcBorders>
            <w:shd w:val="clear" w:color="auto" w:fill="CCEEFF"/>
          </w:tcPr>
          <w:p>
            <w:pPr>
              <w:spacing w:after="0"/>
              <w:rPr>
                <w:sz w:val="15"/>
                <w:szCs w:val="15"/>
                <w:color w:val="auto"/>
              </w:rPr>
            </w:pPr>
          </w:p>
        </w:tc>
        <w:tc>
          <w:tcPr>
            <w:tcW w:w="460" w:type="dxa"/>
            <w:vAlign w:val="bottom"/>
            <w:tcBorders>
              <w:top w:val="single" w:sz="8" w:color="auto"/>
              <w:bottom w:val="single" w:sz="8" w:color="CCEEFF"/>
            </w:tcBorders>
            <w:shd w:val="clear" w:color="auto" w:fill="CCEEFF"/>
          </w:tcPr>
          <w:p>
            <w:pPr>
              <w:spacing w:after="0"/>
              <w:rPr>
                <w:sz w:val="15"/>
                <w:szCs w:val="15"/>
                <w:color w:val="auto"/>
              </w:rPr>
            </w:pPr>
          </w:p>
        </w:tc>
        <w:tc>
          <w:tcPr>
            <w:tcW w:w="380" w:type="dxa"/>
            <w:vAlign w:val="bottom"/>
            <w:tcBorders>
              <w:top w:val="single" w:sz="8" w:color="auto"/>
              <w:bottom w:val="single" w:sz="8" w:color="CCEEFF"/>
            </w:tcBorders>
            <w:shd w:val="clear" w:color="auto" w:fill="CCEEFF"/>
          </w:tcPr>
          <w:p>
            <w:pPr>
              <w:spacing w:after="0"/>
              <w:rPr>
                <w:sz w:val="15"/>
                <w:szCs w:val="15"/>
                <w:color w:val="auto"/>
              </w:rPr>
            </w:pPr>
          </w:p>
        </w:tc>
        <w:tc>
          <w:tcPr>
            <w:tcW w:w="160" w:type="dxa"/>
            <w:vAlign w:val="bottom"/>
            <w:tcBorders>
              <w:top w:val="single" w:sz="8" w:color="auto"/>
              <w:bottom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382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3"/>
                <w:szCs w:val="13"/>
                <w:b w:val="1"/>
                <w:bCs w:val="1"/>
                <w:color w:val="auto"/>
              </w:rPr>
              <w:t>Consumer loans:</w:t>
            </w: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2"/>
        </w:trPr>
        <w:tc>
          <w:tcPr>
            <w:tcW w:w="3820" w:type="dxa"/>
            <w:vAlign w:val="bottom"/>
            <w:vMerge w:val="continue"/>
          </w:tcPr>
          <w:p>
            <w:pPr>
              <w:spacing w:after="0"/>
              <w:rPr>
                <w:sz w:val="10"/>
                <w:szCs w:val="10"/>
                <w:color w:val="auto"/>
              </w:rPr>
            </w:pPr>
          </w:p>
        </w:tc>
        <w:tc>
          <w:tcPr>
            <w:tcW w:w="32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7"/>
        </w:trPr>
        <w:tc>
          <w:tcPr>
            <w:tcW w:w="3820" w:type="dxa"/>
            <w:vAlign w:val="bottom"/>
          </w:tcPr>
          <w:p>
            <w:pPr>
              <w:spacing w:after="0"/>
              <w:rPr>
                <w:sz w:val="2"/>
                <w:szCs w:val="2"/>
                <w:color w:val="auto"/>
              </w:rPr>
            </w:pPr>
          </w:p>
        </w:tc>
        <w:tc>
          <w:tcPr>
            <w:tcW w:w="32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4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920" w:type="dxa"/>
            <w:vAlign w:val="bottom"/>
          </w:tcPr>
          <w:p>
            <w:pPr>
              <w:spacing w:after="0"/>
              <w:rPr>
                <w:sz w:val="2"/>
                <w:szCs w:val="2"/>
                <w:color w:val="auto"/>
              </w:rPr>
            </w:pPr>
          </w:p>
        </w:tc>
        <w:tc>
          <w:tcPr>
            <w:tcW w:w="80" w:type="dxa"/>
            <w:vAlign w:val="bottom"/>
          </w:tcPr>
          <w:p>
            <w:pPr>
              <w:spacing w:after="0"/>
              <w:rPr>
                <w:sz w:val="2"/>
                <w:szCs w:val="2"/>
                <w:color w:val="auto"/>
              </w:rPr>
            </w:pPr>
          </w:p>
        </w:tc>
        <w:tc>
          <w:tcPr>
            <w:tcW w:w="460" w:type="dxa"/>
            <w:vAlign w:val="bottom"/>
          </w:tcPr>
          <w:p>
            <w:pPr>
              <w:spacing w:after="0"/>
              <w:rPr>
                <w:sz w:val="2"/>
                <w:szCs w:val="2"/>
                <w:color w:val="auto"/>
              </w:rPr>
            </w:pPr>
          </w:p>
        </w:tc>
        <w:tc>
          <w:tcPr>
            <w:tcW w:w="380" w:type="dxa"/>
            <w:vAlign w:val="bottom"/>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5"/>
        </w:trPr>
        <w:tc>
          <w:tcPr>
            <w:tcW w:w="38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Loans in repayment status:</w:t>
            </w:r>
          </w:p>
        </w:tc>
        <w:tc>
          <w:tcPr>
            <w:tcW w:w="320" w:type="dxa"/>
            <w:vAlign w:val="bottom"/>
            <w:tcBorders>
              <w:bottom w:val="single" w:sz="8" w:color="CCEEFF"/>
            </w:tcBorders>
            <w:shd w:val="clear" w:color="auto" w:fill="CCEEFF"/>
          </w:tcPr>
          <w:p>
            <w:pPr>
              <w:spacing w:after="0"/>
              <w:rPr>
                <w:sz w:val="16"/>
                <w:szCs w:val="16"/>
                <w:color w:val="auto"/>
              </w:rPr>
            </w:pPr>
          </w:p>
        </w:tc>
        <w:tc>
          <w:tcPr>
            <w:tcW w:w="96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440" w:type="dxa"/>
            <w:vAlign w:val="bottom"/>
            <w:tcBorders>
              <w:bottom w:val="single" w:sz="8" w:color="CCEEFF"/>
            </w:tcBorders>
            <w:shd w:val="clear" w:color="auto" w:fill="CCEEFF"/>
          </w:tcPr>
          <w:p>
            <w:pPr>
              <w:spacing w:after="0"/>
              <w:rPr>
                <w:sz w:val="16"/>
                <w:szCs w:val="16"/>
                <w:color w:val="auto"/>
              </w:rPr>
            </w:pPr>
          </w:p>
        </w:tc>
        <w:tc>
          <w:tcPr>
            <w:tcW w:w="400" w:type="dxa"/>
            <w:vAlign w:val="bottom"/>
            <w:tcBorders>
              <w:bottom w:val="single" w:sz="8" w:color="CCEEFF"/>
            </w:tcBorders>
            <w:shd w:val="clear" w:color="auto" w:fill="CCEEFF"/>
          </w:tcPr>
          <w:p>
            <w:pPr>
              <w:spacing w:after="0"/>
              <w:rPr>
                <w:sz w:val="16"/>
                <w:szCs w:val="16"/>
                <w:color w:val="auto"/>
              </w:rPr>
            </w:pPr>
          </w:p>
        </w:tc>
        <w:tc>
          <w:tcPr>
            <w:tcW w:w="14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300" w:type="dxa"/>
            <w:vAlign w:val="bottom"/>
            <w:tcBorders>
              <w:bottom w:val="single" w:sz="8" w:color="CCEEFF"/>
            </w:tcBorders>
            <w:shd w:val="clear" w:color="auto" w:fill="CCEEFF"/>
          </w:tcPr>
          <w:p>
            <w:pPr>
              <w:spacing w:after="0"/>
              <w:rPr>
                <w:sz w:val="16"/>
                <w:szCs w:val="16"/>
                <w:color w:val="auto"/>
              </w:rPr>
            </w:pPr>
          </w:p>
        </w:tc>
        <w:tc>
          <w:tcPr>
            <w:tcW w:w="100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500" w:type="dxa"/>
            <w:vAlign w:val="bottom"/>
            <w:tcBorders>
              <w:bottom w:val="single" w:sz="8" w:color="CCEEFF"/>
            </w:tcBorders>
            <w:shd w:val="clear" w:color="auto" w:fill="CCEEFF"/>
          </w:tcPr>
          <w:p>
            <w:pPr>
              <w:spacing w:after="0"/>
              <w:rPr>
                <w:sz w:val="16"/>
                <w:szCs w:val="16"/>
                <w:color w:val="auto"/>
              </w:rPr>
            </w:pPr>
          </w:p>
        </w:tc>
        <w:tc>
          <w:tcPr>
            <w:tcW w:w="340" w:type="dxa"/>
            <w:vAlign w:val="bottom"/>
            <w:tcBorders>
              <w:bottom w:val="single" w:sz="8" w:color="CCEEFF"/>
            </w:tcBorders>
            <w:shd w:val="clear" w:color="auto" w:fill="CCEEFF"/>
          </w:tcPr>
          <w:p>
            <w:pPr>
              <w:spacing w:after="0"/>
              <w:rPr>
                <w:sz w:val="16"/>
                <w:szCs w:val="16"/>
                <w:color w:val="auto"/>
              </w:rPr>
            </w:pPr>
          </w:p>
        </w:tc>
        <w:tc>
          <w:tcPr>
            <w:tcW w:w="14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320" w:type="dxa"/>
            <w:vAlign w:val="bottom"/>
            <w:tcBorders>
              <w:bottom w:val="single" w:sz="8" w:color="CCEEFF"/>
            </w:tcBorders>
            <w:shd w:val="clear" w:color="auto" w:fill="CCEEFF"/>
          </w:tcPr>
          <w:p>
            <w:pPr>
              <w:spacing w:after="0"/>
              <w:rPr>
                <w:sz w:val="16"/>
                <w:szCs w:val="16"/>
                <w:color w:val="auto"/>
              </w:rPr>
            </w:pPr>
          </w:p>
        </w:tc>
        <w:tc>
          <w:tcPr>
            <w:tcW w:w="920" w:type="dxa"/>
            <w:vAlign w:val="bottom"/>
            <w:tcBorders>
              <w:bottom w:val="single" w:sz="8" w:color="CCEEFF"/>
            </w:tcBorders>
            <w:shd w:val="clear" w:color="auto" w:fill="CCEEFF"/>
          </w:tcPr>
          <w:p>
            <w:pPr>
              <w:spacing w:after="0"/>
              <w:rPr>
                <w:sz w:val="16"/>
                <w:szCs w:val="16"/>
                <w:color w:val="auto"/>
              </w:rPr>
            </w:pPr>
          </w:p>
        </w:tc>
        <w:tc>
          <w:tcPr>
            <w:tcW w:w="80" w:type="dxa"/>
            <w:vAlign w:val="bottom"/>
            <w:tcBorders>
              <w:bottom w:val="single" w:sz="8" w:color="CCEEFF"/>
            </w:tcBorders>
            <w:shd w:val="clear" w:color="auto" w:fill="CCEEFF"/>
          </w:tcPr>
          <w:p>
            <w:pPr>
              <w:spacing w:after="0"/>
              <w:rPr>
                <w:sz w:val="16"/>
                <w:szCs w:val="16"/>
                <w:color w:val="auto"/>
              </w:rPr>
            </w:pPr>
          </w:p>
        </w:tc>
        <w:tc>
          <w:tcPr>
            <w:tcW w:w="460" w:type="dxa"/>
            <w:vAlign w:val="bottom"/>
            <w:tcBorders>
              <w:bottom w:val="single" w:sz="8" w:color="CCEEFF"/>
            </w:tcBorders>
            <w:shd w:val="clear" w:color="auto" w:fill="CCEEFF"/>
          </w:tcPr>
          <w:p>
            <w:pPr>
              <w:spacing w:after="0"/>
              <w:rPr>
                <w:sz w:val="16"/>
                <w:szCs w:val="16"/>
                <w:color w:val="auto"/>
              </w:rPr>
            </w:pPr>
          </w:p>
        </w:tc>
        <w:tc>
          <w:tcPr>
            <w:tcW w:w="380" w:type="dxa"/>
            <w:vAlign w:val="bottom"/>
            <w:tcBorders>
              <w:bottom w:val="single" w:sz="8" w:color="CCEEFF"/>
            </w:tcBorders>
            <w:shd w:val="clear" w:color="auto" w:fill="CCEEFF"/>
          </w:tcPr>
          <w:p>
            <w:pPr>
              <w:spacing w:after="0"/>
              <w:rPr>
                <w:sz w:val="16"/>
                <w:szCs w:val="16"/>
                <w:color w:val="auto"/>
              </w:rPr>
            </w:pPr>
          </w:p>
        </w:tc>
        <w:tc>
          <w:tcPr>
            <w:tcW w:w="160" w:type="dxa"/>
            <w:vAlign w:val="bottom"/>
            <w:tcBorders>
              <w:bottom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78"/>
        </w:trPr>
        <w:tc>
          <w:tcPr>
            <w:tcW w:w="3820" w:type="dxa"/>
            <w:vAlign w:val="bottom"/>
          </w:tcPr>
          <w:p>
            <w:pPr>
              <w:ind w:left="160"/>
              <w:spacing w:after="0"/>
              <w:rPr>
                <w:sz w:val="20"/>
                <w:szCs w:val="20"/>
                <w:color w:val="auto"/>
              </w:rPr>
            </w:pPr>
            <w:r>
              <w:rPr>
                <w:rFonts w:ascii="Arial" w:cs="Arial" w:eastAsia="Arial" w:hAnsi="Arial"/>
                <w:sz w:val="13"/>
                <w:szCs w:val="13"/>
                <w:color w:val="auto"/>
              </w:rPr>
              <w:t>Loans current</w:t>
            </w:r>
          </w:p>
        </w:tc>
        <w:tc>
          <w:tcPr>
            <w:tcW w:w="320" w:type="dxa"/>
            <w:vAlign w:val="bottom"/>
          </w:tcPr>
          <w:p>
            <w:pPr>
              <w:jc w:val="right"/>
              <w:ind w:right="212"/>
              <w:spacing w:after="0"/>
              <w:rPr>
                <w:sz w:val="20"/>
                <w:szCs w:val="20"/>
                <w:color w:val="auto"/>
              </w:rPr>
            </w:pPr>
            <w:r>
              <w:rPr>
                <w:rFonts w:ascii="Arial" w:cs="Arial" w:eastAsia="Arial" w:hAnsi="Arial"/>
                <w:sz w:val="10"/>
                <w:szCs w:val="10"/>
                <w:color w:val="auto"/>
                <w:w w:val="71"/>
              </w:rPr>
              <w:t>$</w:t>
            </w:r>
          </w:p>
        </w:tc>
        <w:tc>
          <w:tcPr>
            <w:tcW w:w="960" w:type="dxa"/>
            <w:vAlign w:val="bottom"/>
          </w:tcPr>
          <w:p>
            <w:pPr>
              <w:jc w:val="right"/>
              <w:spacing w:after="0"/>
              <w:rPr>
                <w:sz w:val="20"/>
                <w:szCs w:val="20"/>
                <w:color w:val="auto"/>
              </w:rPr>
            </w:pPr>
            <w:r>
              <w:rPr>
                <w:rFonts w:ascii="Arial" w:cs="Arial" w:eastAsia="Arial" w:hAnsi="Arial"/>
                <w:sz w:val="13"/>
                <w:szCs w:val="13"/>
                <w:color w:val="auto"/>
              </w:rPr>
              <w:t>187,983</w:t>
            </w:r>
          </w:p>
        </w:tc>
        <w:tc>
          <w:tcPr>
            <w:tcW w:w="1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400" w:type="dxa"/>
            <w:vAlign w:val="bottom"/>
          </w:tcPr>
          <w:p>
            <w:pPr>
              <w:jc w:val="right"/>
              <w:spacing w:after="0"/>
              <w:rPr>
                <w:sz w:val="20"/>
                <w:szCs w:val="20"/>
                <w:color w:val="auto"/>
              </w:rPr>
            </w:pPr>
            <w:r>
              <w:rPr>
                <w:rFonts w:ascii="Arial" w:cs="Arial" w:eastAsia="Arial" w:hAnsi="Arial"/>
                <w:sz w:val="13"/>
                <w:szCs w:val="13"/>
                <w:color w:val="auto"/>
              </w:rPr>
              <w:t>98.4</w:t>
            </w:r>
          </w:p>
        </w:tc>
        <w:tc>
          <w:tcPr>
            <w:tcW w:w="140" w:type="dxa"/>
            <w:vAlign w:val="bottom"/>
          </w:tcPr>
          <w:p>
            <w:pPr>
              <w:jc w:val="right"/>
              <w:spacing w:after="0"/>
              <w:rPr>
                <w:sz w:val="20"/>
                <w:szCs w:val="20"/>
                <w:color w:val="auto"/>
              </w:rPr>
            </w:pPr>
            <w:r>
              <w:rPr>
                <w:rFonts w:ascii="Arial" w:cs="Arial" w:eastAsia="Arial" w:hAnsi="Arial"/>
                <w:sz w:val="13"/>
                <w:szCs w:val="13"/>
                <w:color w:val="auto"/>
                <w:w w:val="86"/>
              </w:rPr>
              <w:t>%</w:t>
            </w:r>
          </w:p>
        </w:tc>
        <w:tc>
          <w:tcPr>
            <w:tcW w:w="100" w:type="dxa"/>
            <w:vAlign w:val="bottom"/>
          </w:tcPr>
          <w:p>
            <w:pPr>
              <w:spacing w:after="0"/>
              <w:rPr>
                <w:sz w:val="15"/>
                <w:szCs w:val="15"/>
                <w:color w:val="auto"/>
              </w:rPr>
            </w:pPr>
          </w:p>
        </w:tc>
        <w:tc>
          <w:tcPr>
            <w:tcW w:w="300" w:type="dxa"/>
            <w:vAlign w:val="bottom"/>
          </w:tcPr>
          <w:p>
            <w:pPr>
              <w:jc w:val="right"/>
              <w:ind w:right="155"/>
              <w:spacing w:after="0"/>
              <w:rPr>
                <w:sz w:val="20"/>
                <w:szCs w:val="20"/>
                <w:color w:val="auto"/>
              </w:rPr>
            </w:pPr>
            <w:r>
              <w:rPr>
                <w:rFonts w:ascii="Arial" w:cs="Arial" w:eastAsia="Arial" w:hAnsi="Arial"/>
                <w:sz w:val="13"/>
                <w:szCs w:val="13"/>
                <w:color w:val="auto"/>
                <w:w w:val="82"/>
              </w:rPr>
              <w:t>$</w:t>
            </w:r>
          </w:p>
        </w:tc>
        <w:tc>
          <w:tcPr>
            <w:tcW w:w="1000" w:type="dxa"/>
            <w:vAlign w:val="bottom"/>
          </w:tcPr>
          <w:p>
            <w:pPr>
              <w:jc w:val="right"/>
              <w:spacing w:after="0"/>
              <w:rPr>
                <w:sz w:val="20"/>
                <w:szCs w:val="20"/>
                <w:color w:val="auto"/>
              </w:rPr>
            </w:pPr>
            <w:r>
              <w:rPr>
                <w:rFonts w:ascii="Arial" w:cs="Arial" w:eastAsia="Arial" w:hAnsi="Arial"/>
                <w:sz w:val="13"/>
                <w:szCs w:val="13"/>
                <w:color w:val="auto"/>
              </w:rPr>
              <w:t>136,130</w:t>
            </w:r>
          </w:p>
        </w:tc>
        <w:tc>
          <w:tcPr>
            <w:tcW w:w="10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40" w:type="dxa"/>
            <w:vAlign w:val="bottom"/>
          </w:tcPr>
          <w:p>
            <w:pPr>
              <w:jc w:val="right"/>
              <w:spacing w:after="0"/>
              <w:rPr>
                <w:sz w:val="20"/>
                <w:szCs w:val="20"/>
                <w:color w:val="auto"/>
              </w:rPr>
            </w:pPr>
            <w:r>
              <w:rPr>
                <w:rFonts w:ascii="Arial" w:cs="Arial" w:eastAsia="Arial" w:hAnsi="Arial"/>
                <w:sz w:val="13"/>
                <w:szCs w:val="13"/>
                <w:color w:val="auto"/>
              </w:rPr>
              <w:t>98.2</w:t>
            </w:r>
          </w:p>
        </w:tc>
        <w:tc>
          <w:tcPr>
            <w:tcW w:w="140" w:type="dxa"/>
            <w:vAlign w:val="bottom"/>
          </w:tcPr>
          <w:p>
            <w:pPr>
              <w:jc w:val="right"/>
              <w:spacing w:after="0"/>
              <w:rPr>
                <w:sz w:val="20"/>
                <w:szCs w:val="20"/>
                <w:color w:val="auto"/>
              </w:rPr>
            </w:pPr>
            <w:r>
              <w:rPr>
                <w:rFonts w:ascii="Arial" w:cs="Arial" w:eastAsia="Arial" w:hAnsi="Arial"/>
                <w:sz w:val="13"/>
                <w:szCs w:val="13"/>
                <w:color w:val="auto"/>
                <w:w w:val="86"/>
              </w:rPr>
              <w:t>%</w:t>
            </w:r>
          </w:p>
        </w:tc>
        <w:tc>
          <w:tcPr>
            <w:tcW w:w="100" w:type="dxa"/>
            <w:vAlign w:val="bottom"/>
          </w:tcPr>
          <w:p>
            <w:pPr>
              <w:spacing w:after="0"/>
              <w:rPr>
                <w:sz w:val="15"/>
                <w:szCs w:val="15"/>
                <w:color w:val="auto"/>
              </w:rPr>
            </w:pPr>
          </w:p>
        </w:tc>
        <w:tc>
          <w:tcPr>
            <w:tcW w:w="320" w:type="dxa"/>
            <w:vAlign w:val="bottom"/>
          </w:tcPr>
          <w:p>
            <w:pPr>
              <w:jc w:val="right"/>
              <w:ind w:right="175"/>
              <w:spacing w:after="0"/>
              <w:rPr>
                <w:sz w:val="20"/>
                <w:szCs w:val="20"/>
                <w:color w:val="auto"/>
              </w:rPr>
            </w:pPr>
            <w:r>
              <w:rPr>
                <w:rFonts w:ascii="Arial" w:cs="Arial" w:eastAsia="Arial" w:hAnsi="Arial"/>
                <w:sz w:val="13"/>
                <w:szCs w:val="13"/>
                <w:color w:val="auto"/>
                <w:w w:val="82"/>
              </w:rPr>
              <w:t>$</w:t>
            </w:r>
          </w:p>
        </w:tc>
        <w:tc>
          <w:tcPr>
            <w:tcW w:w="920" w:type="dxa"/>
            <w:vAlign w:val="bottom"/>
          </w:tcPr>
          <w:p>
            <w:pPr>
              <w:jc w:val="right"/>
              <w:spacing w:after="0"/>
              <w:rPr>
                <w:sz w:val="20"/>
                <w:szCs w:val="20"/>
                <w:color w:val="auto"/>
              </w:rPr>
            </w:pPr>
            <w:r>
              <w:rPr>
                <w:rFonts w:ascii="Arial" w:cs="Arial" w:eastAsia="Arial" w:hAnsi="Arial"/>
                <w:sz w:val="13"/>
                <w:szCs w:val="13"/>
                <w:color w:val="auto"/>
              </w:rPr>
              <w:t>76,401</w:t>
            </w:r>
          </w:p>
        </w:tc>
        <w:tc>
          <w:tcPr>
            <w:tcW w:w="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380" w:type="dxa"/>
            <w:vAlign w:val="bottom"/>
          </w:tcPr>
          <w:p>
            <w:pPr>
              <w:jc w:val="right"/>
              <w:spacing w:after="0"/>
              <w:rPr>
                <w:sz w:val="20"/>
                <w:szCs w:val="20"/>
                <w:color w:val="auto"/>
              </w:rPr>
            </w:pPr>
            <w:r>
              <w:rPr>
                <w:rFonts w:ascii="Arial" w:cs="Arial" w:eastAsia="Arial" w:hAnsi="Arial"/>
                <w:sz w:val="13"/>
                <w:szCs w:val="13"/>
                <w:color w:val="auto"/>
              </w:rPr>
              <w:t>98.1</w:t>
            </w:r>
          </w:p>
        </w:tc>
        <w:tc>
          <w:tcPr>
            <w:tcW w:w="160" w:type="dxa"/>
            <w:vAlign w:val="bottom"/>
          </w:tcPr>
          <w:p>
            <w:pPr>
              <w:jc w:val="right"/>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27"/>
        </w:trPr>
        <w:tc>
          <w:tcPr>
            <w:tcW w:w="3820" w:type="dxa"/>
            <w:vAlign w:val="bottom"/>
          </w:tcPr>
          <w:p>
            <w:pPr>
              <w:spacing w:after="0"/>
              <w:rPr>
                <w:sz w:val="2"/>
                <w:szCs w:val="2"/>
                <w:color w:val="auto"/>
              </w:rPr>
            </w:pPr>
          </w:p>
        </w:tc>
        <w:tc>
          <w:tcPr>
            <w:tcW w:w="32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4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920" w:type="dxa"/>
            <w:vAlign w:val="bottom"/>
          </w:tcPr>
          <w:p>
            <w:pPr>
              <w:spacing w:after="0"/>
              <w:rPr>
                <w:sz w:val="2"/>
                <w:szCs w:val="2"/>
                <w:color w:val="auto"/>
              </w:rPr>
            </w:pPr>
          </w:p>
        </w:tc>
        <w:tc>
          <w:tcPr>
            <w:tcW w:w="80" w:type="dxa"/>
            <w:vAlign w:val="bottom"/>
          </w:tcPr>
          <w:p>
            <w:pPr>
              <w:spacing w:after="0"/>
              <w:rPr>
                <w:sz w:val="2"/>
                <w:szCs w:val="2"/>
                <w:color w:val="auto"/>
              </w:rPr>
            </w:pPr>
          </w:p>
        </w:tc>
        <w:tc>
          <w:tcPr>
            <w:tcW w:w="460" w:type="dxa"/>
            <w:vAlign w:val="bottom"/>
          </w:tcPr>
          <w:p>
            <w:pPr>
              <w:spacing w:after="0"/>
              <w:rPr>
                <w:sz w:val="2"/>
                <w:szCs w:val="2"/>
                <w:color w:val="auto"/>
              </w:rPr>
            </w:pPr>
          </w:p>
        </w:tc>
        <w:tc>
          <w:tcPr>
            <w:tcW w:w="380" w:type="dxa"/>
            <w:vAlign w:val="bottom"/>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5"/>
        </w:trPr>
        <w:tc>
          <w:tcPr>
            <w:tcW w:w="38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3"/>
                <w:szCs w:val="13"/>
                <w:color w:val="auto"/>
              </w:rPr>
              <w:t>Loans delinquent 31-60 days</w:t>
            </w:r>
          </w:p>
        </w:tc>
        <w:tc>
          <w:tcPr>
            <w:tcW w:w="320" w:type="dxa"/>
            <w:vAlign w:val="bottom"/>
            <w:tcBorders>
              <w:bottom w:val="single" w:sz="8" w:color="CCEEFF"/>
            </w:tcBorders>
            <w:shd w:val="clear" w:color="auto" w:fill="CCEEFF"/>
          </w:tcPr>
          <w:p>
            <w:pPr>
              <w:spacing w:after="0"/>
              <w:rPr>
                <w:sz w:val="16"/>
                <w:szCs w:val="16"/>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1,162</w:t>
            </w:r>
          </w:p>
        </w:tc>
        <w:tc>
          <w:tcPr>
            <w:tcW w:w="100" w:type="dxa"/>
            <w:vAlign w:val="bottom"/>
            <w:tcBorders>
              <w:bottom w:val="single" w:sz="8" w:color="CCEEFF"/>
            </w:tcBorders>
            <w:shd w:val="clear" w:color="auto" w:fill="CCEEFF"/>
          </w:tcPr>
          <w:p>
            <w:pPr>
              <w:spacing w:after="0"/>
              <w:rPr>
                <w:sz w:val="16"/>
                <w:szCs w:val="16"/>
                <w:color w:val="auto"/>
              </w:rPr>
            </w:pPr>
          </w:p>
        </w:tc>
        <w:tc>
          <w:tcPr>
            <w:tcW w:w="440" w:type="dxa"/>
            <w:vAlign w:val="bottom"/>
            <w:tcBorders>
              <w:bottom w:val="single" w:sz="8" w:color="CCEEFF"/>
            </w:tcBorders>
            <w:shd w:val="clear" w:color="auto" w:fill="CCEEFF"/>
          </w:tcPr>
          <w:p>
            <w:pPr>
              <w:spacing w:after="0"/>
              <w:rPr>
                <w:sz w:val="16"/>
                <w:szCs w:val="16"/>
                <w:color w:val="auto"/>
              </w:rPr>
            </w:pPr>
          </w:p>
        </w:tc>
        <w:tc>
          <w:tcPr>
            <w:tcW w:w="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0.6</w:t>
            </w:r>
          </w:p>
        </w:tc>
        <w:tc>
          <w:tcPr>
            <w:tcW w:w="14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300" w:type="dxa"/>
            <w:vAlign w:val="bottom"/>
            <w:tcBorders>
              <w:bottom w:val="single" w:sz="8" w:color="CCEEFF"/>
            </w:tcBorders>
            <w:shd w:val="clear" w:color="auto" w:fill="CCEEFF"/>
          </w:tcPr>
          <w:p>
            <w:pPr>
              <w:spacing w:after="0"/>
              <w:rPr>
                <w:sz w:val="16"/>
                <w:szCs w:val="16"/>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1,012</w:t>
            </w:r>
          </w:p>
        </w:tc>
        <w:tc>
          <w:tcPr>
            <w:tcW w:w="100" w:type="dxa"/>
            <w:vAlign w:val="bottom"/>
            <w:tcBorders>
              <w:bottom w:val="single" w:sz="8" w:color="CCEEFF"/>
            </w:tcBorders>
            <w:shd w:val="clear" w:color="auto" w:fill="CCEEFF"/>
          </w:tcPr>
          <w:p>
            <w:pPr>
              <w:spacing w:after="0"/>
              <w:rPr>
                <w:sz w:val="16"/>
                <w:szCs w:val="16"/>
                <w:color w:val="auto"/>
              </w:rPr>
            </w:pPr>
          </w:p>
        </w:tc>
        <w:tc>
          <w:tcPr>
            <w:tcW w:w="500" w:type="dxa"/>
            <w:vAlign w:val="bottom"/>
            <w:tcBorders>
              <w:bottom w:val="single" w:sz="8" w:color="CCEEFF"/>
            </w:tcBorders>
            <w:shd w:val="clear" w:color="auto" w:fill="CCEEFF"/>
          </w:tcPr>
          <w:p>
            <w:pPr>
              <w:spacing w:after="0"/>
              <w:rPr>
                <w:sz w:val="16"/>
                <w:szCs w:val="16"/>
                <w:color w:val="auto"/>
              </w:rPr>
            </w:pPr>
          </w:p>
        </w:tc>
        <w:tc>
          <w:tcPr>
            <w:tcW w:w="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0.7</w:t>
            </w:r>
          </w:p>
        </w:tc>
        <w:tc>
          <w:tcPr>
            <w:tcW w:w="14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320" w:type="dxa"/>
            <w:vAlign w:val="bottom"/>
            <w:tcBorders>
              <w:bottom w:val="single" w:sz="8" w:color="CCEEFF"/>
            </w:tcBorders>
            <w:shd w:val="clear" w:color="auto" w:fill="CCEEFF"/>
          </w:tcPr>
          <w:p>
            <w:pPr>
              <w:spacing w:after="0"/>
              <w:rPr>
                <w:sz w:val="16"/>
                <w:szCs w:val="16"/>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748</w:t>
            </w:r>
          </w:p>
        </w:tc>
        <w:tc>
          <w:tcPr>
            <w:tcW w:w="80" w:type="dxa"/>
            <w:vAlign w:val="bottom"/>
            <w:tcBorders>
              <w:bottom w:val="single" w:sz="8" w:color="CCEEFF"/>
            </w:tcBorders>
            <w:shd w:val="clear" w:color="auto" w:fill="CCEEFF"/>
          </w:tcPr>
          <w:p>
            <w:pPr>
              <w:spacing w:after="0"/>
              <w:rPr>
                <w:sz w:val="16"/>
                <w:szCs w:val="16"/>
                <w:color w:val="auto"/>
              </w:rPr>
            </w:pPr>
          </w:p>
        </w:tc>
        <w:tc>
          <w:tcPr>
            <w:tcW w:w="460" w:type="dxa"/>
            <w:vAlign w:val="bottom"/>
            <w:tcBorders>
              <w:bottom w:val="single" w:sz="8" w:color="CCEEFF"/>
            </w:tcBorders>
            <w:shd w:val="clear" w:color="auto" w:fill="CCEEFF"/>
          </w:tcPr>
          <w:p>
            <w:pPr>
              <w:spacing w:after="0"/>
              <w:rPr>
                <w:sz w:val="16"/>
                <w:szCs w:val="16"/>
                <w:color w:val="auto"/>
              </w:rPr>
            </w:pPr>
          </w:p>
        </w:tc>
        <w:tc>
          <w:tcPr>
            <w:tcW w:w="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1.0</w:t>
            </w:r>
          </w:p>
        </w:tc>
        <w:tc>
          <w:tcPr>
            <w:tcW w:w="160" w:type="dxa"/>
            <w:vAlign w:val="bottom"/>
            <w:tcBorders>
              <w:bottom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78"/>
        </w:trPr>
        <w:tc>
          <w:tcPr>
            <w:tcW w:w="3820" w:type="dxa"/>
            <w:vAlign w:val="bottom"/>
          </w:tcPr>
          <w:p>
            <w:pPr>
              <w:ind w:left="160"/>
              <w:spacing w:after="0"/>
              <w:rPr>
                <w:sz w:val="20"/>
                <w:szCs w:val="20"/>
                <w:color w:val="auto"/>
              </w:rPr>
            </w:pPr>
            <w:r>
              <w:rPr>
                <w:rFonts w:ascii="Arial" w:cs="Arial" w:eastAsia="Arial" w:hAnsi="Arial"/>
                <w:sz w:val="13"/>
                <w:szCs w:val="13"/>
                <w:color w:val="auto"/>
              </w:rPr>
              <w:t>Loans delinquent 61-90 days</w:t>
            </w:r>
          </w:p>
        </w:tc>
        <w:tc>
          <w:tcPr>
            <w:tcW w:w="320" w:type="dxa"/>
            <w:vAlign w:val="bottom"/>
          </w:tcPr>
          <w:p>
            <w:pPr>
              <w:spacing w:after="0"/>
              <w:rPr>
                <w:sz w:val="15"/>
                <w:szCs w:val="15"/>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917</w:t>
            </w:r>
          </w:p>
        </w:tc>
        <w:tc>
          <w:tcPr>
            <w:tcW w:w="1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400" w:type="dxa"/>
            <w:vAlign w:val="bottom"/>
          </w:tcPr>
          <w:p>
            <w:pPr>
              <w:jc w:val="right"/>
              <w:spacing w:after="0"/>
              <w:rPr>
                <w:sz w:val="20"/>
                <w:szCs w:val="20"/>
                <w:color w:val="auto"/>
              </w:rPr>
            </w:pPr>
            <w:r>
              <w:rPr>
                <w:rFonts w:ascii="Arial" w:cs="Arial" w:eastAsia="Arial" w:hAnsi="Arial"/>
                <w:sz w:val="13"/>
                <w:szCs w:val="13"/>
                <w:color w:val="auto"/>
              </w:rPr>
              <w:t>0.5</w:t>
            </w: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3"/>
                <w:szCs w:val="13"/>
                <w:color w:val="auto"/>
              </w:rPr>
              <w:t>832</w:t>
            </w:r>
          </w:p>
        </w:tc>
        <w:tc>
          <w:tcPr>
            <w:tcW w:w="10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40" w:type="dxa"/>
            <w:vAlign w:val="bottom"/>
          </w:tcPr>
          <w:p>
            <w:pPr>
              <w:jc w:val="right"/>
              <w:spacing w:after="0"/>
              <w:rPr>
                <w:sz w:val="20"/>
                <w:szCs w:val="20"/>
                <w:color w:val="auto"/>
              </w:rPr>
            </w:pPr>
            <w:r>
              <w:rPr>
                <w:rFonts w:ascii="Arial" w:cs="Arial" w:eastAsia="Arial" w:hAnsi="Arial"/>
                <w:sz w:val="13"/>
                <w:szCs w:val="13"/>
                <w:color w:val="auto"/>
              </w:rPr>
              <w:t>0.6</w:t>
            </w: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3"/>
                <w:szCs w:val="13"/>
                <w:color w:val="auto"/>
              </w:rPr>
              <w:t>369</w:t>
            </w:r>
          </w:p>
        </w:tc>
        <w:tc>
          <w:tcPr>
            <w:tcW w:w="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380" w:type="dxa"/>
            <w:vAlign w:val="bottom"/>
          </w:tcPr>
          <w:p>
            <w:pPr>
              <w:jc w:val="right"/>
              <w:spacing w:after="0"/>
              <w:rPr>
                <w:sz w:val="20"/>
                <w:szCs w:val="20"/>
                <w:color w:val="auto"/>
              </w:rPr>
            </w:pPr>
            <w:r>
              <w:rPr>
                <w:rFonts w:ascii="Arial" w:cs="Arial" w:eastAsia="Arial" w:hAnsi="Arial"/>
                <w:sz w:val="13"/>
                <w:szCs w:val="13"/>
                <w:color w:val="auto"/>
              </w:rPr>
              <w:t>0.5</w:t>
            </w: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7"/>
        </w:trPr>
        <w:tc>
          <w:tcPr>
            <w:tcW w:w="3820" w:type="dxa"/>
            <w:vAlign w:val="bottom"/>
          </w:tcPr>
          <w:p>
            <w:pPr>
              <w:spacing w:after="0"/>
              <w:rPr>
                <w:sz w:val="2"/>
                <w:szCs w:val="2"/>
                <w:color w:val="auto"/>
              </w:rPr>
            </w:pPr>
          </w:p>
        </w:tc>
        <w:tc>
          <w:tcPr>
            <w:tcW w:w="32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4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920" w:type="dxa"/>
            <w:vAlign w:val="bottom"/>
          </w:tcPr>
          <w:p>
            <w:pPr>
              <w:spacing w:after="0"/>
              <w:rPr>
                <w:sz w:val="2"/>
                <w:szCs w:val="2"/>
                <w:color w:val="auto"/>
              </w:rPr>
            </w:pPr>
          </w:p>
        </w:tc>
        <w:tc>
          <w:tcPr>
            <w:tcW w:w="80" w:type="dxa"/>
            <w:vAlign w:val="bottom"/>
          </w:tcPr>
          <w:p>
            <w:pPr>
              <w:spacing w:after="0"/>
              <w:rPr>
                <w:sz w:val="2"/>
                <w:szCs w:val="2"/>
                <w:color w:val="auto"/>
              </w:rPr>
            </w:pPr>
          </w:p>
        </w:tc>
        <w:tc>
          <w:tcPr>
            <w:tcW w:w="460" w:type="dxa"/>
            <w:vAlign w:val="bottom"/>
          </w:tcPr>
          <w:p>
            <w:pPr>
              <w:spacing w:after="0"/>
              <w:rPr>
                <w:sz w:val="2"/>
                <w:szCs w:val="2"/>
                <w:color w:val="auto"/>
              </w:rPr>
            </w:pPr>
          </w:p>
        </w:tc>
        <w:tc>
          <w:tcPr>
            <w:tcW w:w="380" w:type="dxa"/>
            <w:vAlign w:val="bottom"/>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5"/>
        </w:trPr>
        <w:tc>
          <w:tcPr>
            <w:tcW w:w="38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3"/>
                <w:szCs w:val="13"/>
                <w:color w:val="auto"/>
              </w:rPr>
              <w:t>Loans delinquent 91 days or greater</w:t>
            </w:r>
          </w:p>
        </w:tc>
        <w:tc>
          <w:tcPr>
            <w:tcW w:w="320" w:type="dxa"/>
            <w:vAlign w:val="bottom"/>
            <w:tcBorders>
              <w:bottom w:val="single" w:sz="8" w:color="CCEEFF"/>
            </w:tcBorders>
            <w:shd w:val="clear" w:color="auto" w:fill="CCEEFF"/>
          </w:tcPr>
          <w:p>
            <w:pPr>
              <w:spacing w:after="0"/>
              <w:rPr>
                <w:sz w:val="17"/>
                <w:szCs w:val="17"/>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939</w:t>
            </w:r>
          </w:p>
        </w:tc>
        <w:tc>
          <w:tcPr>
            <w:tcW w:w="100" w:type="dxa"/>
            <w:vAlign w:val="bottom"/>
            <w:tcBorders>
              <w:bottom w:val="single" w:sz="8" w:color="CCEEFF"/>
            </w:tcBorders>
            <w:shd w:val="clear" w:color="auto" w:fill="CCEEFF"/>
          </w:tcPr>
          <w:p>
            <w:pPr>
              <w:spacing w:after="0"/>
              <w:rPr>
                <w:sz w:val="17"/>
                <w:szCs w:val="17"/>
                <w:color w:val="auto"/>
              </w:rPr>
            </w:pPr>
          </w:p>
        </w:tc>
        <w:tc>
          <w:tcPr>
            <w:tcW w:w="440" w:type="dxa"/>
            <w:vAlign w:val="bottom"/>
            <w:tcBorders>
              <w:bottom w:val="single" w:sz="8" w:color="CCEEFF"/>
            </w:tcBorders>
            <w:shd w:val="clear" w:color="auto" w:fill="CCEEFF"/>
          </w:tcPr>
          <w:p>
            <w:pPr>
              <w:spacing w:after="0"/>
              <w:rPr>
                <w:sz w:val="17"/>
                <w:szCs w:val="17"/>
                <w:color w:val="auto"/>
              </w:rPr>
            </w:pPr>
          </w:p>
        </w:tc>
        <w:tc>
          <w:tcPr>
            <w:tcW w:w="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0.5</w:t>
            </w:r>
          </w:p>
        </w:tc>
        <w:tc>
          <w:tcPr>
            <w:tcW w:w="14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300" w:type="dxa"/>
            <w:vAlign w:val="bottom"/>
            <w:tcBorders>
              <w:bottom w:val="single" w:sz="8" w:color="CCEEFF"/>
            </w:tcBorders>
            <w:shd w:val="clear" w:color="auto" w:fill="CCEEFF"/>
          </w:tcPr>
          <w:p>
            <w:pPr>
              <w:spacing w:after="0"/>
              <w:rPr>
                <w:sz w:val="17"/>
                <w:szCs w:val="17"/>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653</w:t>
            </w:r>
          </w:p>
        </w:tc>
        <w:tc>
          <w:tcPr>
            <w:tcW w:w="100" w:type="dxa"/>
            <w:vAlign w:val="bottom"/>
            <w:tcBorders>
              <w:bottom w:val="single" w:sz="8" w:color="CCEEFF"/>
            </w:tcBorders>
            <w:shd w:val="clear" w:color="auto" w:fill="CCEEFF"/>
          </w:tcPr>
          <w:p>
            <w:pPr>
              <w:spacing w:after="0"/>
              <w:rPr>
                <w:sz w:val="17"/>
                <w:szCs w:val="17"/>
                <w:color w:val="auto"/>
              </w:rPr>
            </w:pPr>
          </w:p>
        </w:tc>
        <w:tc>
          <w:tcPr>
            <w:tcW w:w="500" w:type="dxa"/>
            <w:vAlign w:val="bottom"/>
            <w:tcBorders>
              <w:bottom w:val="single" w:sz="8" w:color="CCEEFF"/>
            </w:tcBorders>
            <w:shd w:val="clear" w:color="auto" w:fill="CCEEFF"/>
          </w:tcPr>
          <w:p>
            <w:pPr>
              <w:spacing w:after="0"/>
              <w:rPr>
                <w:sz w:val="17"/>
                <w:szCs w:val="17"/>
                <w:color w:val="auto"/>
              </w:rPr>
            </w:pPr>
          </w:p>
        </w:tc>
        <w:tc>
          <w:tcPr>
            <w:tcW w:w="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0.5</w:t>
            </w:r>
          </w:p>
        </w:tc>
        <w:tc>
          <w:tcPr>
            <w:tcW w:w="14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320" w:type="dxa"/>
            <w:vAlign w:val="bottom"/>
            <w:tcBorders>
              <w:bottom w:val="single" w:sz="8" w:color="CCEEFF"/>
            </w:tcBorders>
            <w:shd w:val="clear" w:color="auto" w:fill="CCEEFF"/>
          </w:tcPr>
          <w:p>
            <w:pPr>
              <w:spacing w:after="0"/>
              <w:rPr>
                <w:sz w:val="17"/>
                <w:szCs w:val="17"/>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337</w:t>
            </w:r>
          </w:p>
        </w:tc>
        <w:tc>
          <w:tcPr>
            <w:tcW w:w="80" w:type="dxa"/>
            <w:vAlign w:val="bottom"/>
            <w:tcBorders>
              <w:bottom w:val="single" w:sz="8" w:color="CCEEFF"/>
            </w:tcBorders>
            <w:shd w:val="clear" w:color="auto" w:fill="CCEEFF"/>
          </w:tcPr>
          <w:p>
            <w:pPr>
              <w:spacing w:after="0"/>
              <w:rPr>
                <w:sz w:val="17"/>
                <w:szCs w:val="17"/>
                <w:color w:val="auto"/>
              </w:rPr>
            </w:pPr>
          </w:p>
        </w:tc>
        <w:tc>
          <w:tcPr>
            <w:tcW w:w="460" w:type="dxa"/>
            <w:vAlign w:val="bottom"/>
            <w:tcBorders>
              <w:bottom w:val="single" w:sz="8" w:color="CCEEFF"/>
            </w:tcBorders>
            <w:shd w:val="clear" w:color="auto" w:fill="CCEEFF"/>
          </w:tcPr>
          <w:p>
            <w:pPr>
              <w:spacing w:after="0"/>
              <w:rPr>
                <w:sz w:val="17"/>
                <w:szCs w:val="17"/>
                <w:color w:val="auto"/>
              </w:rPr>
            </w:pPr>
          </w:p>
        </w:tc>
        <w:tc>
          <w:tcPr>
            <w:tcW w:w="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0.4</w:t>
            </w:r>
          </w:p>
        </w:tc>
        <w:tc>
          <w:tcPr>
            <w:tcW w:w="160" w:type="dxa"/>
            <w:vAlign w:val="bottom"/>
            <w:tcBorders>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3"/>
        </w:trPr>
        <w:tc>
          <w:tcPr>
            <w:tcW w:w="3820" w:type="dxa"/>
            <w:vAlign w:val="bottom"/>
          </w:tcPr>
          <w:p>
            <w:pPr>
              <w:ind w:left="340"/>
              <w:spacing w:after="0"/>
              <w:rPr>
                <w:sz w:val="20"/>
                <w:szCs w:val="20"/>
                <w:color w:val="auto"/>
              </w:rPr>
            </w:pPr>
            <w:r>
              <w:rPr>
                <w:rFonts w:ascii="Arial" w:cs="Arial" w:eastAsia="Arial" w:hAnsi="Arial"/>
                <w:sz w:val="13"/>
                <w:szCs w:val="13"/>
                <w:color w:val="auto"/>
              </w:rPr>
              <w:t>Total loans in repayment</w:t>
            </w:r>
          </w:p>
        </w:tc>
        <w:tc>
          <w:tcPr>
            <w:tcW w:w="320" w:type="dxa"/>
            <w:vAlign w:val="bottom"/>
            <w:tcBorders>
              <w:top w:val="single" w:sz="8" w:color="auto"/>
            </w:tcBorders>
          </w:tcPr>
          <w:p>
            <w:pPr>
              <w:spacing w:after="0"/>
              <w:rPr>
                <w:sz w:val="16"/>
                <w:szCs w:val="16"/>
                <w:color w:val="auto"/>
              </w:rPr>
            </w:pP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191,001</w:t>
            </w:r>
          </w:p>
        </w:tc>
        <w:tc>
          <w:tcPr>
            <w:tcW w:w="100" w:type="dxa"/>
            <w:vAlign w:val="bottom"/>
          </w:tcPr>
          <w:p>
            <w:pPr>
              <w:spacing w:after="0"/>
              <w:rPr>
                <w:sz w:val="16"/>
                <w:szCs w:val="16"/>
                <w:color w:val="auto"/>
              </w:rPr>
            </w:pPr>
          </w:p>
        </w:tc>
        <w:tc>
          <w:tcPr>
            <w:tcW w:w="440" w:type="dxa"/>
            <w:vAlign w:val="bottom"/>
            <w:tcBorders>
              <w:top w:val="single" w:sz="8" w:color="auto"/>
              <w:bottom w:val="single" w:sz="8" w:color="auto"/>
            </w:tcBorders>
          </w:tcPr>
          <w:p>
            <w:pPr>
              <w:spacing w:after="0"/>
              <w:rPr>
                <w:sz w:val="16"/>
                <w:szCs w:val="16"/>
                <w:color w:val="auto"/>
              </w:rPr>
            </w:pPr>
          </w:p>
        </w:tc>
        <w:tc>
          <w:tcPr>
            <w:tcW w:w="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100.0</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6"/>
              </w:rPr>
              <w:t>%</w:t>
            </w:r>
          </w:p>
        </w:tc>
        <w:tc>
          <w:tcPr>
            <w:tcW w:w="100" w:type="dxa"/>
            <w:vAlign w:val="bottom"/>
          </w:tcPr>
          <w:p>
            <w:pPr>
              <w:spacing w:after="0"/>
              <w:rPr>
                <w:sz w:val="16"/>
                <w:szCs w:val="16"/>
                <w:color w:val="auto"/>
              </w:rPr>
            </w:pPr>
          </w:p>
        </w:tc>
        <w:tc>
          <w:tcPr>
            <w:tcW w:w="300" w:type="dxa"/>
            <w:vAlign w:val="bottom"/>
            <w:tcBorders>
              <w:top w:val="single" w:sz="8" w:color="auto"/>
            </w:tcBorders>
          </w:tcPr>
          <w:p>
            <w:pPr>
              <w:spacing w:after="0"/>
              <w:rPr>
                <w:sz w:val="16"/>
                <w:szCs w:val="16"/>
                <w:color w:val="auto"/>
              </w:rPr>
            </w:pP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138,627</w:t>
            </w:r>
          </w:p>
        </w:tc>
        <w:tc>
          <w:tcPr>
            <w:tcW w:w="100" w:type="dxa"/>
            <w:vAlign w:val="bottom"/>
          </w:tcPr>
          <w:p>
            <w:pPr>
              <w:spacing w:after="0"/>
              <w:rPr>
                <w:sz w:val="16"/>
                <w:szCs w:val="16"/>
                <w:color w:val="auto"/>
              </w:rPr>
            </w:pPr>
          </w:p>
        </w:tc>
        <w:tc>
          <w:tcPr>
            <w:tcW w:w="500" w:type="dxa"/>
            <w:vAlign w:val="bottom"/>
            <w:tcBorders>
              <w:top w:val="single" w:sz="8" w:color="auto"/>
              <w:bottom w:val="single" w:sz="8" w:color="auto"/>
            </w:tcBorders>
          </w:tcPr>
          <w:p>
            <w:pPr>
              <w:spacing w:after="0"/>
              <w:rPr>
                <w:sz w:val="16"/>
                <w:szCs w:val="16"/>
                <w:color w:val="auto"/>
              </w:rPr>
            </w:pPr>
          </w:p>
        </w:tc>
        <w:tc>
          <w:tcPr>
            <w:tcW w:w="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5"/>
              </w:rPr>
              <w:t>100.0</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6"/>
              </w:rPr>
              <w:t>%</w:t>
            </w:r>
          </w:p>
        </w:tc>
        <w:tc>
          <w:tcPr>
            <w:tcW w:w="100" w:type="dxa"/>
            <w:vAlign w:val="bottom"/>
          </w:tcPr>
          <w:p>
            <w:pPr>
              <w:spacing w:after="0"/>
              <w:rPr>
                <w:sz w:val="16"/>
                <w:szCs w:val="16"/>
                <w:color w:val="auto"/>
              </w:rPr>
            </w:pPr>
          </w:p>
        </w:tc>
        <w:tc>
          <w:tcPr>
            <w:tcW w:w="320" w:type="dxa"/>
            <w:vAlign w:val="bottom"/>
            <w:tcBorders>
              <w:top w:val="single" w:sz="8" w:color="auto"/>
            </w:tcBorders>
          </w:tcPr>
          <w:p>
            <w:pPr>
              <w:spacing w:after="0"/>
              <w:rPr>
                <w:sz w:val="16"/>
                <w:szCs w:val="16"/>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77,855</w:t>
            </w:r>
          </w:p>
        </w:tc>
        <w:tc>
          <w:tcPr>
            <w:tcW w:w="80" w:type="dxa"/>
            <w:vAlign w:val="bottom"/>
          </w:tcPr>
          <w:p>
            <w:pPr>
              <w:spacing w:after="0"/>
              <w:rPr>
                <w:sz w:val="16"/>
                <w:szCs w:val="16"/>
                <w:color w:val="auto"/>
              </w:rPr>
            </w:pPr>
          </w:p>
        </w:tc>
        <w:tc>
          <w:tcPr>
            <w:tcW w:w="460" w:type="dxa"/>
            <w:vAlign w:val="bottom"/>
            <w:tcBorders>
              <w:top w:val="single" w:sz="8" w:color="auto"/>
              <w:bottom w:val="single" w:sz="8" w:color="auto"/>
            </w:tcBorders>
          </w:tcPr>
          <w:p>
            <w:pPr>
              <w:spacing w:after="0"/>
              <w:rPr>
                <w:sz w:val="16"/>
                <w:szCs w:val="16"/>
                <w:color w:val="auto"/>
              </w:rPr>
            </w:pPr>
          </w:p>
        </w:tc>
        <w:tc>
          <w:tcPr>
            <w:tcW w:w="3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100.0</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45"/>
        </w:trPr>
        <w:tc>
          <w:tcPr>
            <w:tcW w:w="3820" w:type="dxa"/>
            <w:vAlign w:val="bottom"/>
            <w:tcBorders>
              <w:bottom w:val="single" w:sz="8" w:color="CCEEFF"/>
            </w:tcBorders>
          </w:tcPr>
          <w:p>
            <w:pPr>
              <w:spacing w:after="0"/>
              <w:rPr>
                <w:sz w:val="3"/>
                <w:szCs w:val="3"/>
                <w:color w:val="auto"/>
              </w:rPr>
            </w:pPr>
          </w:p>
        </w:tc>
        <w:tc>
          <w:tcPr>
            <w:tcW w:w="320" w:type="dxa"/>
            <w:vAlign w:val="bottom"/>
            <w:tcBorders>
              <w:bottom w:val="single" w:sz="8" w:color="auto"/>
            </w:tcBorders>
          </w:tcPr>
          <w:p>
            <w:pPr>
              <w:spacing w:after="0"/>
              <w:rPr>
                <w:sz w:val="3"/>
                <w:szCs w:val="3"/>
                <w:color w:val="auto"/>
              </w:rPr>
            </w:pPr>
          </w:p>
        </w:tc>
        <w:tc>
          <w:tcPr>
            <w:tcW w:w="960" w:type="dxa"/>
            <w:vAlign w:val="bottom"/>
            <w:tcBorders>
              <w:bottom w:val="single" w:sz="8" w:color="auto"/>
            </w:tcBorders>
          </w:tcPr>
          <w:p>
            <w:pPr>
              <w:spacing w:after="0"/>
              <w:rPr>
                <w:sz w:val="3"/>
                <w:szCs w:val="3"/>
                <w:color w:val="auto"/>
              </w:rPr>
            </w:pPr>
          </w:p>
        </w:tc>
        <w:tc>
          <w:tcPr>
            <w:tcW w:w="100" w:type="dxa"/>
            <w:vAlign w:val="bottom"/>
            <w:tcBorders>
              <w:bottom w:val="single" w:sz="8" w:color="CCEEFF"/>
            </w:tcBorders>
          </w:tcPr>
          <w:p>
            <w:pPr>
              <w:spacing w:after="0"/>
              <w:rPr>
                <w:sz w:val="3"/>
                <w:szCs w:val="3"/>
                <w:color w:val="auto"/>
              </w:rPr>
            </w:pPr>
          </w:p>
        </w:tc>
        <w:tc>
          <w:tcPr>
            <w:tcW w:w="440" w:type="dxa"/>
            <w:vAlign w:val="bottom"/>
            <w:tcBorders>
              <w:bottom w:val="single" w:sz="8" w:color="CCEEFF"/>
            </w:tcBorders>
          </w:tcPr>
          <w:p>
            <w:pPr>
              <w:spacing w:after="0"/>
              <w:rPr>
                <w:sz w:val="3"/>
                <w:szCs w:val="3"/>
                <w:color w:val="auto"/>
              </w:rPr>
            </w:pPr>
          </w:p>
        </w:tc>
        <w:tc>
          <w:tcPr>
            <w:tcW w:w="400" w:type="dxa"/>
            <w:vAlign w:val="bottom"/>
            <w:tcBorders>
              <w:bottom w:val="single" w:sz="8" w:color="CCEEFF"/>
            </w:tcBorders>
          </w:tcPr>
          <w:p>
            <w:pPr>
              <w:spacing w:after="0"/>
              <w:rPr>
                <w:sz w:val="3"/>
                <w:szCs w:val="3"/>
                <w:color w:val="auto"/>
              </w:rPr>
            </w:pPr>
          </w:p>
        </w:tc>
        <w:tc>
          <w:tcPr>
            <w:tcW w:w="140" w:type="dxa"/>
            <w:vAlign w:val="bottom"/>
            <w:tcBorders>
              <w:bottom w:val="single" w:sz="8" w:color="CCEEFF"/>
            </w:tcBorders>
          </w:tcPr>
          <w:p>
            <w:pPr>
              <w:spacing w:after="0"/>
              <w:rPr>
                <w:sz w:val="3"/>
                <w:szCs w:val="3"/>
                <w:color w:val="auto"/>
              </w:rPr>
            </w:pPr>
          </w:p>
        </w:tc>
        <w:tc>
          <w:tcPr>
            <w:tcW w:w="100" w:type="dxa"/>
            <w:vAlign w:val="bottom"/>
            <w:tcBorders>
              <w:bottom w:val="single" w:sz="8" w:color="CCEEFF"/>
            </w:tcBorders>
          </w:tcPr>
          <w:p>
            <w:pPr>
              <w:spacing w:after="0"/>
              <w:rPr>
                <w:sz w:val="3"/>
                <w:szCs w:val="3"/>
                <w:color w:val="auto"/>
              </w:rPr>
            </w:pPr>
          </w:p>
        </w:tc>
        <w:tc>
          <w:tcPr>
            <w:tcW w:w="300" w:type="dxa"/>
            <w:vAlign w:val="bottom"/>
            <w:tcBorders>
              <w:bottom w:val="single" w:sz="8" w:color="auto"/>
            </w:tcBorders>
          </w:tcPr>
          <w:p>
            <w:pPr>
              <w:spacing w:after="0"/>
              <w:rPr>
                <w:sz w:val="3"/>
                <w:szCs w:val="3"/>
                <w:color w:val="auto"/>
              </w:rPr>
            </w:pPr>
          </w:p>
        </w:tc>
        <w:tc>
          <w:tcPr>
            <w:tcW w:w="1000" w:type="dxa"/>
            <w:vAlign w:val="bottom"/>
            <w:tcBorders>
              <w:bottom w:val="single" w:sz="8" w:color="auto"/>
            </w:tcBorders>
          </w:tcPr>
          <w:p>
            <w:pPr>
              <w:spacing w:after="0"/>
              <w:rPr>
                <w:sz w:val="3"/>
                <w:szCs w:val="3"/>
                <w:color w:val="auto"/>
              </w:rPr>
            </w:pPr>
          </w:p>
        </w:tc>
        <w:tc>
          <w:tcPr>
            <w:tcW w:w="100" w:type="dxa"/>
            <w:vAlign w:val="bottom"/>
            <w:tcBorders>
              <w:bottom w:val="single" w:sz="8" w:color="CCEEFF"/>
            </w:tcBorders>
          </w:tcPr>
          <w:p>
            <w:pPr>
              <w:spacing w:after="0"/>
              <w:rPr>
                <w:sz w:val="3"/>
                <w:szCs w:val="3"/>
                <w:color w:val="auto"/>
              </w:rPr>
            </w:pPr>
          </w:p>
        </w:tc>
        <w:tc>
          <w:tcPr>
            <w:tcW w:w="500" w:type="dxa"/>
            <w:vAlign w:val="bottom"/>
            <w:tcBorders>
              <w:bottom w:val="single" w:sz="8" w:color="CCEEFF"/>
            </w:tcBorders>
          </w:tcPr>
          <w:p>
            <w:pPr>
              <w:spacing w:after="0"/>
              <w:rPr>
                <w:sz w:val="3"/>
                <w:szCs w:val="3"/>
                <w:color w:val="auto"/>
              </w:rPr>
            </w:pPr>
          </w:p>
        </w:tc>
        <w:tc>
          <w:tcPr>
            <w:tcW w:w="340" w:type="dxa"/>
            <w:vAlign w:val="bottom"/>
            <w:tcBorders>
              <w:bottom w:val="single" w:sz="8" w:color="CCEEFF"/>
            </w:tcBorders>
          </w:tcPr>
          <w:p>
            <w:pPr>
              <w:spacing w:after="0"/>
              <w:rPr>
                <w:sz w:val="3"/>
                <w:szCs w:val="3"/>
                <w:color w:val="auto"/>
              </w:rPr>
            </w:pPr>
          </w:p>
        </w:tc>
        <w:tc>
          <w:tcPr>
            <w:tcW w:w="140" w:type="dxa"/>
            <w:vAlign w:val="bottom"/>
            <w:tcBorders>
              <w:bottom w:val="single" w:sz="8" w:color="CCEEFF"/>
            </w:tcBorders>
          </w:tcPr>
          <w:p>
            <w:pPr>
              <w:spacing w:after="0"/>
              <w:rPr>
                <w:sz w:val="3"/>
                <w:szCs w:val="3"/>
                <w:color w:val="auto"/>
              </w:rPr>
            </w:pPr>
          </w:p>
        </w:tc>
        <w:tc>
          <w:tcPr>
            <w:tcW w:w="100" w:type="dxa"/>
            <w:vAlign w:val="bottom"/>
            <w:tcBorders>
              <w:bottom w:val="single" w:sz="8" w:color="CCEEFF"/>
            </w:tcBorders>
          </w:tcPr>
          <w:p>
            <w:pPr>
              <w:spacing w:after="0"/>
              <w:rPr>
                <w:sz w:val="3"/>
                <w:szCs w:val="3"/>
                <w:color w:val="auto"/>
              </w:rPr>
            </w:pPr>
          </w:p>
        </w:tc>
        <w:tc>
          <w:tcPr>
            <w:tcW w:w="32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80" w:type="dxa"/>
            <w:vAlign w:val="bottom"/>
            <w:tcBorders>
              <w:bottom w:val="single" w:sz="8" w:color="CCEEFF"/>
            </w:tcBorders>
          </w:tcPr>
          <w:p>
            <w:pPr>
              <w:spacing w:after="0"/>
              <w:rPr>
                <w:sz w:val="3"/>
                <w:szCs w:val="3"/>
                <w:color w:val="auto"/>
              </w:rPr>
            </w:pPr>
          </w:p>
        </w:tc>
        <w:tc>
          <w:tcPr>
            <w:tcW w:w="460" w:type="dxa"/>
            <w:vAlign w:val="bottom"/>
            <w:tcBorders>
              <w:bottom w:val="single" w:sz="8" w:color="CCEEFF"/>
            </w:tcBorders>
          </w:tcPr>
          <w:p>
            <w:pPr>
              <w:spacing w:after="0"/>
              <w:rPr>
                <w:sz w:val="3"/>
                <w:szCs w:val="3"/>
                <w:color w:val="auto"/>
              </w:rPr>
            </w:pPr>
          </w:p>
        </w:tc>
        <w:tc>
          <w:tcPr>
            <w:tcW w:w="380" w:type="dxa"/>
            <w:vAlign w:val="bottom"/>
            <w:tcBorders>
              <w:bottom w:val="single" w:sz="8" w:color="CCEEFF"/>
            </w:tcBorders>
          </w:tcPr>
          <w:p>
            <w:pPr>
              <w:spacing w:after="0"/>
              <w:rPr>
                <w:sz w:val="3"/>
                <w:szCs w:val="3"/>
                <w:color w:val="auto"/>
              </w:rPr>
            </w:pPr>
          </w:p>
        </w:tc>
        <w:tc>
          <w:tcPr>
            <w:tcW w:w="160" w:type="dxa"/>
            <w:vAlign w:val="bottom"/>
            <w:tcBorders>
              <w:bottom w:val="single" w:sz="8" w:color="CCEEFF"/>
            </w:tcBorders>
          </w:tcPr>
          <w:p>
            <w:pPr>
              <w:spacing w:after="0"/>
              <w:rPr>
                <w:sz w:val="3"/>
                <w:szCs w:val="3"/>
                <w:color w:val="auto"/>
              </w:rPr>
            </w:pPr>
          </w:p>
        </w:tc>
        <w:tc>
          <w:tcPr>
            <w:tcW w:w="0" w:type="dxa"/>
            <w:vAlign w:val="bottom"/>
          </w:tcPr>
          <w:p>
            <w:pPr>
              <w:spacing w:after="0"/>
              <w:rPr>
                <w:sz w:val="1"/>
                <w:szCs w:val="1"/>
                <w:color w:val="auto"/>
              </w:rPr>
            </w:pPr>
          </w:p>
        </w:tc>
      </w:tr>
      <w:tr>
        <w:trPr>
          <w:trHeight w:val="182"/>
        </w:trPr>
        <w:tc>
          <w:tcPr>
            <w:tcW w:w="3820" w:type="dxa"/>
            <w:vAlign w:val="bottom"/>
            <w:tcBorders>
              <w:top w:val="single" w:sz="8" w:color="CCEEFF"/>
              <w:bottom w:val="single" w:sz="8" w:color="CCEEFF"/>
            </w:tcBorders>
            <w:shd w:val="clear" w:color="auto" w:fill="CCEEFF"/>
          </w:tcPr>
          <w:p>
            <w:pPr>
              <w:ind w:left="340"/>
              <w:spacing w:after="0"/>
              <w:rPr>
                <w:sz w:val="20"/>
                <w:szCs w:val="20"/>
                <w:color w:val="auto"/>
              </w:rPr>
            </w:pPr>
            <w:r>
              <w:rPr>
                <w:rFonts w:ascii="Arial" w:cs="Arial" w:eastAsia="Arial" w:hAnsi="Arial"/>
                <w:sz w:val="13"/>
                <w:szCs w:val="13"/>
                <w:color w:val="auto"/>
              </w:rPr>
              <w:t>Total consumer loans</w:t>
            </w:r>
          </w:p>
        </w:tc>
        <w:tc>
          <w:tcPr>
            <w:tcW w:w="320" w:type="dxa"/>
            <w:vAlign w:val="bottom"/>
            <w:tcBorders>
              <w:top w:val="single" w:sz="8" w:color="CCEEFF"/>
              <w:bottom w:val="single" w:sz="8" w:color="auto"/>
            </w:tcBorders>
            <w:shd w:val="clear" w:color="auto" w:fill="CCEEFF"/>
          </w:tcPr>
          <w:p>
            <w:pPr>
              <w:jc w:val="right"/>
              <w:ind w:right="212"/>
              <w:spacing w:after="0"/>
              <w:rPr>
                <w:sz w:val="20"/>
                <w:szCs w:val="20"/>
                <w:color w:val="auto"/>
              </w:rPr>
            </w:pPr>
            <w:r>
              <w:rPr>
                <w:rFonts w:ascii="Arial" w:cs="Arial" w:eastAsia="Arial" w:hAnsi="Arial"/>
                <w:sz w:val="10"/>
                <w:szCs w:val="10"/>
                <w:color w:val="auto"/>
                <w:w w:val="71"/>
              </w:rPr>
              <w:t>$</w:t>
            </w:r>
          </w:p>
        </w:tc>
        <w:tc>
          <w:tcPr>
            <w:tcW w:w="960" w:type="dxa"/>
            <w:vAlign w:val="bottom"/>
            <w:tcBorders>
              <w:top w:val="single" w:sz="8" w:color="CCEEFF"/>
              <w:bottom w:val="single" w:sz="8" w:color="auto"/>
            </w:tcBorders>
            <w:shd w:val="clear" w:color="auto" w:fill="CCEEFF"/>
          </w:tcPr>
          <w:p>
            <w:pPr>
              <w:jc w:val="right"/>
              <w:spacing w:after="0" w:line="143" w:lineRule="exact"/>
              <w:rPr>
                <w:sz w:val="20"/>
                <w:szCs w:val="20"/>
                <w:color w:val="auto"/>
              </w:rPr>
            </w:pPr>
            <w:r>
              <w:rPr>
                <w:rFonts w:ascii="Arial" w:cs="Arial" w:eastAsia="Arial" w:hAnsi="Arial"/>
                <w:sz w:val="13"/>
                <w:szCs w:val="13"/>
                <w:color w:val="auto"/>
              </w:rPr>
              <w:t>191,001</w:t>
            </w:r>
          </w:p>
        </w:tc>
        <w:tc>
          <w:tcPr>
            <w:tcW w:w="100" w:type="dxa"/>
            <w:vAlign w:val="bottom"/>
            <w:tcBorders>
              <w:top w:val="single" w:sz="8" w:color="CCEEFF"/>
              <w:bottom w:val="single" w:sz="8" w:color="CCEEFF"/>
            </w:tcBorders>
            <w:shd w:val="clear" w:color="auto" w:fill="CCEEFF"/>
          </w:tcPr>
          <w:p>
            <w:pPr>
              <w:spacing w:after="0"/>
              <w:rPr>
                <w:sz w:val="15"/>
                <w:szCs w:val="15"/>
                <w:color w:val="auto"/>
              </w:rPr>
            </w:pPr>
          </w:p>
        </w:tc>
        <w:tc>
          <w:tcPr>
            <w:tcW w:w="440" w:type="dxa"/>
            <w:vAlign w:val="bottom"/>
            <w:tcBorders>
              <w:top w:val="single" w:sz="8" w:color="auto"/>
              <w:bottom w:val="single" w:sz="8" w:color="CCEEFF"/>
            </w:tcBorders>
            <w:shd w:val="clear" w:color="auto" w:fill="CCEEFF"/>
          </w:tcPr>
          <w:p>
            <w:pPr>
              <w:spacing w:after="0"/>
              <w:rPr>
                <w:sz w:val="15"/>
                <w:szCs w:val="15"/>
                <w:color w:val="auto"/>
              </w:rPr>
            </w:pPr>
          </w:p>
        </w:tc>
        <w:tc>
          <w:tcPr>
            <w:tcW w:w="400" w:type="dxa"/>
            <w:vAlign w:val="bottom"/>
            <w:tcBorders>
              <w:top w:val="single" w:sz="8" w:color="auto"/>
              <w:bottom w:val="single" w:sz="8" w:color="CCEEFF"/>
            </w:tcBorders>
            <w:shd w:val="clear" w:color="auto" w:fill="CCEEFF"/>
          </w:tcPr>
          <w:p>
            <w:pPr>
              <w:spacing w:after="0"/>
              <w:rPr>
                <w:sz w:val="15"/>
                <w:szCs w:val="15"/>
                <w:color w:val="auto"/>
              </w:rPr>
            </w:pPr>
          </w:p>
        </w:tc>
        <w:tc>
          <w:tcPr>
            <w:tcW w:w="140" w:type="dxa"/>
            <w:vAlign w:val="bottom"/>
            <w:tcBorders>
              <w:top w:val="single" w:sz="8" w:color="auto"/>
              <w:bottom w:val="single" w:sz="8" w:color="CCEEFF"/>
            </w:tcBorders>
            <w:shd w:val="clear" w:color="auto" w:fill="CCEEFF"/>
          </w:tcPr>
          <w:p>
            <w:pPr>
              <w:spacing w:after="0"/>
              <w:rPr>
                <w:sz w:val="15"/>
                <w:szCs w:val="15"/>
                <w:color w:val="auto"/>
              </w:rPr>
            </w:pPr>
          </w:p>
        </w:tc>
        <w:tc>
          <w:tcPr>
            <w:tcW w:w="100" w:type="dxa"/>
            <w:vAlign w:val="bottom"/>
            <w:tcBorders>
              <w:top w:val="single" w:sz="8" w:color="CCEEFF"/>
              <w:bottom w:val="single" w:sz="8" w:color="CCEEFF"/>
            </w:tcBorders>
            <w:shd w:val="clear" w:color="auto" w:fill="CCEEFF"/>
          </w:tcPr>
          <w:p>
            <w:pPr>
              <w:spacing w:after="0"/>
              <w:rPr>
                <w:sz w:val="15"/>
                <w:szCs w:val="15"/>
                <w:color w:val="auto"/>
              </w:rPr>
            </w:pPr>
          </w:p>
        </w:tc>
        <w:tc>
          <w:tcPr>
            <w:tcW w:w="300" w:type="dxa"/>
            <w:vAlign w:val="bottom"/>
            <w:tcBorders>
              <w:top w:val="single" w:sz="8" w:color="CCEEFF"/>
              <w:bottom w:val="single" w:sz="8" w:color="auto"/>
            </w:tcBorders>
            <w:shd w:val="clear" w:color="auto" w:fill="CCEEFF"/>
          </w:tcPr>
          <w:p>
            <w:pPr>
              <w:jc w:val="right"/>
              <w:ind w:right="155"/>
              <w:spacing w:after="0" w:line="143" w:lineRule="exact"/>
              <w:rPr>
                <w:sz w:val="20"/>
                <w:szCs w:val="20"/>
                <w:color w:val="auto"/>
              </w:rPr>
            </w:pPr>
            <w:r>
              <w:rPr>
                <w:rFonts w:ascii="Arial" w:cs="Arial" w:eastAsia="Arial" w:hAnsi="Arial"/>
                <w:sz w:val="13"/>
                <w:szCs w:val="13"/>
                <w:color w:val="auto"/>
                <w:w w:val="82"/>
              </w:rPr>
              <w:t>$</w:t>
            </w:r>
          </w:p>
        </w:tc>
        <w:tc>
          <w:tcPr>
            <w:tcW w:w="1000" w:type="dxa"/>
            <w:vAlign w:val="bottom"/>
            <w:tcBorders>
              <w:top w:val="single" w:sz="8" w:color="CCEEFF"/>
              <w:bottom w:val="single" w:sz="8" w:color="auto"/>
            </w:tcBorders>
            <w:shd w:val="clear" w:color="auto" w:fill="CCEEFF"/>
          </w:tcPr>
          <w:p>
            <w:pPr>
              <w:jc w:val="right"/>
              <w:spacing w:after="0" w:line="143" w:lineRule="exact"/>
              <w:rPr>
                <w:sz w:val="20"/>
                <w:szCs w:val="20"/>
                <w:color w:val="auto"/>
              </w:rPr>
            </w:pPr>
            <w:r>
              <w:rPr>
                <w:rFonts w:ascii="Arial" w:cs="Arial" w:eastAsia="Arial" w:hAnsi="Arial"/>
                <w:sz w:val="13"/>
                <w:szCs w:val="13"/>
                <w:color w:val="auto"/>
              </w:rPr>
              <w:t>138,627</w:t>
            </w:r>
          </w:p>
        </w:tc>
        <w:tc>
          <w:tcPr>
            <w:tcW w:w="100" w:type="dxa"/>
            <w:vAlign w:val="bottom"/>
            <w:tcBorders>
              <w:top w:val="single" w:sz="8" w:color="CCEEFF"/>
              <w:bottom w:val="single" w:sz="8" w:color="CCEEFF"/>
            </w:tcBorders>
            <w:shd w:val="clear" w:color="auto" w:fill="CCEEFF"/>
          </w:tcPr>
          <w:p>
            <w:pPr>
              <w:spacing w:after="0"/>
              <w:rPr>
                <w:sz w:val="15"/>
                <w:szCs w:val="15"/>
                <w:color w:val="auto"/>
              </w:rPr>
            </w:pPr>
          </w:p>
        </w:tc>
        <w:tc>
          <w:tcPr>
            <w:tcW w:w="500" w:type="dxa"/>
            <w:vAlign w:val="bottom"/>
            <w:tcBorders>
              <w:top w:val="single" w:sz="8" w:color="auto"/>
              <w:bottom w:val="single" w:sz="8" w:color="CCEEFF"/>
            </w:tcBorders>
            <w:shd w:val="clear" w:color="auto" w:fill="CCEEFF"/>
          </w:tcPr>
          <w:p>
            <w:pPr>
              <w:spacing w:after="0"/>
              <w:rPr>
                <w:sz w:val="15"/>
                <w:szCs w:val="15"/>
                <w:color w:val="auto"/>
              </w:rPr>
            </w:pPr>
          </w:p>
        </w:tc>
        <w:tc>
          <w:tcPr>
            <w:tcW w:w="340" w:type="dxa"/>
            <w:vAlign w:val="bottom"/>
            <w:tcBorders>
              <w:top w:val="single" w:sz="8" w:color="auto"/>
              <w:bottom w:val="single" w:sz="8" w:color="CCEEFF"/>
            </w:tcBorders>
            <w:shd w:val="clear" w:color="auto" w:fill="CCEEFF"/>
          </w:tcPr>
          <w:p>
            <w:pPr>
              <w:spacing w:after="0"/>
              <w:rPr>
                <w:sz w:val="15"/>
                <w:szCs w:val="15"/>
                <w:color w:val="auto"/>
              </w:rPr>
            </w:pPr>
          </w:p>
        </w:tc>
        <w:tc>
          <w:tcPr>
            <w:tcW w:w="140" w:type="dxa"/>
            <w:vAlign w:val="bottom"/>
            <w:tcBorders>
              <w:top w:val="single" w:sz="8" w:color="auto"/>
              <w:bottom w:val="single" w:sz="8" w:color="CCEEFF"/>
            </w:tcBorders>
            <w:shd w:val="clear" w:color="auto" w:fill="CCEEFF"/>
          </w:tcPr>
          <w:p>
            <w:pPr>
              <w:spacing w:after="0"/>
              <w:rPr>
                <w:sz w:val="15"/>
                <w:szCs w:val="15"/>
                <w:color w:val="auto"/>
              </w:rPr>
            </w:pPr>
          </w:p>
        </w:tc>
        <w:tc>
          <w:tcPr>
            <w:tcW w:w="100" w:type="dxa"/>
            <w:vAlign w:val="bottom"/>
            <w:tcBorders>
              <w:top w:val="single" w:sz="8" w:color="CCEEFF"/>
              <w:bottom w:val="single" w:sz="8" w:color="CCEEFF"/>
            </w:tcBorders>
            <w:shd w:val="clear" w:color="auto" w:fill="CCEEFF"/>
          </w:tcPr>
          <w:p>
            <w:pPr>
              <w:spacing w:after="0"/>
              <w:rPr>
                <w:sz w:val="15"/>
                <w:szCs w:val="15"/>
                <w:color w:val="auto"/>
              </w:rPr>
            </w:pPr>
          </w:p>
        </w:tc>
        <w:tc>
          <w:tcPr>
            <w:tcW w:w="320" w:type="dxa"/>
            <w:vAlign w:val="bottom"/>
            <w:tcBorders>
              <w:top w:val="single" w:sz="8" w:color="CCEEFF"/>
              <w:bottom w:val="single" w:sz="8" w:color="auto"/>
            </w:tcBorders>
            <w:shd w:val="clear" w:color="auto" w:fill="CCEEFF"/>
          </w:tcPr>
          <w:p>
            <w:pPr>
              <w:jc w:val="right"/>
              <w:ind w:right="175"/>
              <w:spacing w:after="0" w:line="143" w:lineRule="exact"/>
              <w:rPr>
                <w:sz w:val="20"/>
                <w:szCs w:val="20"/>
                <w:color w:val="auto"/>
              </w:rPr>
            </w:pPr>
            <w:r>
              <w:rPr>
                <w:rFonts w:ascii="Arial" w:cs="Arial" w:eastAsia="Arial" w:hAnsi="Arial"/>
                <w:sz w:val="13"/>
                <w:szCs w:val="13"/>
                <w:color w:val="auto"/>
                <w:w w:val="82"/>
              </w:rPr>
              <w:t>$</w:t>
            </w:r>
          </w:p>
        </w:tc>
        <w:tc>
          <w:tcPr>
            <w:tcW w:w="920" w:type="dxa"/>
            <w:vAlign w:val="bottom"/>
            <w:tcBorders>
              <w:top w:val="single" w:sz="8" w:color="CCEEFF"/>
              <w:bottom w:val="single" w:sz="8" w:color="auto"/>
            </w:tcBorders>
            <w:shd w:val="clear" w:color="auto" w:fill="CCEEFF"/>
          </w:tcPr>
          <w:p>
            <w:pPr>
              <w:jc w:val="right"/>
              <w:spacing w:after="0" w:line="143" w:lineRule="exact"/>
              <w:rPr>
                <w:sz w:val="20"/>
                <w:szCs w:val="20"/>
                <w:color w:val="auto"/>
              </w:rPr>
            </w:pPr>
            <w:r>
              <w:rPr>
                <w:rFonts w:ascii="Arial" w:cs="Arial" w:eastAsia="Arial" w:hAnsi="Arial"/>
                <w:sz w:val="13"/>
                <w:szCs w:val="13"/>
                <w:color w:val="auto"/>
              </w:rPr>
              <w:t>77,855</w:t>
            </w:r>
          </w:p>
        </w:tc>
        <w:tc>
          <w:tcPr>
            <w:tcW w:w="80" w:type="dxa"/>
            <w:vAlign w:val="bottom"/>
            <w:tcBorders>
              <w:top w:val="single" w:sz="8" w:color="CCEEFF"/>
              <w:bottom w:val="single" w:sz="8" w:color="CCEEFF"/>
            </w:tcBorders>
            <w:shd w:val="clear" w:color="auto" w:fill="CCEEFF"/>
          </w:tcPr>
          <w:p>
            <w:pPr>
              <w:spacing w:after="0"/>
              <w:rPr>
                <w:sz w:val="15"/>
                <w:szCs w:val="15"/>
                <w:color w:val="auto"/>
              </w:rPr>
            </w:pPr>
          </w:p>
        </w:tc>
        <w:tc>
          <w:tcPr>
            <w:tcW w:w="460" w:type="dxa"/>
            <w:vAlign w:val="bottom"/>
            <w:tcBorders>
              <w:top w:val="single" w:sz="8" w:color="auto"/>
              <w:bottom w:val="single" w:sz="8" w:color="CCEEFF"/>
            </w:tcBorders>
            <w:shd w:val="clear" w:color="auto" w:fill="CCEEFF"/>
          </w:tcPr>
          <w:p>
            <w:pPr>
              <w:spacing w:after="0"/>
              <w:rPr>
                <w:sz w:val="15"/>
                <w:szCs w:val="15"/>
                <w:color w:val="auto"/>
              </w:rPr>
            </w:pPr>
          </w:p>
        </w:tc>
        <w:tc>
          <w:tcPr>
            <w:tcW w:w="380" w:type="dxa"/>
            <w:vAlign w:val="bottom"/>
            <w:tcBorders>
              <w:top w:val="single" w:sz="8" w:color="auto"/>
              <w:bottom w:val="single" w:sz="8" w:color="CCEEFF"/>
            </w:tcBorders>
            <w:shd w:val="clear" w:color="auto" w:fill="CCEEFF"/>
          </w:tcPr>
          <w:p>
            <w:pPr>
              <w:spacing w:after="0"/>
              <w:rPr>
                <w:sz w:val="15"/>
                <w:szCs w:val="15"/>
                <w:color w:val="auto"/>
              </w:rPr>
            </w:pPr>
          </w:p>
        </w:tc>
        <w:tc>
          <w:tcPr>
            <w:tcW w:w="160" w:type="dxa"/>
            <w:vAlign w:val="bottom"/>
            <w:tcBorders>
              <w:top w:val="single" w:sz="8" w:color="auto"/>
              <w:bottom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38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12</w:t>
      </w:r>
    </w:p>
    <w:p>
      <w:pPr>
        <w:sectPr>
          <w:pgSz w:w="11900" w:h="16838" w:orient="portrait"/>
          <w:cols w:equalWidth="0" w:num="1">
            <w:col w:w="11460"/>
          </w:cols>
          <w:pgMar w:left="220" w:top="743" w:right="219" w:bottom="1440" w:gutter="0" w:footer="0" w:header="0"/>
        </w:sectPr>
      </w:pPr>
    </w:p>
    <w:bookmarkStart w:id="13" w:name="page14"/>
    <w:bookmarkEnd w:id="13"/>
    <w:p>
      <w:pPr>
        <w:spacing w:after="0"/>
        <w:rPr>
          <w:sz w:val="20"/>
          <w:szCs w:val="20"/>
          <w:color w:val="auto"/>
        </w:rPr>
      </w:pPr>
      <w:r>
        <w:rPr>
          <w:rFonts w:ascii="Arial" w:cs="Arial" w:eastAsia="Arial" w:hAnsi="Arial"/>
          <w:sz w:val="14"/>
          <w:szCs w:val="14"/>
          <w:b w:val="1"/>
          <w:bCs w:val="1"/>
          <w:color w:val="auto"/>
        </w:rPr>
        <w:t>3. Bonds and Notes Payable</w:t>
      </w:r>
    </w:p>
    <w:p>
      <w:pPr>
        <w:spacing w:after="0" w:line="145" w:lineRule="exact"/>
        <w:rPr>
          <w:sz w:val="20"/>
          <w:szCs w:val="20"/>
          <w:color w:val="auto"/>
        </w:rPr>
      </w:pPr>
    </w:p>
    <w:p>
      <w:pPr>
        <w:spacing w:after="0"/>
        <w:rPr>
          <w:sz w:val="20"/>
          <w:szCs w:val="20"/>
          <w:color w:val="auto"/>
        </w:rPr>
      </w:pPr>
      <w:r>
        <w:rPr>
          <w:rFonts w:ascii="Arial" w:cs="Arial" w:eastAsia="Arial" w:hAnsi="Arial"/>
          <w:sz w:val="14"/>
          <w:szCs w:val="14"/>
          <w:color w:val="auto"/>
        </w:rPr>
        <w:t>The following tables summarize the Company’s outstanding debt obligations by type of instrument:</w:t>
      </w:r>
    </w:p>
    <w:p>
      <w:pPr>
        <w:spacing w:after="0" w:line="55"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6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40" w:type="dxa"/>
            <w:vAlign w:val="bottom"/>
            <w:gridSpan w:val="2"/>
          </w:tcPr>
          <w:p>
            <w:pPr>
              <w:ind w:left="560"/>
              <w:spacing w:after="0"/>
              <w:rPr>
                <w:sz w:val="20"/>
                <w:szCs w:val="20"/>
                <w:color w:val="auto"/>
              </w:rPr>
            </w:pPr>
            <w:r>
              <w:rPr>
                <w:rFonts w:ascii="Arial" w:cs="Arial" w:eastAsia="Arial" w:hAnsi="Arial"/>
                <w:sz w:val="13"/>
                <w:szCs w:val="13"/>
                <w:b w:val="1"/>
                <w:bCs w:val="1"/>
                <w:color w:val="auto"/>
                <w:w w:val="97"/>
              </w:rPr>
              <w:t>As of March 31, 2019</w:t>
            </w:r>
          </w:p>
        </w:tc>
        <w:tc>
          <w:tcPr>
            <w:tcW w:w="19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7"/>
        </w:trPr>
        <w:tc>
          <w:tcPr>
            <w:tcW w:w="614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40" w:type="dxa"/>
            <w:vAlign w:val="bottom"/>
            <w:tcBorders>
              <w:bottom w:val="single" w:sz="8" w:color="auto"/>
            </w:tcBorders>
            <w:gridSpan w:val="2"/>
          </w:tcPr>
          <w:p>
            <w:pPr>
              <w:spacing w:after="0"/>
              <w:rPr>
                <w:sz w:val="2"/>
                <w:szCs w:val="2"/>
                <w:color w:val="auto"/>
              </w:rPr>
            </w:pPr>
          </w:p>
        </w:tc>
        <w:tc>
          <w:tcPr>
            <w:tcW w:w="19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20"/>
        </w:trPr>
        <w:tc>
          <w:tcPr>
            <w:tcW w:w="614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1080" w:type="dxa"/>
            <w:vAlign w:val="bottom"/>
          </w:tcPr>
          <w:p>
            <w:pPr>
              <w:jc w:val="right"/>
              <w:ind w:right="355"/>
              <w:spacing w:after="0" w:line="120" w:lineRule="exact"/>
              <w:rPr>
                <w:sz w:val="20"/>
                <w:szCs w:val="20"/>
                <w:color w:val="auto"/>
              </w:rPr>
            </w:pPr>
            <w:r>
              <w:rPr>
                <w:rFonts w:ascii="Arial" w:cs="Arial" w:eastAsia="Arial" w:hAnsi="Arial"/>
                <w:sz w:val="13"/>
                <w:szCs w:val="13"/>
                <w:b w:val="1"/>
                <w:bCs w:val="1"/>
                <w:color w:val="auto"/>
              </w:rPr>
              <w:t>Carrying</w:t>
            </w:r>
          </w:p>
        </w:tc>
        <w:tc>
          <w:tcPr>
            <w:tcW w:w="100" w:type="dxa"/>
            <w:vAlign w:val="bottom"/>
          </w:tcPr>
          <w:p>
            <w:pPr>
              <w:spacing w:after="0"/>
              <w:rPr>
                <w:sz w:val="10"/>
                <w:szCs w:val="10"/>
                <w:color w:val="auto"/>
              </w:rPr>
            </w:pPr>
          </w:p>
        </w:tc>
        <w:tc>
          <w:tcPr>
            <w:tcW w:w="1840" w:type="dxa"/>
            <w:vAlign w:val="bottom"/>
            <w:gridSpan w:val="2"/>
          </w:tcPr>
          <w:p>
            <w:pPr>
              <w:jc w:val="right"/>
              <w:ind w:right="640"/>
              <w:spacing w:after="0" w:line="120" w:lineRule="exact"/>
              <w:rPr>
                <w:sz w:val="20"/>
                <w:szCs w:val="20"/>
                <w:color w:val="auto"/>
              </w:rPr>
            </w:pPr>
            <w:r>
              <w:rPr>
                <w:rFonts w:ascii="Arial" w:cs="Arial" w:eastAsia="Arial" w:hAnsi="Arial"/>
                <w:sz w:val="13"/>
                <w:szCs w:val="13"/>
                <w:b w:val="1"/>
                <w:bCs w:val="1"/>
                <w:color w:val="auto"/>
              </w:rPr>
              <w:t>Interest rate</w:t>
            </w:r>
          </w:p>
        </w:tc>
        <w:tc>
          <w:tcPr>
            <w:tcW w:w="1900" w:type="dxa"/>
            <w:vAlign w:val="bottom"/>
            <w:vMerge w:val="restart"/>
          </w:tcPr>
          <w:p>
            <w:pPr>
              <w:ind w:left="540"/>
              <w:spacing w:after="0"/>
              <w:rPr>
                <w:sz w:val="20"/>
                <w:szCs w:val="20"/>
                <w:color w:val="auto"/>
              </w:rPr>
            </w:pPr>
            <w:r>
              <w:rPr>
                <w:rFonts w:ascii="Arial" w:cs="Arial" w:eastAsia="Arial" w:hAnsi="Arial"/>
                <w:sz w:val="13"/>
                <w:szCs w:val="13"/>
                <w:b w:val="1"/>
                <w:bCs w:val="1"/>
                <w:color w:val="auto"/>
              </w:rPr>
              <w:t>Final maturity</w:t>
            </w:r>
          </w:p>
        </w:tc>
        <w:tc>
          <w:tcPr>
            <w:tcW w:w="0" w:type="dxa"/>
            <w:vAlign w:val="bottom"/>
          </w:tcPr>
          <w:p>
            <w:pPr>
              <w:spacing w:after="0"/>
              <w:rPr>
                <w:sz w:val="1"/>
                <w:szCs w:val="1"/>
                <w:color w:val="auto"/>
              </w:rPr>
            </w:pPr>
          </w:p>
        </w:tc>
      </w:tr>
      <w:tr>
        <w:trPr>
          <w:trHeight w:val="170"/>
        </w:trPr>
        <w:tc>
          <w:tcPr>
            <w:tcW w:w="6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80" w:type="dxa"/>
            <w:vAlign w:val="bottom"/>
          </w:tcPr>
          <w:p>
            <w:pPr>
              <w:jc w:val="right"/>
              <w:ind w:right="395"/>
              <w:spacing w:after="0"/>
              <w:rPr>
                <w:sz w:val="20"/>
                <w:szCs w:val="20"/>
                <w:color w:val="auto"/>
              </w:rPr>
            </w:pPr>
            <w:r>
              <w:rPr>
                <w:rFonts w:ascii="Arial" w:cs="Arial" w:eastAsia="Arial" w:hAnsi="Arial"/>
                <w:sz w:val="13"/>
                <w:szCs w:val="13"/>
                <w:b w:val="1"/>
                <w:bCs w:val="1"/>
                <w:color w:val="auto"/>
              </w:rPr>
              <w:t>amount</w:t>
            </w:r>
          </w:p>
        </w:tc>
        <w:tc>
          <w:tcPr>
            <w:tcW w:w="100" w:type="dxa"/>
            <w:vAlign w:val="bottom"/>
          </w:tcPr>
          <w:p>
            <w:pPr>
              <w:spacing w:after="0"/>
              <w:rPr>
                <w:sz w:val="14"/>
                <w:szCs w:val="14"/>
                <w:color w:val="auto"/>
              </w:rPr>
            </w:pPr>
          </w:p>
        </w:tc>
        <w:tc>
          <w:tcPr>
            <w:tcW w:w="1840" w:type="dxa"/>
            <w:vAlign w:val="bottom"/>
            <w:gridSpan w:val="2"/>
          </w:tcPr>
          <w:p>
            <w:pPr>
              <w:ind w:left="700"/>
              <w:spacing w:after="0"/>
              <w:rPr>
                <w:sz w:val="20"/>
                <w:szCs w:val="20"/>
                <w:color w:val="auto"/>
              </w:rPr>
            </w:pPr>
            <w:r>
              <w:rPr>
                <w:rFonts w:ascii="Arial" w:cs="Arial" w:eastAsia="Arial" w:hAnsi="Arial"/>
                <w:sz w:val="13"/>
                <w:szCs w:val="13"/>
                <w:b w:val="1"/>
                <w:bCs w:val="1"/>
                <w:color w:val="auto"/>
              </w:rPr>
              <w:t>range</w:t>
            </w:r>
          </w:p>
        </w:tc>
        <w:tc>
          <w:tcPr>
            <w:tcW w:w="190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98"/>
        </w:trPr>
        <w:tc>
          <w:tcPr>
            <w:tcW w:w="61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Variable-rate bonds and notes issued in FFELP loan asset-backed securitizations:</w:t>
            </w:r>
          </w:p>
        </w:tc>
        <w:tc>
          <w:tcPr>
            <w:tcW w:w="260" w:type="dxa"/>
            <w:vAlign w:val="bottom"/>
            <w:tcBorders>
              <w:top w:val="single" w:sz="8" w:color="auto"/>
            </w:tcBorders>
            <w:shd w:val="clear" w:color="auto" w:fill="CCEEFF"/>
          </w:tcPr>
          <w:p>
            <w:pPr>
              <w:spacing w:after="0"/>
              <w:rPr>
                <w:sz w:val="17"/>
                <w:szCs w:val="17"/>
                <w:color w:val="auto"/>
              </w:rPr>
            </w:pPr>
          </w:p>
        </w:tc>
        <w:tc>
          <w:tcPr>
            <w:tcW w:w="108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174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1900" w:type="dxa"/>
            <w:vAlign w:val="bottom"/>
            <w:tcBorders>
              <w:top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78"/>
        </w:trPr>
        <w:tc>
          <w:tcPr>
            <w:tcW w:w="6140" w:type="dxa"/>
            <w:vAlign w:val="bottom"/>
          </w:tcPr>
          <w:p>
            <w:pPr>
              <w:ind w:left="180"/>
              <w:spacing w:after="0"/>
              <w:rPr>
                <w:sz w:val="20"/>
                <w:szCs w:val="20"/>
                <w:color w:val="auto"/>
              </w:rPr>
            </w:pPr>
            <w:r>
              <w:rPr>
                <w:rFonts w:ascii="Arial" w:cs="Arial" w:eastAsia="Arial" w:hAnsi="Arial"/>
                <w:sz w:val="13"/>
                <w:szCs w:val="13"/>
                <w:color w:val="auto"/>
              </w:rPr>
              <w:t>Bonds and notes based on indices</w:t>
            </w:r>
          </w:p>
        </w:tc>
        <w:tc>
          <w:tcPr>
            <w:tcW w:w="260" w:type="dxa"/>
            <w:vAlign w:val="bottom"/>
          </w:tcPr>
          <w:p>
            <w:pPr>
              <w:jc w:val="right"/>
              <w:ind w:right="115"/>
              <w:spacing w:after="0"/>
              <w:rPr>
                <w:sz w:val="20"/>
                <w:szCs w:val="20"/>
                <w:color w:val="auto"/>
              </w:rPr>
            </w:pPr>
            <w:r>
              <w:rPr>
                <w:rFonts w:ascii="Arial" w:cs="Arial" w:eastAsia="Arial" w:hAnsi="Arial"/>
                <w:sz w:val="13"/>
                <w:szCs w:val="13"/>
                <w:color w:val="auto"/>
                <w:w w:val="82"/>
              </w:rPr>
              <w:t>$</w:t>
            </w:r>
          </w:p>
        </w:tc>
        <w:tc>
          <w:tcPr>
            <w:tcW w:w="1080" w:type="dxa"/>
            <w:vAlign w:val="bottom"/>
          </w:tcPr>
          <w:p>
            <w:pPr>
              <w:jc w:val="right"/>
              <w:spacing w:after="0"/>
              <w:rPr>
                <w:sz w:val="20"/>
                <w:szCs w:val="20"/>
                <w:color w:val="auto"/>
              </w:rPr>
            </w:pPr>
            <w:r>
              <w:rPr>
                <w:rFonts w:ascii="Arial" w:cs="Arial" w:eastAsia="Arial" w:hAnsi="Arial"/>
                <w:sz w:val="13"/>
                <w:szCs w:val="13"/>
                <w:color w:val="auto"/>
              </w:rPr>
              <w:t>19,969,336</w:t>
            </w:r>
          </w:p>
        </w:tc>
        <w:tc>
          <w:tcPr>
            <w:tcW w:w="1840" w:type="dxa"/>
            <w:vAlign w:val="bottom"/>
            <w:gridSpan w:val="2"/>
          </w:tcPr>
          <w:p>
            <w:pPr>
              <w:jc w:val="right"/>
              <w:ind w:right="475"/>
              <w:spacing w:after="0"/>
              <w:rPr>
                <w:sz w:val="20"/>
                <w:szCs w:val="20"/>
                <w:color w:val="auto"/>
              </w:rPr>
            </w:pPr>
            <w:r>
              <w:rPr>
                <w:rFonts w:ascii="Arial" w:cs="Arial" w:eastAsia="Arial" w:hAnsi="Arial"/>
                <w:sz w:val="13"/>
                <w:szCs w:val="13"/>
                <w:color w:val="auto"/>
              </w:rPr>
              <w:t>2.69% - 4.30%</w:t>
            </w:r>
          </w:p>
        </w:tc>
        <w:tc>
          <w:tcPr>
            <w:tcW w:w="100" w:type="dxa"/>
            <w:vAlign w:val="bottom"/>
          </w:tcPr>
          <w:p>
            <w:pPr>
              <w:spacing w:after="0"/>
              <w:rPr>
                <w:sz w:val="15"/>
                <w:szCs w:val="15"/>
                <w:color w:val="auto"/>
              </w:rPr>
            </w:pPr>
          </w:p>
        </w:tc>
        <w:tc>
          <w:tcPr>
            <w:tcW w:w="1900" w:type="dxa"/>
            <w:vAlign w:val="bottom"/>
          </w:tcPr>
          <w:p>
            <w:pPr>
              <w:jc w:val="center"/>
              <w:spacing w:after="0"/>
              <w:rPr>
                <w:sz w:val="20"/>
                <w:szCs w:val="20"/>
                <w:color w:val="auto"/>
              </w:rPr>
            </w:pPr>
            <w:r>
              <w:rPr>
                <w:rFonts w:ascii="Arial" w:cs="Arial" w:eastAsia="Arial" w:hAnsi="Arial"/>
                <w:sz w:val="13"/>
                <w:szCs w:val="13"/>
                <w:color w:val="auto"/>
                <w:w w:val="90"/>
              </w:rPr>
              <w:t>11/25/24 - 4/25/67</w:t>
            </w:r>
          </w:p>
        </w:tc>
        <w:tc>
          <w:tcPr>
            <w:tcW w:w="0" w:type="dxa"/>
            <w:vAlign w:val="bottom"/>
          </w:tcPr>
          <w:p>
            <w:pPr>
              <w:spacing w:after="0"/>
              <w:rPr>
                <w:sz w:val="1"/>
                <w:szCs w:val="1"/>
                <w:color w:val="auto"/>
              </w:rPr>
            </w:pPr>
          </w:p>
        </w:tc>
      </w:tr>
      <w:tr>
        <w:trPr>
          <w:trHeight w:val="27"/>
        </w:trPr>
        <w:tc>
          <w:tcPr>
            <w:tcW w:w="61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5"/>
        </w:trPr>
        <w:tc>
          <w:tcPr>
            <w:tcW w:w="61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3"/>
                <w:szCs w:val="13"/>
                <w:color w:val="auto"/>
              </w:rPr>
              <w:t>Bonds and notes based on auction</w:t>
            </w:r>
          </w:p>
        </w:tc>
        <w:tc>
          <w:tcPr>
            <w:tcW w:w="260" w:type="dxa"/>
            <w:vAlign w:val="bottom"/>
            <w:tcBorders>
              <w:bottom w:val="single" w:sz="8" w:color="CCEEFF"/>
            </w:tcBorders>
            <w:shd w:val="clear" w:color="auto" w:fill="CCEEFF"/>
          </w:tcPr>
          <w:p>
            <w:pPr>
              <w:spacing w:after="0"/>
              <w:rPr>
                <w:sz w:val="17"/>
                <w:szCs w:val="17"/>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787,676</w:t>
            </w:r>
          </w:p>
        </w:tc>
        <w:tc>
          <w:tcPr>
            <w:tcW w:w="1840" w:type="dxa"/>
            <w:vAlign w:val="bottom"/>
            <w:tcBorders>
              <w:bottom w:val="single" w:sz="8" w:color="CCEEFF"/>
            </w:tcBorders>
            <w:gridSpan w:val="2"/>
            <w:shd w:val="clear" w:color="auto" w:fill="CCEEFF"/>
          </w:tcPr>
          <w:p>
            <w:pPr>
              <w:jc w:val="right"/>
              <w:ind w:right="475"/>
              <w:spacing w:after="0"/>
              <w:rPr>
                <w:sz w:val="20"/>
                <w:szCs w:val="20"/>
                <w:color w:val="auto"/>
              </w:rPr>
            </w:pPr>
            <w:r>
              <w:rPr>
                <w:rFonts w:ascii="Arial" w:cs="Arial" w:eastAsia="Arial" w:hAnsi="Arial"/>
                <w:sz w:val="13"/>
                <w:szCs w:val="13"/>
                <w:color w:val="auto"/>
              </w:rPr>
              <w:t>3.18% - 3.83%</w:t>
            </w:r>
          </w:p>
        </w:tc>
        <w:tc>
          <w:tcPr>
            <w:tcW w:w="100" w:type="dxa"/>
            <w:vAlign w:val="bottom"/>
            <w:tcBorders>
              <w:bottom w:val="single" w:sz="8" w:color="CCEEFF"/>
            </w:tcBorders>
            <w:shd w:val="clear" w:color="auto" w:fill="CCEEFF"/>
          </w:tcPr>
          <w:p>
            <w:pPr>
              <w:spacing w:after="0"/>
              <w:rPr>
                <w:sz w:val="17"/>
                <w:szCs w:val="17"/>
                <w:color w:val="auto"/>
              </w:rPr>
            </w:pPr>
          </w:p>
        </w:tc>
        <w:tc>
          <w:tcPr>
            <w:tcW w:w="19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90"/>
              </w:rPr>
              <w:t>3/22/32 - 11/26/46</w:t>
            </w:r>
          </w:p>
        </w:tc>
        <w:tc>
          <w:tcPr>
            <w:tcW w:w="0" w:type="dxa"/>
            <w:vAlign w:val="bottom"/>
          </w:tcPr>
          <w:p>
            <w:pPr>
              <w:spacing w:after="0"/>
              <w:rPr>
                <w:sz w:val="1"/>
                <w:szCs w:val="1"/>
                <w:color w:val="auto"/>
              </w:rPr>
            </w:pPr>
          </w:p>
        </w:tc>
      </w:tr>
      <w:tr>
        <w:trPr>
          <w:trHeight w:val="169"/>
        </w:trPr>
        <w:tc>
          <w:tcPr>
            <w:tcW w:w="6140" w:type="dxa"/>
            <w:vAlign w:val="bottom"/>
          </w:tcPr>
          <w:p>
            <w:pPr>
              <w:ind w:left="360"/>
              <w:spacing w:after="0"/>
              <w:rPr>
                <w:sz w:val="20"/>
                <w:szCs w:val="20"/>
                <w:color w:val="auto"/>
              </w:rPr>
            </w:pPr>
            <w:r>
              <w:rPr>
                <w:rFonts w:ascii="Arial" w:cs="Arial" w:eastAsia="Arial" w:hAnsi="Arial"/>
                <w:sz w:val="13"/>
                <w:szCs w:val="13"/>
                <w:color w:val="auto"/>
              </w:rPr>
              <w:t>Total FFELP variable-rate bonds and notes</w:t>
            </w:r>
          </w:p>
        </w:tc>
        <w:tc>
          <w:tcPr>
            <w:tcW w:w="260" w:type="dxa"/>
            <w:vAlign w:val="bottom"/>
            <w:tcBorders>
              <w:top w:val="single" w:sz="8" w:color="auto"/>
            </w:tcBorders>
          </w:tcPr>
          <w:p>
            <w:pPr>
              <w:spacing w:after="0"/>
              <w:rPr>
                <w:sz w:val="14"/>
                <w:szCs w:val="14"/>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20,757,012</w:t>
            </w:r>
          </w:p>
        </w:tc>
        <w:tc>
          <w:tcPr>
            <w:tcW w:w="100" w:type="dxa"/>
            <w:vAlign w:val="bottom"/>
          </w:tcPr>
          <w:p>
            <w:pPr>
              <w:spacing w:after="0"/>
              <w:rPr>
                <w:sz w:val="14"/>
                <w:szCs w:val="14"/>
                <w:color w:val="auto"/>
              </w:rPr>
            </w:pPr>
          </w:p>
        </w:tc>
        <w:tc>
          <w:tcPr>
            <w:tcW w:w="17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9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7"/>
        </w:trPr>
        <w:tc>
          <w:tcPr>
            <w:tcW w:w="61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5"/>
        </w:trPr>
        <w:tc>
          <w:tcPr>
            <w:tcW w:w="6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FFELP warehouse facilities</w:t>
            </w:r>
          </w:p>
        </w:tc>
        <w:tc>
          <w:tcPr>
            <w:tcW w:w="260" w:type="dxa"/>
            <w:vAlign w:val="bottom"/>
            <w:tcBorders>
              <w:bottom w:val="single" w:sz="8" w:color="CCEEFF"/>
            </w:tcBorders>
            <w:shd w:val="clear" w:color="auto" w:fill="CCEEFF"/>
          </w:tcPr>
          <w:p>
            <w:pPr>
              <w:spacing w:after="0"/>
              <w:rPr>
                <w:sz w:val="16"/>
                <w:szCs w:val="16"/>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792,658</w:t>
            </w:r>
          </w:p>
        </w:tc>
        <w:tc>
          <w:tcPr>
            <w:tcW w:w="1840" w:type="dxa"/>
            <w:vAlign w:val="bottom"/>
            <w:tcBorders>
              <w:bottom w:val="single" w:sz="8" w:color="CCEEFF"/>
            </w:tcBorders>
            <w:gridSpan w:val="2"/>
            <w:shd w:val="clear" w:color="auto" w:fill="CCEEFF"/>
          </w:tcPr>
          <w:p>
            <w:pPr>
              <w:jc w:val="center"/>
              <w:spacing w:after="0"/>
              <w:rPr>
                <w:sz w:val="20"/>
                <w:szCs w:val="20"/>
                <w:color w:val="auto"/>
              </w:rPr>
            </w:pPr>
            <w:r>
              <w:rPr>
                <w:rFonts w:ascii="Arial" w:cs="Arial" w:eastAsia="Arial" w:hAnsi="Arial"/>
                <w:sz w:val="13"/>
                <w:szCs w:val="13"/>
                <w:color w:val="auto"/>
                <w:w w:val="89"/>
              </w:rPr>
              <w:t>2.70% / 2.75%</w:t>
            </w:r>
          </w:p>
        </w:tc>
        <w:tc>
          <w:tcPr>
            <w:tcW w:w="100" w:type="dxa"/>
            <w:vAlign w:val="bottom"/>
            <w:tcBorders>
              <w:bottom w:val="single" w:sz="8" w:color="CCEEFF"/>
            </w:tcBorders>
            <w:shd w:val="clear" w:color="auto" w:fill="CCEEFF"/>
          </w:tcPr>
          <w:p>
            <w:pPr>
              <w:spacing w:after="0"/>
              <w:rPr>
                <w:sz w:val="16"/>
                <w:szCs w:val="16"/>
                <w:color w:val="auto"/>
              </w:rPr>
            </w:pPr>
          </w:p>
        </w:tc>
        <w:tc>
          <w:tcPr>
            <w:tcW w:w="19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90"/>
              </w:rPr>
              <w:t>5/20/20 / 5/31/21</w:t>
            </w:r>
          </w:p>
        </w:tc>
        <w:tc>
          <w:tcPr>
            <w:tcW w:w="0" w:type="dxa"/>
            <w:vAlign w:val="bottom"/>
          </w:tcPr>
          <w:p>
            <w:pPr>
              <w:spacing w:after="0"/>
              <w:rPr>
                <w:sz w:val="1"/>
                <w:szCs w:val="1"/>
                <w:color w:val="auto"/>
              </w:rPr>
            </w:pPr>
          </w:p>
        </w:tc>
      </w:tr>
      <w:tr>
        <w:trPr>
          <w:trHeight w:val="178"/>
        </w:trPr>
        <w:tc>
          <w:tcPr>
            <w:tcW w:w="6140" w:type="dxa"/>
            <w:vAlign w:val="bottom"/>
          </w:tcPr>
          <w:p>
            <w:pPr>
              <w:ind w:left="20"/>
              <w:spacing w:after="0"/>
              <w:rPr>
                <w:sz w:val="20"/>
                <w:szCs w:val="20"/>
                <w:color w:val="auto"/>
              </w:rPr>
            </w:pPr>
            <w:r>
              <w:rPr>
                <w:rFonts w:ascii="Arial" w:cs="Arial" w:eastAsia="Arial" w:hAnsi="Arial"/>
                <w:sz w:val="13"/>
                <w:szCs w:val="13"/>
                <w:color w:val="auto"/>
              </w:rPr>
              <w:t>Consumer loan warehouse facility</w:t>
            </w:r>
          </w:p>
        </w:tc>
        <w:tc>
          <w:tcPr>
            <w:tcW w:w="26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Arial" w:cs="Arial" w:eastAsia="Arial" w:hAnsi="Arial"/>
                <w:sz w:val="13"/>
                <w:szCs w:val="13"/>
                <w:color w:val="auto"/>
              </w:rPr>
              <w:t>63,732</w:t>
            </w:r>
          </w:p>
        </w:tc>
        <w:tc>
          <w:tcPr>
            <w:tcW w:w="1840" w:type="dxa"/>
            <w:vAlign w:val="bottom"/>
            <w:gridSpan w:val="2"/>
          </w:tcPr>
          <w:p>
            <w:pPr>
              <w:jc w:val="center"/>
              <w:spacing w:after="0"/>
              <w:rPr>
                <w:sz w:val="20"/>
                <w:szCs w:val="20"/>
                <w:color w:val="auto"/>
              </w:rPr>
            </w:pPr>
            <w:r>
              <w:rPr>
                <w:rFonts w:ascii="Arial" w:cs="Arial" w:eastAsia="Arial" w:hAnsi="Arial"/>
                <w:sz w:val="13"/>
                <w:szCs w:val="13"/>
                <w:color w:val="auto"/>
                <w:w w:val="86"/>
              </w:rPr>
              <w:t>4.14%</w:t>
            </w:r>
          </w:p>
        </w:tc>
        <w:tc>
          <w:tcPr>
            <w:tcW w:w="100" w:type="dxa"/>
            <w:vAlign w:val="bottom"/>
          </w:tcPr>
          <w:p>
            <w:pPr>
              <w:spacing w:after="0"/>
              <w:rPr>
                <w:sz w:val="15"/>
                <w:szCs w:val="15"/>
                <w:color w:val="auto"/>
              </w:rPr>
            </w:pPr>
          </w:p>
        </w:tc>
        <w:tc>
          <w:tcPr>
            <w:tcW w:w="1900" w:type="dxa"/>
            <w:vAlign w:val="bottom"/>
          </w:tcPr>
          <w:p>
            <w:pPr>
              <w:jc w:val="center"/>
              <w:spacing w:after="0"/>
              <w:rPr>
                <w:sz w:val="20"/>
                <w:szCs w:val="20"/>
                <w:color w:val="auto"/>
              </w:rPr>
            </w:pPr>
            <w:r>
              <w:rPr>
                <w:rFonts w:ascii="Arial" w:cs="Arial" w:eastAsia="Arial" w:hAnsi="Arial"/>
                <w:sz w:val="13"/>
                <w:szCs w:val="13"/>
                <w:color w:val="auto"/>
                <w:w w:val="92"/>
              </w:rPr>
              <w:t>1/10/22</w:t>
            </w:r>
          </w:p>
        </w:tc>
        <w:tc>
          <w:tcPr>
            <w:tcW w:w="0" w:type="dxa"/>
            <w:vAlign w:val="bottom"/>
          </w:tcPr>
          <w:p>
            <w:pPr>
              <w:spacing w:after="0"/>
              <w:rPr>
                <w:sz w:val="1"/>
                <w:szCs w:val="1"/>
                <w:color w:val="auto"/>
              </w:rPr>
            </w:pPr>
          </w:p>
        </w:tc>
      </w:tr>
      <w:tr>
        <w:trPr>
          <w:trHeight w:val="27"/>
        </w:trPr>
        <w:tc>
          <w:tcPr>
            <w:tcW w:w="61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5"/>
        </w:trPr>
        <w:tc>
          <w:tcPr>
            <w:tcW w:w="6140" w:type="dxa"/>
            <w:vAlign w:val="bottom"/>
            <w:shd w:val="clear" w:color="auto" w:fill="CCEEFF"/>
          </w:tcPr>
          <w:p>
            <w:pPr>
              <w:ind w:left="20"/>
              <w:spacing w:after="0"/>
              <w:rPr>
                <w:sz w:val="20"/>
                <w:szCs w:val="20"/>
                <w:color w:val="auto"/>
              </w:rPr>
            </w:pPr>
            <w:r>
              <w:rPr>
                <w:rFonts w:ascii="Arial" w:cs="Arial" w:eastAsia="Arial" w:hAnsi="Arial"/>
                <w:sz w:val="13"/>
                <w:szCs w:val="13"/>
                <w:color w:val="auto"/>
              </w:rPr>
              <w:t>Variable-rate bonds and notes issued in private education loan asset-backed securitization</w:t>
            </w:r>
          </w:p>
        </w:tc>
        <w:tc>
          <w:tcPr>
            <w:tcW w:w="260" w:type="dxa"/>
            <w:vAlign w:val="bottom"/>
            <w:shd w:val="clear" w:color="auto" w:fill="CCEEFF"/>
          </w:tcPr>
          <w:p>
            <w:pPr>
              <w:spacing w:after="0"/>
              <w:rPr>
                <w:sz w:val="17"/>
                <w:szCs w:val="17"/>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46,330</w:t>
            </w:r>
          </w:p>
        </w:tc>
        <w:tc>
          <w:tcPr>
            <w:tcW w:w="1840" w:type="dxa"/>
            <w:vAlign w:val="bottom"/>
            <w:gridSpan w:val="2"/>
            <w:shd w:val="clear" w:color="auto" w:fill="CCEEFF"/>
          </w:tcPr>
          <w:p>
            <w:pPr>
              <w:jc w:val="center"/>
              <w:spacing w:after="0"/>
              <w:rPr>
                <w:sz w:val="20"/>
                <w:szCs w:val="20"/>
                <w:color w:val="auto"/>
              </w:rPr>
            </w:pPr>
            <w:r>
              <w:rPr>
                <w:rFonts w:ascii="Arial" w:cs="Arial" w:eastAsia="Arial" w:hAnsi="Arial"/>
                <w:sz w:val="13"/>
                <w:szCs w:val="13"/>
                <w:color w:val="auto"/>
                <w:w w:val="86"/>
              </w:rPr>
              <w:t>4.24%</w:t>
            </w:r>
          </w:p>
        </w:tc>
        <w:tc>
          <w:tcPr>
            <w:tcW w:w="100" w:type="dxa"/>
            <w:vAlign w:val="bottom"/>
            <w:shd w:val="clear" w:color="auto" w:fill="CCEEFF"/>
          </w:tcPr>
          <w:p>
            <w:pPr>
              <w:spacing w:after="0"/>
              <w:rPr>
                <w:sz w:val="17"/>
                <w:szCs w:val="17"/>
                <w:color w:val="auto"/>
              </w:rPr>
            </w:pPr>
          </w:p>
        </w:tc>
        <w:tc>
          <w:tcPr>
            <w:tcW w:w="19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0"/>
              </w:rPr>
              <w:t>12/26/40</w:t>
            </w:r>
          </w:p>
        </w:tc>
        <w:tc>
          <w:tcPr>
            <w:tcW w:w="0" w:type="dxa"/>
            <w:vAlign w:val="bottom"/>
          </w:tcPr>
          <w:p>
            <w:pPr>
              <w:spacing w:after="0"/>
              <w:rPr>
                <w:sz w:val="1"/>
                <w:szCs w:val="1"/>
                <w:color w:val="auto"/>
              </w:rPr>
            </w:pPr>
          </w:p>
        </w:tc>
      </w:tr>
      <w:tr>
        <w:trPr>
          <w:trHeight w:val="202"/>
        </w:trPr>
        <w:tc>
          <w:tcPr>
            <w:tcW w:w="6140" w:type="dxa"/>
            <w:vAlign w:val="bottom"/>
          </w:tcPr>
          <w:p>
            <w:pPr>
              <w:ind w:left="20"/>
              <w:spacing w:after="0"/>
              <w:rPr>
                <w:sz w:val="20"/>
                <w:szCs w:val="20"/>
                <w:color w:val="auto"/>
              </w:rPr>
            </w:pPr>
            <w:r>
              <w:rPr>
                <w:rFonts w:ascii="Arial" w:cs="Arial" w:eastAsia="Arial" w:hAnsi="Arial"/>
                <w:sz w:val="13"/>
                <w:szCs w:val="13"/>
                <w:color w:val="auto"/>
              </w:rPr>
              <w:t>Fixed-rate bonds and notes issued in private education loan asset-backed securitization</w:t>
            </w:r>
          </w:p>
        </w:tc>
        <w:tc>
          <w:tcPr>
            <w:tcW w:w="260" w:type="dxa"/>
            <w:vAlign w:val="bottom"/>
          </w:tcPr>
          <w:p>
            <w:pPr>
              <w:spacing w:after="0"/>
              <w:rPr>
                <w:sz w:val="17"/>
                <w:szCs w:val="17"/>
                <w:color w:val="auto"/>
              </w:rPr>
            </w:pPr>
          </w:p>
        </w:tc>
        <w:tc>
          <w:tcPr>
            <w:tcW w:w="1080" w:type="dxa"/>
            <w:vAlign w:val="bottom"/>
          </w:tcPr>
          <w:p>
            <w:pPr>
              <w:jc w:val="right"/>
              <w:spacing w:after="0"/>
              <w:rPr>
                <w:sz w:val="20"/>
                <w:szCs w:val="20"/>
                <w:color w:val="auto"/>
              </w:rPr>
            </w:pPr>
            <w:r>
              <w:rPr>
                <w:rFonts w:ascii="Arial" w:cs="Arial" w:eastAsia="Arial" w:hAnsi="Arial"/>
                <w:sz w:val="13"/>
                <w:szCs w:val="13"/>
                <w:color w:val="auto"/>
              </w:rPr>
              <w:t>59,609</w:t>
            </w:r>
          </w:p>
        </w:tc>
        <w:tc>
          <w:tcPr>
            <w:tcW w:w="1840" w:type="dxa"/>
            <w:vAlign w:val="bottom"/>
            <w:gridSpan w:val="2"/>
          </w:tcPr>
          <w:p>
            <w:pPr>
              <w:jc w:val="center"/>
              <w:spacing w:after="0"/>
              <w:rPr>
                <w:sz w:val="20"/>
                <w:szCs w:val="20"/>
                <w:color w:val="auto"/>
              </w:rPr>
            </w:pPr>
            <w:r>
              <w:rPr>
                <w:rFonts w:ascii="Arial" w:cs="Arial" w:eastAsia="Arial" w:hAnsi="Arial"/>
                <w:sz w:val="13"/>
                <w:szCs w:val="13"/>
                <w:color w:val="auto"/>
                <w:w w:val="89"/>
              </w:rPr>
              <w:t>3.60% / 5.35%</w:t>
            </w:r>
          </w:p>
        </w:tc>
        <w:tc>
          <w:tcPr>
            <w:tcW w:w="100" w:type="dxa"/>
            <w:vAlign w:val="bottom"/>
          </w:tcPr>
          <w:p>
            <w:pPr>
              <w:spacing w:after="0"/>
              <w:rPr>
                <w:sz w:val="17"/>
                <w:szCs w:val="17"/>
                <w:color w:val="auto"/>
              </w:rPr>
            </w:pPr>
          </w:p>
        </w:tc>
        <w:tc>
          <w:tcPr>
            <w:tcW w:w="1900" w:type="dxa"/>
            <w:vAlign w:val="bottom"/>
          </w:tcPr>
          <w:p>
            <w:pPr>
              <w:jc w:val="center"/>
              <w:spacing w:after="0"/>
              <w:rPr>
                <w:sz w:val="20"/>
                <w:szCs w:val="20"/>
                <w:color w:val="auto"/>
              </w:rPr>
            </w:pPr>
            <w:r>
              <w:rPr>
                <w:rFonts w:ascii="Arial" w:cs="Arial" w:eastAsia="Arial" w:hAnsi="Arial"/>
                <w:sz w:val="13"/>
                <w:szCs w:val="13"/>
                <w:color w:val="auto"/>
                <w:w w:val="91"/>
              </w:rPr>
              <w:t>12/26/40 / 12/28/43</w:t>
            </w:r>
          </w:p>
        </w:tc>
        <w:tc>
          <w:tcPr>
            <w:tcW w:w="0" w:type="dxa"/>
            <w:vAlign w:val="bottom"/>
          </w:tcPr>
          <w:p>
            <w:pPr>
              <w:spacing w:after="0"/>
              <w:rPr>
                <w:sz w:val="1"/>
                <w:szCs w:val="1"/>
                <w:color w:val="auto"/>
              </w:rPr>
            </w:pPr>
          </w:p>
        </w:tc>
      </w:tr>
      <w:tr>
        <w:trPr>
          <w:trHeight w:val="187"/>
        </w:trPr>
        <w:tc>
          <w:tcPr>
            <w:tcW w:w="6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Unsecured line of credit</w:t>
            </w:r>
          </w:p>
        </w:tc>
        <w:tc>
          <w:tcPr>
            <w:tcW w:w="260" w:type="dxa"/>
            <w:vAlign w:val="bottom"/>
            <w:tcBorders>
              <w:bottom w:val="single" w:sz="8" w:color="CCEEFF"/>
            </w:tcBorders>
            <w:shd w:val="clear" w:color="auto" w:fill="CCEEFF"/>
          </w:tcPr>
          <w:p>
            <w:pPr>
              <w:spacing w:after="0"/>
              <w:rPr>
                <w:sz w:val="16"/>
                <w:szCs w:val="16"/>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320,000</w:t>
            </w:r>
          </w:p>
        </w:tc>
        <w:tc>
          <w:tcPr>
            <w:tcW w:w="1840" w:type="dxa"/>
            <w:vAlign w:val="bottom"/>
            <w:tcBorders>
              <w:bottom w:val="single" w:sz="8" w:color="CCEEFF"/>
            </w:tcBorders>
            <w:gridSpan w:val="2"/>
            <w:shd w:val="clear" w:color="auto" w:fill="CCEEFF"/>
          </w:tcPr>
          <w:p>
            <w:pPr>
              <w:jc w:val="right"/>
              <w:ind w:right="475"/>
              <w:spacing w:after="0"/>
              <w:rPr>
                <w:sz w:val="20"/>
                <w:szCs w:val="20"/>
                <w:color w:val="auto"/>
              </w:rPr>
            </w:pPr>
            <w:r>
              <w:rPr>
                <w:rFonts w:ascii="Arial" w:cs="Arial" w:eastAsia="Arial" w:hAnsi="Arial"/>
                <w:sz w:val="13"/>
                <w:szCs w:val="13"/>
                <w:color w:val="auto"/>
              </w:rPr>
              <w:t>3.98% - 4.00%</w:t>
            </w:r>
          </w:p>
        </w:tc>
        <w:tc>
          <w:tcPr>
            <w:tcW w:w="100" w:type="dxa"/>
            <w:vAlign w:val="bottom"/>
            <w:tcBorders>
              <w:bottom w:val="single" w:sz="8" w:color="CCEEFF"/>
            </w:tcBorders>
            <w:shd w:val="clear" w:color="auto" w:fill="CCEEFF"/>
          </w:tcPr>
          <w:p>
            <w:pPr>
              <w:spacing w:after="0"/>
              <w:rPr>
                <w:sz w:val="16"/>
                <w:szCs w:val="16"/>
                <w:color w:val="auto"/>
              </w:rPr>
            </w:pPr>
          </w:p>
        </w:tc>
        <w:tc>
          <w:tcPr>
            <w:tcW w:w="19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92"/>
              </w:rPr>
              <w:t>6/22/23</w:t>
            </w:r>
          </w:p>
        </w:tc>
        <w:tc>
          <w:tcPr>
            <w:tcW w:w="0" w:type="dxa"/>
            <w:vAlign w:val="bottom"/>
          </w:tcPr>
          <w:p>
            <w:pPr>
              <w:spacing w:after="0"/>
              <w:rPr>
                <w:sz w:val="1"/>
                <w:szCs w:val="1"/>
                <w:color w:val="auto"/>
              </w:rPr>
            </w:pPr>
          </w:p>
        </w:tc>
      </w:tr>
      <w:tr>
        <w:trPr>
          <w:trHeight w:val="178"/>
        </w:trPr>
        <w:tc>
          <w:tcPr>
            <w:tcW w:w="6140" w:type="dxa"/>
            <w:vAlign w:val="bottom"/>
          </w:tcPr>
          <w:p>
            <w:pPr>
              <w:ind w:left="20"/>
              <w:spacing w:after="0"/>
              <w:rPr>
                <w:sz w:val="20"/>
                <w:szCs w:val="20"/>
                <w:color w:val="auto"/>
              </w:rPr>
            </w:pPr>
            <w:r>
              <w:rPr>
                <w:rFonts w:ascii="Arial" w:cs="Arial" w:eastAsia="Arial" w:hAnsi="Arial"/>
                <w:sz w:val="13"/>
                <w:szCs w:val="13"/>
                <w:color w:val="auto"/>
              </w:rPr>
              <w:t>Unsecured debt - Junior Subordinated Hybrid Securities</w:t>
            </w:r>
          </w:p>
        </w:tc>
        <w:tc>
          <w:tcPr>
            <w:tcW w:w="26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Arial" w:cs="Arial" w:eastAsia="Arial" w:hAnsi="Arial"/>
                <w:sz w:val="13"/>
                <w:szCs w:val="13"/>
                <w:color w:val="auto"/>
              </w:rPr>
              <w:t>20,381</w:t>
            </w:r>
          </w:p>
        </w:tc>
        <w:tc>
          <w:tcPr>
            <w:tcW w:w="1840" w:type="dxa"/>
            <w:vAlign w:val="bottom"/>
            <w:gridSpan w:val="2"/>
          </w:tcPr>
          <w:p>
            <w:pPr>
              <w:jc w:val="center"/>
              <w:spacing w:after="0"/>
              <w:rPr>
                <w:sz w:val="20"/>
                <w:szCs w:val="20"/>
                <w:color w:val="auto"/>
              </w:rPr>
            </w:pPr>
            <w:r>
              <w:rPr>
                <w:rFonts w:ascii="Arial" w:cs="Arial" w:eastAsia="Arial" w:hAnsi="Arial"/>
                <w:sz w:val="13"/>
                <w:szCs w:val="13"/>
                <w:color w:val="auto"/>
                <w:w w:val="86"/>
              </w:rPr>
              <w:t>5.97%</w:t>
            </w:r>
          </w:p>
        </w:tc>
        <w:tc>
          <w:tcPr>
            <w:tcW w:w="100" w:type="dxa"/>
            <w:vAlign w:val="bottom"/>
          </w:tcPr>
          <w:p>
            <w:pPr>
              <w:spacing w:after="0"/>
              <w:rPr>
                <w:sz w:val="15"/>
                <w:szCs w:val="15"/>
                <w:color w:val="auto"/>
              </w:rPr>
            </w:pPr>
          </w:p>
        </w:tc>
        <w:tc>
          <w:tcPr>
            <w:tcW w:w="1900" w:type="dxa"/>
            <w:vAlign w:val="bottom"/>
          </w:tcPr>
          <w:p>
            <w:pPr>
              <w:jc w:val="center"/>
              <w:spacing w:after="0"/>
              <w:rPr>
                <w:sz w:val="20"/>
                <w:szCs w:val="20"/>
                <w:color w:val="auto"/>
              </w:rPr>
            </w:pPr>
            <w:r>
              <w:rPr>
                <w:rFonts w:ascii="Arial" w:cs="Arial" w:eastAsia="Arial" w:hAnsi="Arial"/>
                <w:sz w:val="13"/>
                <w:szCs w:val="13"/>
                <w:color w:val="auto"/>
                <w:w w:val="92"/>
              </w:rPr>
              <w:t>9/15/61</w:t>
            </w:r>
          </w:p>
        </w:tc>
        <w:tc>
          <w:tcPr>
            <w:tcW w:w="0" w:type="dxa"/>
            <w:vAlign w:val="bottom"/>
          </w:tcPr>
          <w:p>
            <w:pPr>
              <w:spacing w:after="0"/>
              <w:rPr>
                <w:sz w:val="1"/>
                <w:szCs w:val="1"/>
                <w:color w:val="auto"/>
              </w:rPr>
            </w:pPr>
          </w:p>
        </w:tc>
      </w:tr>
      <w:tr>
        <w:trPr>
          <w:trHeight w:val="27"/>
        </w:trPr>
        <w:tc>
          <w:tcPr>
            <w:tcW w:w="61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5"/>
        </w:trPr>
        <w:tc>
          <w:tcPr>
            <w:tcW w:w="6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Other borrowings</w:t>
            </w:r>
          </w:p>
        </w:tc>
        <w:tc>
          <w:tcPr>
            <w:tcW w:w="260" w:type="dxa"/>
            <w:vAlign w:val="bottom"/>
            <w:tcBorders>
              <w:bottom w:val="single" w:sz="8" w:color="CCEEFF"/>
            </w:tcBorders>
            <w:shd w:val="clear" w:color="auto" w:fill="CCEEFF"/>
          </w:tcPr>
          <w:p>
            <w:pPr>
              <w:spacing w:after="0"/>
              <w:rPr>
                <w:sz w:val="17"/>
                <w:szCs w:val="17"/>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81,969</w:t>
            </w:r>
          </w:p>
        </w:tc>
        <w:tc>
          <w:tcPr>
            <w:tcW w:w="1840" w:type="dxa"/>
            <w:vAlign w:val="bottom"/>
            <w:tcBorders>
              <w:bottom w:val="single" w:sz="8" w:color="CCEEFF"/>
            </w:tcBorders>
            <w:gridSpan w:val="2"/>
            <w:shd w:val="clear" w:color="auto" w:fill="CCEEFF"/>
          </w:tcPr>
          <w:p>
            <w:pPr>
              <w:jc w:val="right"/>
              <w:ind w:right="475"/>
              <w:spacing w:after="0"/>
              <w:rPr>
                <w:sz w:val="20"/>
                <w:szCs w:val="20"/>
                <w:color w:val="auto"/>
              </w:rPr>
            </w:pPr>
            <w:r>
              <w:rPr>
                <w:rFonts w:ascii="Arial" w:cs="Arial" w:eastAsia="Arial" w:hAnsi="Arial"/>
                <w:sz w:val="13"/>
                <w:szCs w:val="13"/>
                <w:color w:val="auto"/>
              </w:rPr>
              <w:t>3.19% - 3.99%</w:t>
            </w:r>
          </w:p>
        </w:tc>
        <w:tc>
          <w:tcPr>
            <w:tcW w:w="100" w:type="dxa"/>
            <w:vAlign w:val="bottom"/>
            <w:tcBorders>
              <w:bottom w:val="single" w:sz="8" w:color="CCEEFF"/>
            </w:tcBorders>
            <w:shd w:val="clear" w:color="auto" w:fill="CCEEFF"/>
          </w:tcPr>
          <w:p>
            <w:pPr>
              <w:spacing w:after="0"/>
              <w:rPr>
                <w:sz w:val="17"/>
                <w:szCs w:val="17"/>
                <w:color w:val="auto"/>
              </w:rPr>
            </w:pPr>
          </w:p>
        </w:tc>
        <w:tc>
          <w:tcPr>
            <w:tcW w:w="19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91"/>
              </w:rPr>
              <w:t>4/1/19 - 12/20/19</w:t>
            </w:r>
          </w:p>
        </w:tc>
        <w:tc>
          <w:tcPr>
            <w:tcW w:w="0" w:type="dxa"/>
            <w:vAlign w:val="bottom"/>
          </w:tcPr>
          <w:p>
            <w:pPr>
              <w:spacing w:after="0"/>
              <w:rPr>
                <w:sz w:val="1"/>
                <w:szCs w:val="1"/>
                <w:color w:val="auto"/>
              </w:rPr>
            </w:pPr>
          </w:p>
        </w:tc>
      </w:tr>
      <w:tr>
        <w:trPr>
          <w:trHeight w:val="169"/>
        </w:trPr>
        <w:tc>
          <w:tcPr>
            <w:tcW w:w="6140" w:type="dxa"/>
            <w:vAlign w:val="bottom"/>
          </w:tcPr>
          <w:p>
            <w:pPr>
              <w:spacing w:after="0"/>
              <w:rPr>
                <w:sz w:val="14"/>
                <w:szCs w:val="14"/>
                <w:color w:val="auto"/>
              </w:rPr>
            </w:pPr>
          </w:p>
        </w:tc>
        <w:tc>
          <w:tcPr>
            <w:tcW w:w="260" w:type="dxa"/>
            <w:vAlign w:val="bottom"/>
            <w:tcBorders>
              <w:top w:val="single" w:sz="8" w:color="auto"/>
            </w:tcBorders>
          </w:tcPr>
          <w:p>
            <w:pPr>
              <w:spacing w:after="0"/>
              <w:rPr>
                <w:sz w:val="14"/>
                <w:szCs w:val="14"/>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22,141,691</w:t>
            </w:r>
          </w:p>
        </w:tc>
        <w:tc>
          <w:tcPr>
            <w:tcW w:w="100" w:type="dxa"/>
            <w:vAlign w:val="bottom"/>
          </w:tcPr>
          <w:p>
            <w:pPr>
              <w:spacing w:after="0"/>
              <w:rPr>
                <w:sz w:val="14"/>
                <w:szCs w:val="14"/>
                <w:color w:val="auto"/>
              </w:rPr>
            </w:pPr>
          </w:p>
        </w:tc>
        <w:tc>
          <w:tcPr>
            <w:tcW w:w="17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9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7"/>
        </w:trPr>
        <w:tc>
          <w:tcPr>
            <w:tcW w:w="61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5"/>
        </w:trPr>
        <w:tc>
          <w:tcPr>
            <w:tcW w:w="6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Discount on bonds and notes payable and debt issuance costs</w:t>
            </w:r>
          </w:p>
        </w:tc>
        <w:tc>
          <w:tcPr>
            <w:tcW w:w="260" w:type="dxa"/>
            <w:vAlign w:val="bottom"/>
            <w:tcBorders>
              <w:bottom w:val="single" w:sz="8" w:color="CCEEFF"/>
            </w:tcBorders>
            <w:shd w:val="clear" w:color="auto" w:fill="CCEEFF"/>
          </w:tcPr>
          <w:p>
            <w:pPr>
              <w:spacing w:after="0"/>
              <w:rPr>
                <w:sz w:val="17"/>
                <w:szCs w:val="17"/>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(305,968)</w:t>
            </w:r>
          </w:p>
        </w:tc>
        <w:tc>
          <w:tcPr>
            <w:tcW w:w="100" w:type="dxa"/>
            <w:vAlign w:val="bottom"/>
            <w:tcBorders>
              <w:bottom w:val="single" w:sz="8" w:color="CCEEFF"/>
            </w:tcBorders>
            <w:shd w:val="clear" w:color="auto" w:fill="CCEEFF"/>
          </w:tcPr>
          <w:p>
            <w:pPr>
              <w:spacing w:after="0"/>
              <w:rPr>
                <w:sz w:val="17"/>
                <w:szCs w:val="17"/>
                <w:color w:val="auto"/>
              </w:rPr>
            </w:pPr>
          </w:p>
        </w:tc>
        <w:tc>
          <w:tcPr>
            <w:tcW w:w="174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1900" w:type="dxa"/>
            <w:vAlign w:val="bottom"/>
            <w:tcBorders>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3"/>
        </w:trPr>
        <w:tc>
          <w:tcPr>
            <w:tcW w:w="6140" w:type="dxa"/>
            <w:vAlign w:val="bottom"/>
          </w:tcPr>
          <w:p>
            <w:pPr>
              <w:ind w:left="20"/>
              <w:spacing w:after="0"/>
              <w:rPr>
                <w:sz w:val="20"/>
                <w:szCs w:val="20"/>
                <w:color w:val="auto"/>
              </w:rPr>
            </w:pPr>
            <w:r>
              <w:rPr>
                <w:rFonts w:ascii="Arial" w:cs="Arial" w:eastAsia="Arial" w:hAnsi="Arial"/>
                <w:sz w:val="13"/>
                <w:szCs w:val="13"/>
                <w:color w:val="auto"/>
              </w:rPr>
              <w:t>Total</w:t>
            </w:r>
          </w:p>
        </w:tc>
        <w:tc>
          <w:tcPr>
            <w:tcW w:w="260" w:type="dxa"/>
            <w:vAlign w:val="bottom"/>
            <w:tcBorders>
              <w:top w:val="single" w:sz="8" w:color="auto"/>
              <w:bottom w:val="single" w:sz="8" w:color="auto"/>
            </w:tcBorders>
          </w:tcPr>
          <w:p>
            <w:pPr>
              <w:jc w:val="right"/>
              <w:ind w:right="115"/>
              <w:spacing w:after="0"/>
              <w:rPr>
                <w:sz w:val="20"/>
                <w:szCs w:val="20"/>
                <w:color w:val="auto"/>
              </w:rPr>
            </w:pPr>
            <w:r>
              <w:rPr>
                <w:rFonts w:ascii="Arial" w:cs="Arial" w:eastAsia="Arial" w:hAnsi="Arial"/>
                <w:sz w:val="13"/>
                <w:szCs w:val="13"/>
                <w:color w:val="auto"/>
                <w:w w:val="82"/>
              </w:rPr>
              <w:t>$</w:t>
            </w: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21,835,723</w:t>
            </w:r>
          </w:p>
        </w:tc>
        <w:tc>
          <w:tcPr>
            <w:tcW w:w="100" w:type="dxa"/>
            <w:vAlign w:val="bottom"/>
          </w:tcPr>
          <w:p>
            <w:pPr>
              <w:spacing w:after="0"/>
              <w:rPr>
                <w:sz w:val="16"/>
                <w:szCs w:val="16"/>
                <w:color w:val="auto"/>
              </w:rPr>
            </w:pPr>
          </w:p>
        </w:tc>
        <w:tc>
          <w:tcPr>
            <w:tcW w:w="17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9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61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85"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6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40" w:type="dxa"/>
            <w:vAlign w:val="bottom"/>
            <w:gridSpan w:val="2"/>
          </w:tcPr>
          <w:p>
            <w:pPr>
              <w:ind w:left="460"/>
              <w:spacing w:after="0"/>
              <w:rPr>
                <w:sz w:val="20"/>
                <w:szCs w:val="20"/>
                <w:color w:val="auto"/>
              </w:rPr>
            </w:pPr>
            <w:r>
              <w:rPr>
                <w:rFonts w:ascii="Arial" w:cs="Arial" w:eastAsia="Arial" w:hAnsi="Arial"/>
                <w:sz w:val="13"/>
                <w:szCs w:val="13"/>
                <w:b w:val="1"/>
                <w:bCs w:val="1"/>
                <w:color w:val="auto"/>
                <w:w w:val="88"/>
              </w:rPr>
              <w:t>As of December 31, 2018</w:t>
            </w:r>
          </w:p>
        </w:tc>
        <w:tc>
          <w:tcPr>
            <w:tcW w:w="19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7"/>
        </w:trPr>
        <w:tc>
          <w:tcPr>
            <w:tcW w:w="614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40" w:type="dxa"/>
            <w:vAlign w:val="bottom"/>
            <w:tcBorders>
              <w:bottom w:val="single" w:sz="8" w:color="auto"/>
            </w:tcBorders>
            <w:gridSpan w:val="2"/>
          </w:tcPr>
          <w:p>
            <w:pPr>
              <w:spacing w:after="0"/>
              <w:rPr>
                <w:sz w:val="2"/>
                <w:szCs w:val="2"/>
                <w:color w:val="auto"/>
              </w:rPr>
            </w:pPr>
          </w:p>
        </w:tc>
        <w:tc>
          <w:tcPr>
            <w:tcW w:w="19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20"/>
        </w:trPr>
        <w:tc>
          <w:tcPr>
            <w:tcW w:w="614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1080" w:type="dxa"/>
            <w:vAlign w:val="bottom"/>
          </w:tcPr>
          <w:p>
            <w:pPr>
              <w:jc w:val="right"/>
              <w:ind w:right="355"/>
              <w:spacing w:after="0" w:line="120" w:lineRule="exact"/>
              <w:rPr>
                <w:sz w:val="20"/>
                <w:szCs w:val="20"/>
                <w:color w:val="auto"/>
              </w:rPr>
            </w:pPr>
            <w:r>
              <w:rPr>
                <w:rFonts w:ascii="Arial" w:cs="Arial" w:eastAsia="Arial" w:hAnsi="Arial"/>
                <w:sz w:val="13"/>
                <w:szCs w:val="13"/>
                <w:b w:val="1"/>
                <w:bCs w:val="1"/>
                <w:color w:val="auto"/>
              </w:rPr>
              <w:t>Carrying</w:t>
            </w:r>
          </w:p>
        </w:tc>
        <w:tc>
          <w:tcPr>
            <w:tcW w:w="100" w:type="dxa"/>
            <w:vAlign w:val="bottom"/>
          </w:tcPr>
          <w:p>
            <w:pPr>
              <w:spacing w:after="0"/>
              <w:rPr>
                <w:sz w:val="10"/>
                <w:szCs w:val="10"/>
                <w:color w:val="auto"/>
              </w:rPr>
            </w:pPr>
          </w:p>
        </w:tc>
        <w:tc>
          <w:tcPr>
            <w:tcW w:w="1840" w:type="dxa"/>
            <w:vAlign w:val="bottom"/>
            <w:gridSpan w:val="2"/>
          </w:tcPr>
          <w:p>
            <w:pPr>
              <w:jc w:val="right"/>
              <w:ind w:right="640"/>
              <w:spacing w:after="0" w:line="120" w:lineRule="exact"/>
              <w:rPr>
                <w:sz w:val="20"/>
                <w:szCs w:val="20"/>
                <w:color w:val="auto"/>
              </w:rPr>
            </w:pPr>
            <w:r>
              <w:rPr>
                <w:rFonts w:ascii="Arial" w:cs="Arial" w:eastAsia="Arial" w:hAnsi="Arial"/>
                <w:sz w:val="13"/>
                <w:szCs w:val="13"/>
                <w:b w:val="1"/>
                <w:bCs w:val="1"/>
                <w:color w:val="auto"/>
              </w:rPr>
              <w:t>Interest rate</w:t>
            </w:r>
          </w:p>
        </w:tc>
        <w:tc>
          <w:tcPr>
            <w:tcW w:w="1900" w:type="dxa"/>
            <w:vAlign w:val="bottom"/>
            <w:vMerge w:val="restart"/>
          </w:tcPr>
          <w:p>
            <w:pPr>
              <w:ind w:left="540"/>
              <w:spacing w:after="0"/>
              <w:rPr>
                <w:sz w:val="20"/>
                <w:szCs w:val="20"/>
                <w:color w:val="auto"/>
              </w:rPr>
            </w:pPr>
            <w:r>
              <w:rPr>
                <w:rFonts w:ascii="Arial" w:cs="Arial" w:eastAsia="Arial" w:hAnsi="Arial"/>
                <w:sz w:val="13"/>
                <w:szCs w:val="13"/>
                <w:b w:val="1"/>
                <w:bCs w:val="1"/>
                <w:color w:val="auto"/>
              </w:rPr>
              <w:t>Final maturity</w:t>
            </w:r>
          </w:p>
        </w:tc>
        <w:tc>
          <w:tcPr>
            <w:tcW w:w="0" w:type="dxa"/>
            <w:vAlign w:val="bottom"/>
          </w:tcPr>
          <w:p>
            <w:pPr>
              <w:spacing w:after="0"/>
              <w:rPr>
                <w:sz w:val="1"/>
                <w:szCs w:val="1"/>
                <w:color w:val="auto"/>
              </w:rPr>
            </w:pPr>
          </w:p>
        </w:tc>
      </w:tr>
      <w:tr>
        <w:trPr>
          <w:trHeight w:val="170"/>
        </w:trPr>
        <w:tc>
          <w:tcPr>
            <w:tcW w:w="6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80" w:type="dxa"/>
            <w:vAlign w:val="bottom"/>
          </w:tcPr>
          <w:p>
            <w:pPr>
              <w:jc w:val="right"/>
              <w:ind w:right="395"/>
              <w:spacing w:after="0"/>
              <w:rPr>
                <w:sz w:val="20"/>
                <w:szCs w:val="20"/>
                <w:color w:val="auto"/>
              </w:rPr>
            </w:pPr>
            <w:r>
              <w:rPr>
                <w:rFonts w:ascii="Arial" w:cs="Arial" w:eastAsia="Arial" w:hAnsi="Arial"/>
                <w:sz w:val="13"/>
                <w:szCs w:val="13"/>
                <w:b w:val="1"/>
                <w:bCs w:val="1"/>
                <w:color w:val="auto"/>
              </w:rPr>
              <w:t>amount</w:t>
            </w:r>
          </w:p>
        </w:tc>
        <w:tc>
          <w:tcPr>
            <w:tcW w:w="100" w:type="dxa"/>
            <w:vAlign w:val="bottom"/>
          </w:tcPr>
          <w:p>
            <w:pPr>
              <w:spacing w:after="0"/>
              <w:rPr>
                <w:sz w:val="14"/>
                <w:szCs w:val="14"/>
                <w:color w:val="auto"/>
              </w:rPr>
            </w:pPr>
          </w:p>
        </w:tc>
        <w:tc>
          <w:tcPr>
            <w:tcW w:w="1840" w:type="dxa"/>
            <w:vAlign w:val="bottom"/>
            <w:gridSpan w:val="2"/>
          </w:tcPr>
          <w:p>
            <w:pPr>
              <w:ind w:left="700"/>
              <w:spacing w:after="0"/>
              <w:rPr>
                <w:sz w:val="20"/>
                <w:szCs w:val="20"/>
                <w:color w:val="auto"/>
              </w:rPr>
            </w:pPr>
            <w:r>
              <w:rPr>
                <w:rFonts w:ascii="Arial" w:cs="Arial" w:eastAsia="Arial" w:hAnsi="Arial"/>
                <w:sz w:val="13"/>
                <w:szCs w:val="13"/>
                <w:b w:val="1"/>
                <w:bCs w:val="1"/>
                <w:color w:val="auto"/>
              </w:rPr>
              <w:t>range</w:t>
            </w:r>
          </w:p>
        </w:tc>
        <w:tc>
          <w:tcPr>
            <w:tcW w:w="190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98"/>
        </w:trPr>
        <w:tc>
          <w:tcPr>
            <w:tcW w:w="61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Variable-rate bonds and notes issued in FFELP loan asset-backed securitizations:</w:t>
            </w:r>
          </w:p>
        </w:tc>
        <w:tc>
          <w:tcPr>
            <w:tcW w:w="260" w:type="dxa"/>
            <w:vAlign w:val="bottom"/>
            <w:tcBorders>
              <w:top w:val="single" w:sz="8" w:color="auto"/>
            </w:tcBorders>
            <w:shd w:val="clear" w:color="auto" w:fill="CCEEFF"/>
          </w:tcPr>
          <w:p>
            <w:pPr>
              <w:spacing w:after="0"/>
              <w:rPr>
                <w:sz w:val="17"/>
                <w:szCs w:val="17"/>
                <w:color w:val="auto"/>
              </w:rPr>
            </w:pPr>
          </w:p>
        </w:tc>
        <w:tc>
          <w:tcPr>
            <w:tcW w:w="108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174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1900" w:type="dxa"/>
            <w:vAlign w:val="bottom"/>
            <w:tcBorders>
              <w:top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78"/>
        </w:trPr>
        <w:tc>
          <w:tcPr>
            <w:tcW w:w="6140" w:type="dxa"/>
            <w:vAlign w:val="bottom"/>
          </w:tcPr>
          <w:p>
            <w:pPr>
              <w:ind w:left="180"/>
              <w:spacing w:after="0"/>
              <w:rPr>
                <w:sz w:val="20"/>
                <w:szCs w:val="20"/>
                <w:color w:val="auto"/>
              </w:rPr>
            </w:pPr>
            <w:r>
              <w:rPr>
                <w:rFonts w:ascii="Arial" w:cs="Arial" w:eastAsia="Arial" w:hAnsi="Arial"/>
                <w:sz w:val="13"/>
                <w:szCs w:val="13"/>
                <w:color w:val="auto"/>
              </w:rPr>
              <w:t>Bonds and notes based on indices</w:t>
            </w:r>
          </w:p>
        </w:tc>
        <w:tc>
          <w:tcPr>
            <w:tcW w:w="260" w:type="dxa"/>
            <w:vAlign w:val="bottom"/>
          </w:tcPr>
          <w:p>
            <w:pPr>
              <w:jc w:val="right"/>
              <w:ind w:right="115"/>
              <w:spacing w:after="0"/>
              <w:rPr>
                <w:sz w:val="20"/>
                <w:szCs w:val="20"/>
                <w:color w:val="auto"/>
              </w:rPr>
            </w:pPr>
            <w:r>
              <w:rPr>
                <w:rFonts w:ascii="Arial" w:cs="Arial" w:eastAsia="Arial" w:hAnsi="Arial"/>
                <w:sz w:val="13"/>
                <w:szCs w:val="13"/>
                <w:color w:val="auto"/>
                <w:w w:val="82"/>
              </w:rPr>
              <w:t>$</w:t>
            </w:r>
          </w:p>
        </w:tc>
        <w:tc>
          <w:tcPr>
            <w:tcW w:w="1080" w:type="dxa"/>
            <w:vAlign w:val="bottom"/>
          </w:tcPr>
          <w:p>
            <w:pPr>
              <w:jc w:val="right"/>
              <w:spacing w:after="0"/>
              <w:rPr>
                <w:sz w:val="20"/>
                <w:szCs w:val="20"/>
                <w:color w:val="auto"/>
              </w:rPr>
            </w:pPr>
            <w:r>
              <w:rPr>
                <w:rFonts w:ascii="Arial" w:cs="Arial" w:eastAsia="Arial" w:hAnsi="Arial"/>
                <w:sz w:val="13"/>
                <w:szCs w:val="13"/>
                <w:color w:val="auto"/>
              </w:rPr>
              <w:t>20,192,123</w:t>
            </w:r>
          </w:p>
        </w:tc>
        <w:tc>
          <w:tcPr>
            <w:tcW w:w="1840" w:type="dxa"/>
            <w:vAlign w:val="bottom"/>
            <w:gridSpan w:val="2"/>
          </w:tcPr>
          <w:p>
            <w:pPr>
              <w:jc w:val="right"/>
              <w:ind w:right="475"/>
              <w:spacing w:after="0"/>
              <w:rPr>
                <w:sz w:val="20"/>
                <w:szCs w:val="20"/>
                <w:color w:val="auto"/>
              </w:rPr>
            </w:pPr>
            <w:r>
              <w:rPr>
                <w:rFonts w:ascii="Arial" w:cs="Arial" w:eastAsia="Arial" w:hAnsi="Arial"/>
                <w:sz w:val="13"/>
                <w:szCs w:val="13"/>
                <w:color w:val="auto"/>
              </w:rPr>
              <w:t>2.59% - 4.52%</w:t>
            </w:r>
          </w:p>
        </w:tc>
        <w:tc>
          <w:tcPr>
            <w:tcW w:w="100" w:type="dxa"/>
            <w:vAlign w:val="bottom"/>
          </w:tcPr>
          <w:p>
            <w:pPr>
              <w:spacing w:after="0"/>
              <w:rPr>
                <w:sz w:val="15"/>
                <w:szCs w:val="15"/>
                <w:color w:val="auto"/>
              </w:rPr>
            </w:pPr>
          </w:p>
        </w:tc>
        <w:tc>
          <w:tcPr>
            <w:tcW w:w="1900" w:type="dxa"/>
            <w:vAlign w:val="bottom"/>
          </w:tcPr>
          <w:p>
            <w:pPr>
              <w:jc w:val="center"/>
              <w:spacing w:after="0"/>
              <w:rPr>
                <w:sz w:val="20"/>
                <w:szCs w:val="20"/>
                <w:color w:val="auto"/>
              </w:rPr>
            </w:pPr>
            <w:r>
              <w:rPr>
                <w:rFonts w:ascii="Arial" w:cs="Arial" w:eastAsia="Arial" w:hAnsi="Arial"/>
                <w:sz w:val="13"/>
                <w:szCs w:val="13"/>
                <w:color w:val="auto"/>
                <w:w w:val="90"/>
              </w:rPr>
              <w:t>11/25/24 - 2/25/67</w:t>
            </w:r>
          </w:p>
        </w:tc>
        <w:tc>
          <w:tcPr>
            <w:tcW w:w="0" w:type="dxa"/>
            <w:vAlign w:val="bottom"/>
          </w:tcPr>
          <w:p>
            <w:pPr>
              <w:spacing w:after="0"/>
              <w:rPr>
                <w:sz w:val="1"/>
                <w:szCs w:val="1"/>
                <w:color w:val="auto"/>
              </w:rPr>
            </w:pPr>
          </w:p>
        </w:tc>
      </w:tr>
      <w:tr>
        <w:trPr>
          <w:trHeight w:val="27"/>
        </w:trPr>
        <w:tc>
          <w:tcPr>
            <w:tcW w:w="61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5"/>
        </w:trPr>
        <w:tc>
          <w:tcPr>
            <w:tcW w:w="61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3"/>
                <w:szCs w:val="13"/>
                <w:color w:val="auto"/>
              </w:rPr>
              <w:t>Bonds and notes based on auction</w:t>
            </w:r>
          </w:p>
        </w:tc>
        <w:tc>
          <w:tcPr>
            <w:tcW w:w="260" w:type="dxa"/>
            <w:vAlign w:val="bottom"/>
            <w:tcBorders>
              <w:bottom w:val="single" w:sz="8" w:color="CCEEFF"/>
            </w:tcBorders>
            <w:shd w:val="clear" w:color="auto" w:fill="CCEEFF"/>
          </w:tcPr>
          <w:p>
            <w:pPr>
              <w:spacing w:after="0"/>
              <w:rPr>
                <w:sz w:val="17"/>
                <w:szCs w:val="17"/>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793,476</w:t>
            </w:r>
          </w:p>
        </w:tc>
        <w:tc>
          <w:tcPr>
            <w:tcW w:w="1840" w:type="dxa"/>
            <w:vAlign w:val="bottom"/>
            <w:tcBorders>
              <w:bottom w:val="single" w:sz="8" w:color="CCEEFF"/>
            </w:tcBorders>
            <w:gridSpan w:val="2"/>
            <w:shd w:val="clear" w:color="auto" w:fill="CCEEFF"/>
          </w:tcPr>
          <w:p>
            <w:pPr>
              <w:jc w:val="right"/>
              <w:ind w:right="475"/>
              <w:spacing w:after="0"/>
              <w:rPr>
                <w:sz w:val="20"/>
                <w:szCs w:val="20"/>
                <w:color w:val="auto"/>
              </w:rPr>
            </w:pPr>
            <w:r>
              <w:rPr>
                <w:rFonts w:ascii="Arial" w:cs="Arial" w:eastAsia="Arial" w:hAnsi="Arial"/>
                <w:sz w:val="13"/>
                <w:szCs w:val="13"/>
                <w:color w:val="auto"/>
              </w:rPr>
              <w:t>2.84% - 3.55%</w:t>
            </w:r>
          </w:p>
        </w:tc>
        <w:tc>
          <w:tcPr>
            <w:tcW w:w="100" w:type="dxa"/>
            <w:vAlign w:val="bottom"/>
            <w:tcBorders>
              <w:bottom w:val="single" w:sz="8" w:color="CCEEFF"/>
            </w:tcBorders>
            <w:shd w:val="clear" w:color="auto" w:fill="CCEEFF"/>
          </w:tcPr>
          <w:p>
            <w:pPr>
              <w:spacing w:after="0"/>
              <w:rPr>
                <w:sz w:val="17"/>
                <w:szCs w:val="17"/>
                <w:color w:val="auto"/>
              </w:rPr>
            </w:pPr>
          </w:p>
        </w:tc>
        <w:tc>
          <w:tcPr>
            <w:tcW w:w="19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90"/>
              </w:rPr>
              <w:t>3/22/32 - 11/26/46</w:t>
            </w:r>
          </w:p>
        </w:tc>
        <w:tc>
          <w:tcPr>
            <w:tcW w:w="0" w:type="dxa"/>
            <w:vAlign w:val="bottom"/>
          </w:tcPr>
          <w:p>
            <w:pPr>
              <w:spacing w:after="0"/>
              <w:rPr>
                <w:sz w:val="1"/>
                <w:szCs w:val="1"/>
                <w:color w:val="auto"/>
              </w:rPr>
            </w:pPr>
          </w:p>
        </w:tc>
      </w:tr>
      <w:tr>
        <w:trPr>
          <w:trHeight w:val="169"/>
        </w:trPr>
        <w:tc>
          <w:tcPr>
            <w:tcW w:w="6140" w:type="dxa"/>
            <w:vAlign w:val="bottom"/>
          </w:tcPr>
          <w:p>
            <w:pPr>
              <w:ind w:left="360"/>
              <w:spacing w:after="0"/>
              <w:rPr>
                <w:sz w:val="20"/>
                <w:szCs w:val="20"/>
                <w:color w:val="auto"/>
              </w:rPr>
            </w:pPr>
            <w:r>
              <w:rPr>
                <w:rFonts w:ascii="Arial" w:cs="Arial" w:eastAsia="Arial" w:hAnsi="Arial"/>
                <w:sz w:val="13"/>
                <w:szCs w:val="13"/>
                <w:color w:val="auto"/>
              </w:rPr>
              <w:t>Total FFELP variable-rate bonds and notes</w:t>
            </w:r>
          </w:p>
        </w:tc>
        <w:tc>
          <w:tcPr>
            <w:tcW w:w="260" w:type="dxa"/>
            <w:vAlign w:val="bottom"/>
            <w:tcBorders>
              <w:top w:val="single" w:sz="8" w:color="auto"/>
            </w:tcBorders>
          </w:tcPr>
          <w:p>
            <w:pPr>
              <w:spacing w:after="0"/>
              <w:rPr>
                <w:sz w:val="14"/>
                <w:szCs w:val="14"/>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20,985,599</w:t>
            </w:r>
          </w:p>
        </w:tc>
        <w:tc>
          <w:tcPr>
            <w:tcW w:w="100" w:type="dxa"/>
            <w:vAlign w:val="bottom"/>
          </w:tcPr>
          <w:p>
            <w:pPr>
              <w:spacing w:after="0"/>
              <w:rPr>
                <w:sz w:val="14"/>
                <w:szCs w:val="14"/>
                <w:color w:val="auto"/>
              </w:rPr>
            </w:pPr>
          </w:p>
        </w:tc>
        <w:tc>
          <w:tcPr>
            <w:tcW w:w="17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9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7"/>
        </w:trPr>
        <w:tc>
          <w:tcPr>
            <w:tcW w:w="61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5"/>
        </w:trPr>
        <w:tc>
          <w:tcPr>
            <w:tcW w:w="6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FFELP warehouse facilities</w:t>
            </w:r>
          </w:p>
        </w:tc>
        <w:tc>
          <w:tcPr>
            <w:tcW w:w="260" w:type="dxa"/>
            <w:vAlign w:val="bottom"/>
            <w:tcBorders>
              <w:bottom w:val="single" w:sz="8" w:color="CCEEFF"/>
            </w:tcBorders>
            <w:shd w:val="clear" w:color="auto" w:fill="CCEEFF"/>
          </w:tcPr>
          <w:p>
            <w:pPr>
              <w:spacing w:after="0"/>
              <w:rPr>
                <w:sz w:val="16"/>
                <w:szCs w:val="16"/>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986,886</w:t>
            </w:r>
          </w:p>
        </w:tc>
        <w:tc>
          <w:tcPr>
            <w:tcW w:w="1840" w:type="dxa"/>
            <w:vAlign w:val="bottom"/>
            <w:tcBorders>
              <w:bottom w:val="single" w:sz="8" w:color="CCEEFF"/>
            </w:tcBorders>
            <w:gridSpan w:val="2"/>
            <w:shd w:val="clear" w:color="auto" w:fill="CCEEFF"/>
          </w:tcPr>
          <w:p>
            <w:pPr>
              <w:jc w:val="center"/>
              <w:spacing w:after="0"/>
              <w:rPr>
                <w:sz w:val="20"/>
                <w:szCs w:val="20"/>
                <w:color w:val="auto"/>
              </w:rPr>
            </w:pPr>
            <w:r>
              <w:rPr>
                <w:rFonts w:ascii="Arial" w:cs="Arial" w:eastAsia="Arial" w:hAnsi="Arial"/>
                <w:sz w:val="13"/>
                <w:szCs w:val="13"/>
                <w:color w:val="auto"/>
                <w:w w:val="89"/>
              </w:rPr>
              <w:t>2.65% / 2.71%</w:t>
            </w:r>
          </w:p>
        </w:tc>
        <w:tc>
          <w:tcPr>
            <w:tcW w:w="100" w:type="dxa"/>
            <w:vAlign w:val="bottom"/>
            <w:tcBorders>
              <w:bottom w:val="single" w:sz="8" w:color="CCEEFF"/>
            </w:tcBorders>
            <w:shd w:val="clear" w:color="auto" w:fill="CCEEFF"/>
          </w:tcPr>
          <w:p>
            <w:pPr>
              <w:spacing w:after="0"/>
              <w:rPr>
                <w:sz w:val="16"/>
                <w:szCs w:val="16"/>
                <w:color w:val="auto"/>
              </w:rPr>
            </w:pPr>
          </w:p>
        </w:tc>
        <w:tc>
          <w:tcPr>
            <w:tcW w:w="19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90"/>
              </w:rPr>
              <w:t>5/20/20 / 5/31/21</w:t>
            </w:r>
          </w:p>
        </w:tc>
        <w:tc>
          <w:tcPr>
            <w:tcW w:w="0" w:type="dxa"/>
            <w:vAlign w:val="bottom"/>
          </w:tcPr>
          <w:p>
            <w:pPr>
              <w:spacing w:after="0"/>
              <w:rPr>
                <w:sz w:val="1"/>
                <w:szCs w:val="1"/>
                <w:color w:val="auto"/>
              </w:rPr>
            </w:pPr>
          </w:p>
        </w:tc>
      </w:tr>
      <w:tr>
        <w:trPr>
          <w:trHeight w:val="202"/>
        </w:trPr>
        <w:tc>
          <w:tcPr>
            <w:tcW w:w="6140" w:type="dxa"/>
            <w:vAlign w:val="bottom"/>
          </w:tcPr>
          <w:p>
            <w:pPr>
              <w:ind w:left="20"/>
              <w:spacing w:after="0"/>
              <w:rPr>
                <w:sz w:val="20"/>
                <w:szCs w:val="20"/>
                <w:color w:val="auto"/>
              </w:rPr>
            </w:pPr>
            <w:r>
              <w:rPr>
                <w:rFonts w:ascii="Arial" w:cs="Arial" w:eastAsia="Arial" w:hAnsi="Arial"/>
                <w:sz w:val="13"/>
                <w:szCs w:val="13"/>
                <w:color w:val="auto"/>
              </w:rPr>
              <w:t>Variable-rate bonds and notes issued in private education loan asset-backed securitization</w:t>
            </w:r>
          </w:p>
        </w:tc>
        <w:tc>
          <w:tcPr>
            <w:tcW w:w="260" w:type="dxa"/>
            <w:vAlign w:val="bottom"/>
          </w:tcPr>
          <w:p>
            <w:pPr>
              <w:spacing w:after="0"/>
              <w:rPr>
                <w:sz w:val="17"/>
                <w:szCs w:val="17"/>
                <w:color w:val="auto"/>
              </w:rPr>
            </w:pPr>
          </w:p>
        </w:tc>
        <w:tc>
          <w:tcPr>
            <w:tcW w:w="1080" w:type="dxa"/>
            <w:vAlign w:val="bottom"/>
          </w:tcPr>
          <w:p>
            <w:pPr>
              <w:jc w:val="right"/>
              <w:spacing w:after="0"/>
              <w:rPr>
                <w:sz w:val="20"/>
                <w:szCs w:val="20"/>
                <w:color w:val="auto"/>
              </w:rPr>
            </w:pPr>
            <w:r>
              <w:rPr>
                <w:rFonts w:ascii="Arial" w:cs="Arial" w:eastAsia="Arial" w:hAnsi="Arial"/>
                <w:sz w:val="13"/>
                <w:szCs w:val="13"/>
                <w:color w:val="auto"/>
              </w:rPr>
              <w:t>50,720</w:t>
            </w:r>
          </w:p>
        </w:tc>
        <w:tc>
          <w:tcPr>
            <w:tcW w:w="1840" w:type="dxa"/>
            <w:vAlign w:val="bottom"/>
            <w:gridSpan w:val="2"/>
          </w:tcPr>
          <w:p>
            <w:pPr>
              <w:jc w:val="center"/>
              <w:spacing w:after="0"/>
              <w:rPr>
                <w:sz w:val="20"/>
                <w:szCs w:val="20"/>
                <w:color w:val="auto"/>
              </w:rPr>
            </w:pPr>
            <w:r>
              <w:rPr>
                <w:rFonts w:ascii="Arial" w:cs="Arial" w:eastAsia="Arial" w:hAnsi="Arial"/>
                <w:sz w:val="13"/>
                <w:szCs w:val="13"/>
                <w:color w:val="auto"/>
                <w:w w:val="86"/>
              </w:rPr>
              <w:t>4.26%</w:t>
            </w:r>
          </w:p>
        </w:tc>
        <w:tc>
          <w:tcPr>
            <w:tcW w:w="100" w:type="dxa"/>
            <w:vAlign w:val="bottom"/>
          </w:tcPr>
          <w:p>
            <w:pPr>
              <w:spacing w:after="0"/>
              <w:rPr>
                <w:sz w:val="17"/>
                <w:szCs w:val="17"/>
                <w:color w:val="auto"/>
              </w:rPr>
            </w:pPr>
          </w:p>
        </w:tc>
        <w:tc>
          <w:tcPr>
            <w:tcW w:w="1900" w:type="dxa"/>
            <w:vAlign w:val="bottom"/>
          </w:tcPr>
          <w:p>
            <w:pPr>
              <w:jc w:val="center"/>
              <w:spacing w:after="0"/>
              <w:rPr>
                <w:sz w:val="20"/>
                <w:szCs w:val="20"/>
                <w:color w:val="auto"/>
              </w:rPr>
            </w:pPr>
            <w:r>
              <w:rPr>
                <w:rFonts w:ascii="Arial" w:cs="Arial" w:eastAsia="Arial" w:hAnsi="Arial"/>
                <w:sz w:val="13"/>
                <w:szCs w:val="13"/>
                <w:color w:val="auto"/>
                <w:w w:val="90"/>
              </w:rPr>
              <w:t>12/26/40</w:t>
            </w:r>
          </w:p>
        </w:tc>
        <w:tc>
          <w:tcPr>
            <w:tcW w:w="0" w:type="dxa"/>
            <w:vAlign w:val="bottom"/>
          </w:tcPr>
          <w:p>
            <w:pPr>
              <w:spacing w:after="0"/>
              <w:rPr>
                <w:sz w:val="1"/>
                <w:szCs w:val="1"/>
                <w:color w:val="auto"/>
              </w:rPr>
            </w:pPr>
          </w:p>
        </w:tc>
      </w:tr>
      <w:tr>
        <w:trPr>
          <w:trHeight w:val="207"/>
        </w:trPr>
        <w:tc>
          <w:tcPr>
            <w:tcW w:w="6140" w:type="dxa"/>
            <w:vAlign w:val="bottom"/>
            <w:shd w:val="clear" w:color="auto" w:fill="CCEEFF"/>
          </w:tcPr>
          <w:p>
            <w:pPr>
              <w:ind w:left="20"/>
              <w:spacing w:after="0"/>
              <w:rPr>
                <w:sz w:val="20"/>
                <w:szCs w:val="20"/>
                <w:color w:val="auto"/>
              </w:rPr>
            </w:pPr>
            <w:r>
              <w:rPr>
                <w:rFonts w:ascii="Arial" w:cs="Arial" w:eastAsia="Arial" w:hAnsi="Arial"/>
                <w:sz w:val="13"/>
                <w:szCs w:val="13"/>
                <w:color w:val="auto"/>
              </w:rPr>
              <w:t>Fixed-rate bonds and notes issued in private education loan asset-backed securitization</w:t>
            </w:r>
          </w:p>
        </w:tc>
        <w:tc>
          <w:tcPr>
            <w:tcW w:w="26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63,171</w:t>
            </w:r>
          </w:p>
        </w:tc>
        <w:tc>
          <w:tcPr>
            <w:tcW w:w="1840" w:type="dxa"/>
            <w:vAlign w:val="bottom"/>
            <w:gridSpan w:val="2"/>
            <w:shd w:val="clear" w:color="auto" w:fill="CCEEFF"/>
          </w:tcPr>
          <w:p>
            <w:pPr>
              <w:jc w:val="center"/>
              <w:spacing w:after="0"/>
              <w:rPr>
                <w:sz w:val="20"/>
                <w:szCs w:val="20"/>
                <w:color w:val="auto"/>
              </w:rPr>
            </w:pPr>
            <w:r>
              <w:rPr>
                <w:rFonts w:ascii="Arial" w:cs="Arial" w:eastAsia="Arial" w:hAnsi="Arial"/>
                <w:sz w:val="13"/>
                <w:szCs w:val="13"/>
                <w:color w:val="auto"/>
                <w:w w:val="89"/>
              </w:rPr>
              <w:t>3.60% / 5.35%</w:t>
            </w:r>
          </w:p>
        </w:tc>
        <w:tc>
          <w:tcPr>
            <w:tcW w:w="100" w:type="dxa"/>
            <w:vAlign w:val="bottom"/>
            <w:shd w:val="clear" w:color="auto" w:fill="CCEEFF"/>
          </w:tcPr>
          <w:p>
            <w:pPr>
              <w:spacing w:after="0"/>
              <w:rPr>
                <w:sz w:val="18"/>
                <w:szCs w:val="18"/>
                <w:color w:val="auto"/>
              </w:rPr>
            </w:pPr>
          </w:p>
        </w:tc>
        <w:tc>
          <w:tcPr>
            <w:tcW w:w="19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1"/>
              </w:rPr>
              <w:t>12/26/40 / 12/28/43</w:t>
            </w:r>
          </w:p>
        </w:tc>
        <w:tc>
          <w:tcPr>
            <w:tcW w:w="0" w:type="dxa"/>
            <w:vAlign w:val="bottom"/>
          </w:tcPr>
          <w:p>
            <w:pPr>
              <w:spacing w:after="0"/>
              <w:rPr>
                <w:sz w:val="1"/>
                <w:szCs w:val="1"/>
                <w:color w:val="auto"/>
              </w:rPr>
            </w:pPr>
          </w:p>
        </w:tc>
      </w:tr>
      <w:tr>
        <w:trPr>
          <w:trHeight w:val="178"/>
        </w:trPr>
        <w:tc>
          <w:tcPr>
            <w:tcW w:w="6140" w:type="dxa"/>
            <w:vAlign w:val="bottom"/>
          </w:tcPr>
          <w:p>
            <w:pPr>
              <w:ind w:left="20"/>
              <w:spacing w:after="0"/>
              <w:rPr>
                <w:sz w:val="20"/>
                <w:szCs w:val="20"/>
                <w:color w:val="auto"/>
              </w:rPr>
            </w:pPr>
            <w:r>
              <w:rPr>
                <w:rFonts w:ascii="Arial" w:cs="Arial" w:eastAsia="Arial" w:hAnsi="Arial"/>
                <w:sz w:val="13"/>
                <w:szCs w:val="13"/>
                <w:color w:val="auto"/>
              </w:rPr>
              <w:t>Unsecured line of credit</w:t>
            </w:r>
          </w:p>
        </w:tc>
        <w:tc>
          <w:tcPr>
            <w:tcW w:w="26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Arial" w:cs="Arial" w:eastAsia="Arial" w:hAnsi="Arial"/>
                <w:sz w:val="13"/>
                <w:szCs w:val="13"/>
                <w:color w:val="auto"/>
              </w:rPr>
              <w:t>310,000</w:t>
            </w:r>
          </w:p>
        </w:tc>
        <w:tc>
          <w:tcPr>
            <w:tcW w:w="1840" w:type="dxa"/>
            <w:vAlign w:val="bottom"/>
            <w:gridSpan w:val="2"/>
          </w:tcPr>
          <w:p>
            <w:pPr>
              <w:jc w:val="right"/>
              <w:ind w:right="475"/>
              <w:spacing w:after="0"/>
              <w:rPr>
                <w:sz w:val="20"/>
                <w:szCs w:val="20"/>
                <w:color w:val="auto"/>
              </w:rPr>
            </w:pPr>
            <w:r>
              <w:rPr>
                <w:rFonts w:ascii="Arial" w:cs="Arial" w:eastAsia="Arial" w:hAnsi="Arial"/>
                <w:sz w:val="13"/>
                <w:szCs w:val="13"/>
                <w:color w:val="auto"/>
              </w:rPr>
              <w:t>3.92% - 4.01%</w:t>
            </w:r>
          </w:p>
        </w:tc>
        <w:tc>
          <w:tcPr>
            <w:tcW w:w="100" w:type="dxa"/>
            <w:vAlign w:val="bottom"/>
          </w:tcPr>
          <w:p>
            <w:pPr>
              <w:spacing w:after="0"/>
              <w:rPr>
                <w:sz w:val="15"/>
                <w:szCs w:val="15"/>
                <w:color w:val="auto"/>
              </w:rPr>
            </w:pPr>
          </w:p>
        </w:tc>
        <w:tc>
          <w:tcPr>
            <w:tcW w:w="1900" w:type="dxa"/>
            <w:vAlign w:val="bottom"/>
          </w:tcPr>
          <w:p>
            <w:pPr>
              <w:jc w:val="center"/>
              <w:spacing w:after="0"/>
              <w:rPr>
                <w:sz w:val="20"/>
                <w:szCs w:val="20"/>
                <w:color w:val="auto"/>
              </w:rPr>
            </w:pPr>
            <w:r>
              <w:rPr>
                <w:rFonts w:ascii="Arial" w:cs="Arial" w:eastAsia="Arial" w:hAnsi="Arial"/>
                <w:sz w:val="13"/>
                <w:szCs w:val="13"/>
                <w:color w:val="auto"/>
                <w:w w:val="92"/>
              </w:rPr>
              <w:t>6/22/23</w:t>
            </w:r>
          </w:p>
        </w:tc>
        <w:tc>
          <w:tcPr>
            <w:tcW w:w="0" w:type="dxa"/>
            <w:vAlign w:val="bottom"/>
          </w:tcPr>
          <w:p>
            <w:pPr>
              <w:spacing w:after="0"/>
              <w:rPr>
                <w:sz w:val="1"/>
                <w:szCs w:val="1"/>
                <w:color w:val="auto"/>
              </w:rPr>
            </w:pPr>
          </w:p>
        </w:tc>
      </w:tr>
      <w:tr>
        <w:trPr>
          <w:trHeight w:val="27"/>
        </w:trPr>
        <w:tc>
          <w:tcPr>
            <w:tcW w:w="61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5"/>
        </w:trPr>
        <w:tc>
          <w:tcPr>
            <w:tcW w:w="6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Unsecured debt - Junior Subordinated Hybrid Securities</w:t>
            </w:r>
          </w:p>
        </w:tc>
        <w:tc>
          <w:tcPr>
            <w:tcW w:w="260" w:type="dxa"/>
            <w:vAlign w:val="bottom"/>
            <w:tcBorders>
              <w:bottom w:val="single" w:sz="8" w:color="CCEEFF"/>
            </w:tcBorders>
            <w:shd w:val="clear" w:color="auto" w:fill="CCEEFF"/>
          </w:tcPr>
          <w:p>
            <w:pPr>
              <w:spacing w:after="0"/>
              <w:rPr>
                <w:sz w:val="16"/>
                <w:szCs w:val="16"/>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20,381</w:t>
            </w:r>
          </w:p>
        </w:tc>
        <w:tc>
          <w:tcPr>
            <w:tcW w:w="1840" w:type="dxa"/>
            <w:vAlign w:val="bottom"/>
            <w:tcBorders>
              <w:bottom w:val="single" w:sz="8" w:color="CCEEFF"/>
            </w:tcBorders>
            <w:gridSpan w:val="2"/>
            <w:shd w:val="clear" w:color="auto" w:fill="CCEEFF"/>
          </w:tcPr>
          <w:p>
            <w:pPr>
              <w:jc w:val="center"/>
              <w:spacing w:after="0"/>
              <w:rPr>
                <w:sz w:val="20"/>
                <w:szCs w:val="20"/>
                <w:color w:val="auto"/>
              </w:rPr>
            </w:pPr>
            <w:r>
              <w:rPr>
                <w:rFonts w:ascii="Arial" w:cs="Arial" w:eastAsia="Arial" w:hAnsi="Arial"/>
                <w:sz w:val="13"/>
                <w:szCs w:val="13"/>
                <w:color w:val="auto"/>
                <w:w w:val="86"/>
              </w:rPr>
              <w:t>6.17%</w:t>
            </w:r>
          </w:p>
        </w:tc>
        <w:tc>
          <w:tcPr>
            <w:tcW w:w="100" w:type="dxa"/>
            <w:vAlign w:val="bottom"/>
            <w:tcBorders>
              <w:bottom w:val="single" w:sz="8" w:color="CCEEFF"/>
            </w:tcBorders>
            <w:shd w:val="clear" w:color="auto" w:fill="CCEEFF"/>
          </w:tcPr>
          <w:p>
            <w:pPr>
              <w:spacing w:after="0"/>
              <w:rPr>
                <w:sz w:val="16"/>
                <w:szCs w:val="16"/>
                <w:color w:val="auto"/>
              </w:rPr>
            </w:pPr>
          </w:p>
        </w:tc>
        <w:tc>
          <w:tcPr>
            <w:tcW w:w="19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92"/>
              </w:rPr>
              <w:t>9/15/61</w:t>
            </w:r>
          </w:p>
        </w:tc>
        <w:tc>
          <w:tcPr>
            <w:tcW w:w="0" w:type="dxa"/>
            <w:vAlign w:val="bottom"/>
          </w:tcPr>
          <w:p>
            <w:pPr>
              <w:spacing w:after="0"/>
              <w:rPr>
                <w:sz w:val="1"/>
                <w:szCs w:val="1"/>
                <w:color w:val="auto"/>
              </w:rPr>
            </w:pPr>
          </w:p>
        </w:tc>
      </w:tr>
      <w:tr>
        <w:trPr>
          <w:trHeight w:val="178"/>
        </w:trPr>
        <w:tc>
          <w:tcPr>
            <w:tcW w:w="6140" w:type="dxa"/>
            <w:vAlign w:val="bottom"/>
          </w:tcPr>
          <w:p>
            <w:pPr>
              <w:ind w:left="20"/>
              <w:spacing w:after="0"/>
              <w:rPr>
                <w:sz w:val="20"/>
                <w:szCs w:val="20"/>
                <w:color w:val="auto"/>
              </w:rPr>
            </w:pPr>
            <w:r>
              <w:rPr>
                <w:rFonts w:ascii="Arial" w:cs="Arial" w:eastAsia="Arial" w:hAnsi="Arial"/>
                <w:sz w:val="13"/>
                <w:szCs w:val="13"/>
                <w:color w:val="auto"/>
              </w:rPr>
              <w:t>Other borrowings</w:t>
            </w:r>
          </w:p>
        </w:tc>
        <w:tc>
          <w:tcPr>
            <w:tcW w:w="26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Arial" w:cs="Arial" w:eastAsia="Arial" w:hAnsi="Arial"/>
                <w:sz w:val="13"/>
                <w:szCs w:val="13"/>
                <w:color w:val="auto"/>
              </w:rPr>
              <w:t>120,342</w:t>
            </w:r>
          </w:p>
        </w:tc>
        <w:tc>
          <w:tcPr>
            <w:tcW w:w="1840" w:type="dxa"/>
            <w:vAlign w:val="bottom"/>
            <w:gridSpan w:val="2"/>
          </w:tcPr>
          <w:p>
            <w:pPr>
              <w:jc w:val="right"/>
              <w:ind w:right="475"/>
              <w:spacing w:after="0"/>
              <w:rPr>
                <w:sz w:val="20"/>
                <w:szCs w:val="20"/>
                <w:color w:val="auto"/>
              </w:rPr>
            </w:pPr>
            <w:r>
              <w:rPr>
                <w:rFonts w:ascii="Arial" w:cs="Arial" w:eastAsia="Arial" w:hAnsi="Arial"/>
                <w:sz w:val="13"/>
                <w:szCs w:val="13"/>
                <w:color w:val="auto"/>
              </w:rPr>
              <w:t>3.05% - 5.22%</w:t>
            </w:r>
          </w:p>
        </w:tc>
        <w:tc>
          <w:tcPr>
            <w:tcW w:w="100" w:type="dxa"/>
            <w:vAlign w:val="bottom"/>
          </w:tcPr>
          <w:p>
            <w:pPr>
              <w:spacing w:after="0"/>
              <w:rPr>
                <w:sz w:val="15"/>
                <w:szCs w:val="15"/>
                <w:color w:val="auto"/>
              </w:rPr>
            </w:pPr>
          </w:p>
        </w:tc>
        <w:tc>
          <w:tcPr>
            <w:tcW w:w="1900" w:type="dxa"/>
            <w:vAlign w:val="bottom"/>
          </w:tcPr>
          <w:p>
            <w:pPr>
              <w:jc w:val="center"/>
              <w:spacing w:after="0"/>
              <w:rPr>
                <w:sz w:val="20"/>
                <w:szCs w:val="20"/>
                <w:color w:val="auto"/>
              </w:rPr>
            </w:pPr>
            <w:r>
              <w:rPr>
                <w:rFonts w:ascii="Arial" w:cs="Arial" w:eastAsia="Arial" w:hAnsi="Arial"/>
                <w:sz w:val="13"/>
                <w:szCs w:val="13"/>
                <w:color w:val="auto"/>
                <w:w w:val="91"/>
              </w:rPr>
              <w:t>1/3/19 - 12/15/45</w:t>
            </w:r>
          </w:p>
        </w:tc>
        <w:tc>
          <w:tcPr>
            <w:tcW w:w="0" w:type="dxa"/>
            <w:vAlign w:val="bottom"/>
          </w:tcPr>
          <w:p>
            <w:pPr>
              <w:spacing w:after="0"/>
              <w:rPr>
                <w:sz w:val="1"/>
                <w:szCs w:val="1"/>
                <w:color w:val="auto"/>
              </w:rPr>
            </w:pPr>
          </w:p>
        </w:tc>
      </w:tr>
      <w:tr>
        <w:trPr>
          <w:trHeight w:val="27"/>
        </w:trPr>
        <w:tc>
          <w:tcPr>
            <w:tcW w:w="61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74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90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176"/>
        </w:trPr>
        <w:tc>
          <w:tcPr>
            <w:tcW w:w="6140" w:type="dxa"/>
            <w:vAlign w:val="bottom"/>
            <w:tcBorders>
              <w:bottom w:val="single" w:sz="8" w:color="CCEEFF"/>
            </w:tcBorders>
            <w:shd w:val="clear" w:color="auto" w:fill="CCEEFF"/>
          </w:tcPr>
          <w:p>
            <w:pPr>
              <w:spacing w:after="0"/>
              <w:rPr>
                <w:sz w:val="15"/>
                <w:szCs w:val="15"/>
                <w:color w:val="auto"/>
              </w:rPr>
            </w:pPr>
          </w:p>
        </w:tc>
        <w:tc>
          <w:tcPr>
            <w:tcW w:w="260" w:type="dxa"/>
            <w:vAlign w:val="bottom"/>
            <w:tcBorders>
              <w:bottom w:val="single" w:sz="8" w:color="CCEEFF"/>
            </w:tcBorders>
            <w:shd w:val="clear" w:color="auto" w:fill="CCEEFF"/>
          </w:tcPr>
          <w:p>
            <w:pPr>
              <w:spacing w:after="0"/>
              <w:rPr>
                <w:sz w:val="15"/>
                <w:szCs w:val="15"/>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22,537,099</w:t>
            </w:r>
          </w:p>
        </w:tc>
        <w:tc>
          <w:tcPr>
            <w:tcW w:w="100" w:type="dxa"/>
            <w:vAlign w:val="bottom"/>
            <w:tcBorders>
              <w:bottom w:val="single" w:sz="8" w:color="CCEEFF"/>
            </w:tcBorders>
            <w:shd w:val="clear" w:color="auto" w:fill="CCEEFF"/>
          </w:tcPr>
          <w:p>
            <w:pPr>
              <w:spacing w:after="0"/>
              <w:rPr>
                <w:sz w:val="15"/>
                <w:szCs w:val="15"/>
                <w:color w:val="auto"/>
              </w:rPr>
            </w:pPr>
          </w:p>
        </w:tc>
        <w:tc>
          <w:tcPr>
            <w:tcW w:w="174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900" w:type="dxa"/>
            <w:vAlign w:val="bottom"/>
            <w:tcBorders>
              <w:bottom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6140" w:type="dxa"/>
            <w:vAlign w:val="bottom"/>
          </w:tcPr>
          <w:p>
            <w:pPr>
              <w:ind w:left="20"/>
              <w:spacing w:after="0"/>
              <w:rPr>
                <w:sz w:val="20"/>
                <w:szCs w:val="20"/>
                <w:color w:val="auto"/>
              </w:rPr>
            </w:pPr>
            <w:r>
              <w:rPr>
                <w:rFonts w:ascii="Arial" w:cs="Arial" w:eastAsia="Arial" w:hAnsi="Arial"/>
                <w:sz w:val="13"/>
                <w:szCs w:val="13"/>
                <w:color w:val="auto"/>
              </w:rPr>
              <w:t>Discount on bonds and notes payable and debt issuance costs</w:t>
            </w:r>
          </w:p>
        </w:tc>
        <w:tc>
          <w:tcPr>
            <w:tcW w:w="26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Arial" w:cs="Arial" w:eastAsia="Arial" w:hAnsi="Arial"/>
                <w:sz w:val="13"/>
                <w:szCs w:val="13"/>
                <w:color w:val="auto"/>
              </w:rPr>
              <w:t>(318,359)</w:t>
            </w:r>
          </w:p>
        </w:tc>
        <w:tc>
          <w:tcPr>
            <w:tcW w:w="100" w:type="dxa"/>
            <w:vAlign w:val="bottom"/>
          </w:tcPr>
          <w:p>
            <w:pPr>
              <w:spacing w:after="0"/>
              <w:rPr>
                <w:sz w:val="15"/>
                <w:szCs w:val="15"/>
                <w:color w:val="auto"/>
              </w:rPr>
            </w:pPr>
          </w:p>
        </w:tc>
        <w:tc>
          <w:tcPr>
            <w:tcW w:w="17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9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7"/>
        </w:trPr>
        <w:tc>
          <w:tcPr>
            <w:tcW w:w="61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74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90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18"/>
        </w:trPr>
        <w:tc>
          <w:tcPr>
            <w:tcW w:w="6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Total</w:t>
            </w:r>
          </w:p>
        </w:tc>
        <w:tc>
          <w:tcPr>
            <w:tcW w:w="260" w:type="dxa"/>
            <w:vAlign w:val="bottom"/>
            <w:tcBorders>
              <w:bottom w:val="single" w:sz="8" w:color="auto"/>
            </w:tcBorders>
            <w:shd w:val="clear" w:color="auto" w:fill="CCEEFF"/>
          </w:tcPr>
          <w:p>
            <w:pPr>
              <w:jc w:val="right"/>
              <w:ind w:right="115"/>
              <w:spacing w:after="0"/>
              <w:rPr>
                <w:sz w:val="20"/>
                <w:szCs w:val="20"/>
                <w:color w:val="auto"/>
              </w:rPr>
            </w:pPr>
            <w:r>
              <w:rPr>
                <w:rFonts w:ascii="Arial" w:cs="Arial" w:eastAsia="Arial" w:hAnsi="Arial"/>
                <w:sz w:val="13"/>
                <w:szCs w:val="13"/>
                <w:color w:val="auto"/>
                <w:w w:val="82"/>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22,218,740</w:t>
            </w:r>
          </w:p>
        </w:tc>
        <w:tc>
          <w:tcPr>
            <w:tcW w:w="100" w:type="dxa"/>
            <w:vAlign w:val="bottom"/>
            <w:tcBorders>
              <w:bottom w:val="single" w:sz="8" w:color="CCEEFF"/>
            </w:tcBorders>
            <w:shd w:val="clear" w:color="auto" w:fill="CCEEFF"/>
          </w:tcPr>
          <w:p>
            <w:pPr>
              <w:spacing w:after="0"/>
              <w:rPr>
                <w:sz w:val="18"/>
                <w:szCs w:val="18"/>
                <w:color w:val="auto"/>
              </w:rPr>
            </w:pPr>
          </w:p>
        </w:tc>
        <w:tc>
          <w:tcPr>
            <w:tcW w:w="174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190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14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7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9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jc w:val="center"/>
        <w:ind w:right="-139"/>
        <w:spacing w:after="0"/>
        <w:rPr>
          <w:sz w:val="20"/>
          <w:szCs w:val="20"/>
          <w:color w:val="auto"/>
        </w:rPr>
      </w:pPr>
      <w:r>
        <w:rPr>
          <w:rFonts w:ascii="Arial" w:cs="Arial" w:eastAsia="Arial" w:hAnsi="Arial"/>
          <w:sz w:val="14"/>
          <w:szCs w:val="14"/>
          <w:color w:val="auto"/>
        </w:rPr>
        <w:t>13</w:t>
      </w:r>
    </w:p>
    <w:p>
      <w:pPr>
        <w:sectPr>
          <w:pgSz w:w="11900" w:h="16838" w:orient="portrait"/>
          <w:cols w:equalWidth="0" w:num="1">
            <w:col w:w="11320"/>
          </w:cols>
          <w:pgMar w:left="220" w:top="739" w:right="359" w:bottom="1440" w:gutter="0" w:footer="0" w:header="0"/>
        </w:sectPr>
      </w:pPr>
    </w:p>
    <w:bookmarkStart w:id="14" w:name="page15"/>
    <w:bookmarkEnd w:id="14"/>
    <w:p>
      <w:pPr>
        <w:spacing w:after="0"/>
        <w:rPr>
          <w:sz w:val="20"/>
          <w:szCs w:val="20"/>
          <w:color w:val="auto"/>
        </w:rPr>
      </w:pPr>
      <w:r>
        <w:rPr>
          <w:rFonts w:ascii="Arial" w:cs="Arial" w:eastAsia="Arial" w:hAnsi="Arial"/>
          <w:sz w:val="14"/>
          <w:szCs w:val="14"/>
          <w:b w:val="1"/>
          <w:bCs w:val="1"/>
          <w:i w:val="1"/>
          <w:iCs w:val="1"/>
          <w:color w:val="auto"/>
        </w:rPr>
        <w:t>FFELP Warehouse Facilities</w:t>
      </w:r>
    </w:p>
    <w:p>
      <w:pPr>
        <w:spacing w:after="0" w:line="141" w:lineRule="exact"/>
        <w:rPr>
          <w:sz w:val="20"/>
          <w:szCs w:val="20"/>
          <w:color w:val="auto"/>
        </w:rPr>
      </w:pPr>
    </w:p>
    <w:p>
      <w:pPr>
        <w:jc w:val="both"/>
        <w:spacing w:after="0" w:line="288" w:lineRule="auto"/>
        <w:rPr>
          <w:sz w:val="20"/>
          <w:szCs w:val="20"/>
          <w:color w:val="auto"/>
        </w:rPr>
      </w:pPr>
      <w:r>
        <w:rPr>
          <w:rFonts w:ascii="Arial" w:cs="Arial" w:eastAsia="Arial" w:hAnsi="Arial"/>
          <w:sz w:val="14"/>
          <w:szCs w:val="14"/>
          <w:color w:val="auto"/>
        </w:rPr>
        <w:t>The Company funds the majority of its Federal Family Education Loan Program (the "FFEL Program" or "FFELP") loan acquisitions using its FFELP warehouse facilities. Student loan warehousing allows the Company to buy and manage student loans prior to transferring them into more permanent financing arrangements.</w:t>
      </w:r>
    </w:p>
    <w:p>
      <w:pPr>
        <w:spacing w:after="0" w:line="88" w:lineRule="exact"/>
        <w:rPr>
          <w:sz w:val="20"/>
          <w:szCs w:val="20"/>
          <w:color w:val="auto"/>
        </w:rPr>
      </w:pPr>
    </w:p>
    <w:p>
      <w:pPr>
        <w:ind w:left="40"/>
        <w:spacing w:after="0"/>
        <w:rPr>
          <w:sz w:val="20"/>
          <w:szCs w:val="20"/>
          <w:color w:val="auto"/>
        </w:rPr>
      </w:pPr>
      <w:r>
        <w:rPr>
          <w:rFonts w:ascii="Arial" w:cs="Arial" w:eastAsia="Arial" w:hAnsi="Arial"/>
          <w:sz w:val="14"/>
          <w:szCs w:val="14"/>
          <w:color w:val="auto"/>
        </w:rPr>
        <w:t>As of March 31, 2019, the Company had two FFELP warehouse facilities as summarized below.</w:t>
      </w:r>
    </w:p>
    <w:p>
      <w:pPr>
        <w:spacing w:after="0" w:line="98" w:lineRule="exact"/>
        <w:rPr>
          <w:sz w:val="20"/>
          <w:szCs w:val="20"/>
          <w:color w:val="auto"/>
        </w:rPr>
      </w:pPr>
    </w:p>
    <w:tbl>
      <w:tblPr>
        <w:tblLayout w:type="fixed"/>
        <w:tblInd w:w="300" w:type="dxa"/>
        <w:tblCellMar>
          <w:top w:w="0" w:type="dxa"/>
          <w:left w:w="0" w:type="dxa"/>
          <w:bottom w:w="0" w:type="dxa"/>
          <w:right w:w="0" w:type="dxa"/>
        </w:tblCellMar>
      </w:tblPr>
      <w:tr>
        <w:trPr>
          <w:trHeight w:val="167"/>
        </w:trPr>
        <w:tc>
          <w:tcPr>
            <w:tcW w:w="4580" w:type="dxa"/>
            <w:vAlign w:val="bottom"/>
          </w:tcPr>
          <w:p>
            <w:pPr>
              <w:spacing w:after="0"/>
              <w:rPr>
                <w:sz w:val="14"/>
                <w:szCs w:val="14"/>
                <w:color w:val="auto"/>
              </w:rPr>
            </w:pPr>
          </w:p>
        </w:tc>
        <w:tc>
          <w:tcPr>
            <w:tcW w:w="1500" w:type="dxa"/>
            <w:vAlign w:val="bottom"/>
          </w:tcPr>
          <w:p>
            <w:pPr>
              <w:jc w:val="right"/>
              <w:ind w:right="35"/>
              <w:spacing w:after="0"/>
              <w:rPr>
                <w:sz w:val="20"/>
                <w:szCs w:val="20"/>
                <w:color w:val="auto"/>
              </w:rPr>
            </w:pPr>
            <w:r>
              <w:rPr>
                <w:rFonts w:ascii="Arial" w:cs="Arial" w:eastAsia="Arial" w:hAnsi="Arial"/>
                <w:sz w:val="13"/>
                <w:szCs w:val="13"/>
                <w:b w:val="1"/>
                <w:bCs w:val="1"/>
                <w:color w:val="auto"/>
              </w:rPr>
              <w:t>NFSLW-I (a)</w:t>
            </w:r>
          </w:p>
        </w:tc>
        <w:tc>
          <w:tcPr>
            <w:tcW w:w="5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40" w:type="dxa"/>
            <w:vAlign w:val="bottom"/>
          </w:tcPr>
          <w:p>
            <w:pPr>
              <w:ind w:left="740"/>
              <w:spacing w:after="0"/>
              <w:rPr>
                <w:sz w:val="20"/>
                <w:szCs w:val="20"/>
                <w:color w:val="auto"/>
              </w:rPr>
            </w:pPr>
            <w:r>
              <w:rPr>
                <w:rFonts w:ascii="Arial" w:cs="Arial" w:eastAsia="Arial" w:hAnsi="Arial"/>
                <w:sz w:val="13"/>
                <w:szCs w:val="13"/>
                <w:b w:val="1"/>
                <w:bCs w:val="1"/>
                <w:color w:val="auto"/>
              </w:rPr>
              <w:t>NHELP-II</w:t>
            </w:r>
          </w:p>
        </w:tc>
        <w:tc>
          <w:tcPr>
            <w:tcW w:w="7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960" w:type="dxa"/>
            <w:vAlign w:val="bottom"/>
          </w:tcPr>
          <w:p>
            <w:pPr>
              <w:jc w:val="right"/>
              <w:ind w:right="775"/>
              <w:spacing w:after="0"/>
              <w:rPr>
                <w:sz w:val="20"/>
                <w:szCs w:val="20"/>
                <w:color w:val="auto"/>
              </w:rPr>
            </w:pPr>
            <w:r>
              <w:rPr>
                <w:rFonts w:ascii="Arial" w:cs="Arial" w:eastAsia="Arial" w:hAnsi="Arial"/>
                <w:sz w:val="13"/>
                <w:szCs w:val="13"/>
                <w:b w:val="1"/>
                <w:bCs w:val="1"/>
                <w:color w:val="auto"/>
              </w:rPr>
              <w:t>Total</w:t>
            </w:r>
          </w:p>
        </w:tc>
      </w:tr>
      <w:tr>
        <w:trPr>
          <w:trHeight w:val="27"/>
        </w:trPr>
        <w:tc>
          <w:tcPr>
            <w:tcW w:w="4580" w:type="dxa"/>
            <w:vAlign w:val="bottom"/>
            <w:tcBorders>
              <w:bottom w:val="single" w:sz="8" w:color="CCEEFF"/>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960" w:type="dxa"/>
            <w:vAlign w:val="bottom"/>
            <w:tcBorders>
              <w:bottom w:val="single" w:sz="8" w:color="auto"/>
            </w:tcBorders>
          </w:tcPr>
          <w:p>
            <w:pPr>
              <w:spacing w:after="0"/>
              <w:rPr>
                <w:sz w:val="2"/>
                <w:szCs w:val="2"/>
                <w:color w:val="auto"/>
              </w:rPr>
            </w:pPr>
          </w:p>
        </w:tc>
      </w:tr>
      <w:tr>
        <w:trPr>
          <w:trHeight w:val="196"/>
        </w:trPr>
        <w:tc>
          <w:tcPr>
            <w:tcW w:w="4580" w:type="dxa"/>
            <w:vAlign w:val="bottom"/>
            <w:shd w:val="clear" w:color="auto" w:fill="CCEEFF"/>
          </w:tcPr>
          <w:p>
            <w:pPr>
              <w:ind w:left="20"/>
              <w:spacing w:after="0"/>
              <w:rPr>
                <w:sz w:val="20"/>
                <w:szCs w:val="20"/>
                <w:color w:val="auto"/>
              </w:rPr>
            </w:pPr>
            <w:r>
              <w:rPr>
                <w:rFonts w:ascii="Arial" w:cs="Arial" w:eastAsia="Arial" w:hAnsi="Arial"/>
                <w:sz w:val="13"/>
                <w:szCs w:val="13"/>
                <w:color w:val="auto"/>
              </w:rPr>
              <w:t>Maximum financing amount</w:t>
            </w:r>
          </w:p>
        </w:tc>
        <w:tc>
          <w:tcPr>
            <w:tcW w:w="1500" w:type="dxa"/>
            <w:vAlign w:val="bottom"/>
            <w:shd w:val="clear" w:color="auto" w:fill="CCEEFF"/>
          </w:tcPr>
          <w:p>
            <w:pPr>
              <w:jc w:val="right"/>
              <w:ind w:right="1355"/>
              <w:spacing w:after="0"/>
              <w:rPr>
                <w:sz w:val="20"/>
                <w:szCs w:val="20"/>
                <w:color w:val="auto"/>
              </w:rPr>
            </w:pPr>
            <w:r>
              <w:rPr>
                <w:rFonts w:ascii="Arial" w:cs="Arial" w:eastAsia="Arial" w:hAnsi="Arial"/>
                <w:sz w:val="13"/>
                <w:szCs w:val="13"/>
                <w:color w:val="auto"/>
                <w:w w:val="82"/>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500,000</w:t>
            </w:r>
          </w:p>
        </w:tc>
        <w:tc>
          <w:tcPr>
            <w:tcW w:w="100" w:type="dxa"/>
            <w:vAlign w:val="bottom"/>
            <w:shd w:val="clear" w:color="auto" w:fill="CCEEFF"/>
          </w:tcPr>
          <w:p>
            <w:pPr>
              <w:spacing w:after="0"/>
              <w:rPr>
                <w:sz w:val="17"/>
                <w:szCs w:val="17"/>
                <w:color w:val="auto"/>
              </w:rPr>
            </w:pPr>
          </w:p>
        </w:tc>
        <w:tc>
          <w:tcPr>
            <w:tcW w:w="1340" w:type="dxa"/>
            <w:vAlign w:val="bottom"/>
            <w:shd w:val="clear" w:color="auto" w:fill="CCEEFF"/>
          </w:tcPr>
          <w:p>
            <w:pPr>
              <w:spacing w:after="0"/>
              <w:rPr>
                <w:sz w:val="17"/>
                <w:szCs w:val="17"/>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500,000</w:t>
            </w:r>
          </w:p>
        </w:tc>
        <w:tc>
          <w:tcPr>
            <w:tcW w:w="80" w:type="dxa"/>
            <w:vAlign w:val="bottom"/>
            <w:shd w:val="clear" w:color="auto" w:fill="CCEEFF"/>
          </w:tcPr>
          <w:p>
            <w:pPr>
              <w:spacing w:after="0"/>
              <w:rPr>
                <w:sz w:val="17"/>
                <w:szCs w:val="17"/>
                <w:color w:val="auto"/>
              </w:rPr>
            </w:pPr>
          </w:p>
        </w:tc>
        <w:tc>
          <w:tcPr>
            <w:tcW w:w="19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1,000,000</w:t>
            </w:r>
          </w:p>
        </w:tc>
      </w:tr>
      <w:tr>
        <w:trPr>
          <w:trHeight w:val="178"/>
        </w:trPr>
        <w:tc>
          <w:tcPr>
            <w:tcW w:w="4580" w:type="dxa"/>
            <w:vAlign w:val="bottom"/>
          </w:tcPr>
          <w:p>
            <w:pPr>
              <w:ind w:left="20"/>
              <w:spacing w:after="0"/>
              <w:rPr>
                <w:sz w:val="20"/>
                <w:szCs w:val="20"/>
                <w:color w:val="auto"/>
              </w:rPr>
            </w:pPr>
            <w:r>
              <w:rPr>
                <w:rFonts w:ascii="Arial" w:cs="Arial" w:eastAsia="Arial" w:hAnsi="Arial"/>
                <w:sz w:val="13"/>
                <w:szCs w:val="13"/>
                <w:color w:val="auto"/>
              </w:rPr>
              <w:t>Amount outstanding</w:t>
            </w:r>
          </w:p>
        </w:tc>
        <w:tc>
          <w:tcPr>
            <w:tcW w:w="1500" w:type="dxa"/>
            <w:vAlign w:val="bottom"/>
          </w:tcPr>
          <w:p>
            <w:pPr>
              <w:spacing w:after="0"/>
              <w:rPr>
                <w:sz w:val="15"/>
                <w:szCs w:val="15"/>
                <w:color w:val="auto"/>
              </w:rPr>
            </w:pPr>
          </w:p>
        </w:tc>
        <w:tc>
          <w:tcPr>
            <w:tcW w:w="560" w:type="dxa"/>
            <w:vAlign w:val="bottom"/>
          </w:tcPr>
          <w:p>
            <w:pPr>
              <w:jc w:val="right"/>
              <w:spacing w:after="0"/>
              <w:rPr>
                <w:sz w:val="20"/>
                <w:szCs w:val="20"/>
                <w:color w:val="auto"/>
              </w:rPr>
            </w:pPr>
            <w:r>
              <w:rPr>
                <w:rFonts w:ascii="Arial" w:cs="Arial" w:eastAsia="Arial" w:hAnsi="Arial"/>
                <w:sz w:val="13"/>
                <w:szCs w:val="13"/>
                <w:color w:val="auto"/>
              </w:rPr>
              <w:t>447,564</w:t>
            </w:r>
          </w:p>
        </w:tc>
        <w:tc>
          <w:tcPr>
            <w:tcW w:w="10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740" w:type="dxa"/>
            <w:vAlign w:val="bottom"/>
          </w:tcPr>
          <w:p>
            <w:pPr>
              <w:jc w:val="right"/>
              <w:spacing w:after="0"/>
              <w:rPr>
                <w:sz w:val="20"/>
                <w:szCs w:val="20"/>
                <w:color w:val="auto"/>
              </w:rPr>
            </w:pPr>
            <w:r>
              <w:rPr>
                <w:rFonts w:ascii="Arial" w:cs="Arial" w:eastAsia="Arial" w:hAnsi="Arial"/>
                <w:sz w:val="13"/>
                <w:szCs w:val="13"/>
                <w:color w:val="auto"/>
              </w:rPr>
              <w:t>345,094</w:t>
            </w:r>
          </w:p>
        </w:tc>
        <w:tc>
          <w:tcPr>
            <w:tcW w:w="80" w:type="dxa"/>
            <w:vAlign w:val="bottom"/>
          </w:tcPr>
          <w:p>
            <w:pPr>
              <w:spacing w:after="0"/>
              <w:rPr>
                <w:sz w:val="15"/>
                <w:szCs w:val="15"/>
                <w:color w:val="auto"/>
              </w:rPr>
            </w:pPr>
          </w:p>
        </w:tc>
        <w:tc>
          <w:tcPr>
            <w:tcW w:w="1960" w:type="dxa"/>
            <w:vAlign w:val="bottom"/>
          </w:tcPr>
          <w:p>
            <w:pPr>
              <w:jc w:val="right"/>
              <w:spacing w:after="0"/>
              <w:rPr>
                <w:sz w:val="20"/>
                <w:szCs w:val="20"/>
                <w:color w:val="auto"/>
              </w:rPr>
            </w:pPr>
            <w:r>
              <w:rPr>
                <w:rFonts w:ascii="Arial" w:cs="Arial" w:eastAsia="Arial" w:hAnsi="Arial"/>
                <w:sz w:val="13"/>
                <w:szCs w:val="13"/>
                <w:color w:val="auto"/>
              </w:rPr>
              <w:t>792,658</w:t>
            </w:r>
          </w:p>
        </w:tc>
      </w:tr>
      <w:tr>
        <w:trPr>
          <w:trHeight w:val="27"/>
        </w:trPr>
        <w:tc>
          <w:tcPr>
            <w:tcW w:w="4580" w:type="dxa"/>
            <w:vAlign w:val="bottom"/>
            <w:tcBorders>
              <w:bottom w:val="single" w:sz="8" w:color="CCEEFF"/>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960" w:type="dxa"/>
            <w:vAlign w:val="bottom"/>
            <w:tcBorders>
              <w:bottom w:val="single" w:sz="8" w:color="auto"/>
            </w:tcBorders>
          </w:tcPr>
          <w:p>
            <w:pPr>
              <w:spacing w:after="0"/>
              <w:rPr>
                <w:sz w:val="2"/>
                <w:szCs w:val="2"/>
                <w:color w:val="auto"/>
              </w:rPr>
            </w:pPr>
          </w:p>
        </w:tc>
      </w:tr>
      <w:tr>
        <w:trPr>
          <w:trHeight w:val="218"/>
        </w:trPr>
        <w:tc>
          <w:tcPr>
            <w:tcW w:w="45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Amount available</w:t>
            </w:r>
          </w:p>
        </w:tc>
        <w:tc>
          <w:tcPr>
            <w:tcW w:w="1500" w:type="dxa"/>
            <w:vAlign w:val="bottom"/>
            <w:tcBorders>
              <w:bottom w:val="single" w:sz="8" w:color="auto"/>
            </w:tcBorders>
            <w:shd w:val="clear" w:color="auto" w:fill="CCEEFF"/>
          </w:tcPr>
          <w:p>
            <w:pPr>
              <w:jc w:val="right"/>
              <w:ind w:right="1355"/>
              <w:spacing w:after="0"/>
              <w:rPr>
                <w:sz w:val="20"/>
                <w:szCs w:val="20"/>
                <w:color w:val="auto"/>
              </w:rPr>
            </w:pPr>
            <w:r>
              <w:rPr>
                <w:rFonts w:ascii="Arial" w:cs="Arial" w:eastAsia="Arial" w:hAnsi="Arial"/>
                <w:sz w:val="13"/>
                <w:szCs w:val="13"/>
                <w:color w:val="auto"/>
                <w:w w:val="82"/>
              </w:rPr>
              <w:t>$</w:t>
            </w: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52,436</w:t>
            </w:r>
          </w:p>
        </w:tc>
        <w:tc>
          <w:tcPr>
            <w:tcW w:w="100" w:type="dxa"/>
            <w:vAlign w:val="bottom"/>
            <w:tcBorders>
              <w:bottom w:val="single" w:sz="8" w:color="CCEEFF"/>
            </w:tcBorders>
            <w:shd w:val="clear" w:color="auto" w:fill="CCEEFF"/>
          </w:tcPr>
          <w:p>
            <w:pPr>
              <w:spacing w:after="0"/>
              <w:rPr>
                <w:sz w:val="18"/>
                <w:szCs w:val="18"/>
                <w:color w:val="auto"/>
              </w:rPr>
            </w:pPr>
          </w:p>
        </w:tc>
        <w:tc>
          <w:tcPr>
            <w:tcW w:w="134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154,906</w:t>
            </w:r>
          </w:p>
        </w:tc>
        <w:tc>
          <w:tcPr>
            <w:tcW w:w="80" w:type="dxa"/>
            <w:vAlign w:val="bottom"/>
            <w:tcBorders>
              <w:bottom w:val="single" w:sz="8" w:color="CCEEFF"/>
            </w:tcBorders>
            <w:shd w:val="clear" w:color="auto" w:fill="CCEEFF"/>
          </w:tcPr>
          <w:p>
            <w:pPr>
              <w:spacing w:after="0"/>
              <w:rPr>
                <w:sz w:val="18"/>
                <w:szCs w:val="18"/>
                <w:color w:val="auto"/>
              </w:rPr>
            </w:pPr>
          </w:p>
        </w:tc>
        <w:tc>
          <w:tcPr>
            <w:tcW w:w="1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207,342</w:t>
            </w:r>
          </w:p>
        </w:tc>
      </w:tr>
      <w:tr>
        <w:trPr>
          <w:trHeight w:val="20"/>
        </w:trPr>
        <w:tc>
          <w:tcPr>
            <w:tcW w:w="4580" w:type="dxa"/>
            <w:vAlign w:val="bottom"/>
            <w:tcBorders>
              <w:top w:val="single" w:sz="8" w:color="CCEEFF"/>
            </w:tcBorders>
          </w:tcPr>
          <w:p>
            <w:pPr>
              <w:spacing w:after="0" w:line="20" w:lineRule="exact"/>
              <w:rPr>
                <w:sz w:val="1"/>
                <w:szCs w:val="1"/>
                <w:color w:val="auto"/>
              </w:rPr>
            </w:pPr>
          </w:p>
        </w:tc>
        <w:tc>
          <w:tcPr>
            <w:tcW w:w="2060" w:type="dxa"/>
            <w:vAlign w:val="bottom"/>
            <w:tcBorders>
              <w:top w:val="single" w:sz="8" w:color="CCEEFF"/>
              <w:bottom w:val="single" w:sz="8" w:color="auto"/>
            </w:tcBorders>
            <w:gridSpan w:val="2"/>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34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960" w:type="dxa"/>
            <w:vAlign w:val="bottom"/>
            <w:tcBorders>
              <w:top w:val="single" w:sz="8" w:color="CCEEFF"/>
              <w:bottom w:val="single" w:sz="8" w:color="auto"/>
            </w:tcBorders>
          </w:tcPr>
          <w:p>
            <w:pPr>
              <w:spacing w:after="0" w:line="20" w:lineRule="exact"/>
              <w:rPr>
                <w:sz w:val="1"/>
                <w:szCs w:val="1"/>
                <w:color w:val="auto"/>
              </w:rPr>
            </w:pPr>
          </w:p>
        </w:tc>
      </w:tr>
      <w:tr>
        <w:trPr>
          <w:trHeight w:val="168"/>
        </w:trPr>
        <w:tc>
          <w:tcPr>
            <w:tcW w:w="4580" w:type="dxa"/>
            <w:vAlign w:val="bottom"/>
          </w:tcPr>
          <w:p>
            <w:pPr>
              <w:ind w:left="20"/>
              <w:spacing w:after="0"/>
              <w:rPr>
                <w:sz w:val="20"/>
                <w:szCs w:val="20"/>
                <w:color w:val="auto"/>
              </w:rPr>
            </w:pPr>
            <w:r>
              <w:rPr>
                <w:rFonts w:ascii="Arial" w:cs="Arial" w:eastAsia="Arial" w:hAnsi="Arial"/>
                <w:sz w:val="13"/>
                <w:szCs w:val="13"/>
                <w:color w:val="auto"/>
              </w:rPr>
              <w:t>Expiration of liquidity provisions</w:t>
            </w:r>
          </w:p>
        </w:tc>
        <w:tc>
          <w:tcPr>
            <w:tcW w:w="3500" w:type="dxa"/>
            <w:vAlign w:val="bottom"/>
            <w:gridSpan w:val="4"/>
          </w:tcPr>
          <w:p>
            <w:pPr>
              <w:ind w:left="1340"/>
              <w:spacing w:after="0"/>
              <w:rPr>
                <w:sz w:val="20"/>
                <w:szCs w:val="20"/>
                <w:color w:val="auto"/>
              </w:rPr>
            </w:pPr>
            <w:r>
              <w:rPr>
                <w:rFonts w:ascii="Arial" w:cs="Arial" w:eastAsia="Arial" w:hAnsi="Arial"/>
                <w:sz w:val="13"/>
                <w:szCs w:val="13"/>
                <w:color w:val="auto"/>
              </w:rPr>
              <w:t>May 20, 2019</w:t>
            </w:r>
          </w:p>
        </w:tc>
        <w:tc>
          <w:tcPr>
            <w:tcW w:w="820" w:type="dxa"/>
            <w:vAlign w:val="bottom"/>
            <w:gridSpan w:val="2"/>
          </w:tcPr>
          <w:p>
            <w:pPr>
              <w:spacing w:after="0"/>
              <w:rPr>
                <w:sz w:val="20"/>
                <w:szCs w:val="20"/>
                <w:color w:val="auto"/>
              </w:rPr>
            </w:pPr>
            <w:r>
              <w:rPr>
                <w:rFonts w:ascii="Arial" w:cs="Arial" w:eastAsia="Arial" w:hAnsi="Arial"/>
                <w:sz w:val="13"/>
                <w:szCs w:val="13"/>
                <w:color w:val="auto"/>
              </w:rPr>
              <w:t>May 31, 2019</w:t>
            </w:r>
          </w:p>
        </w:tc>
        <w:tc>
          <w:tcPr>
            <w:tcW w:w="1960" w:type="dxa"/>
            <w:vAlign w:val="bottom"/>
          </w:tcPr>
          <w:p>
            <w:pPr>
              <w:spacing w:after="0"/>
              <w:rPr>
                <w:sz w:val="14"/>
                <w:szCs w:val="14"/>
                <w:color w:val="auto"/>
              </w:rPr>
            </w:pPr>
          </w:p>
        </w:tc>
      </w:tr>
      <w:tr>
        <w:trPr>
          <w:trHeight w:val="187"/>
        </w:trPr>
        <w:tc>
          <w:tcPr>
            <w:tcW w:w="45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Final maturity date</w:t>
            </w:r>
          </w:p>
        </w:tc>
        <w:tc>
          <w:tcPr>
            <w:tcW w:w="3500" w:type="dxa"/>
            <w:vAlign w:val="bottom"/>
            <w:tcBorders>
              <w:bottom w:val="single" w:sz="8" w:color="CCEEFF"/>
            </w:tcBorders>
            <w:gridSpan w:val="4"/>
            <w:shd w:val="clear" w:color="auto" w:fill="CCEEFF"/>
          </w:tcPr>
          <w:p>
            <w:pPr>
              <w:ind w:left="1340"/>
              <w:spacing w:after="0"/>
              <w:rPr>
                <w:sz w:val="20"/>
                <w:szCs w:val="20"/>
                <w:color w:val="auto"/>
              </w:rPr>
            </w:pPr>
            <w:r>
              <w:rPr>
                <w:rFonts w:ascii="Arial" w:cs="Arial" w:eastAsia="Arial" w:hAnsi="Arial"/>
                <w:sz w:val="13"/>
                <w:szCs w:val="13"/>
                <w:color w:val="auto"/>
              </w:rPr>
              <w:t>May 20, 2020</w:t>
            </w:r>
          </w:p>
        </w:tc>
        <w:tc>
          <w:tcPr>
            <w:tcW w:w="82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3"/>
                <w:szCs w:val="13"/>
                <w:color w:val="auto"/>
              </w:rPr>
              <w:t>May 31, 2021</w:t>
            </w:r>
          </w:p>
        </w:tc>
        <w:tc>
          <w:tcPr>
            <w:tcW w:w="1960" w:type="dxa"/>
            <w:vAlign w:val="bottom"/>
            <w:tcBorders>
              <w:bottom w:val="single" w:sz="8" w:color="CCEEFF"/>
            </w:tcBorders>
            <w:shd w:val="clear" w:color="auto" w:fill="CCEEFF"/>
          </w:tcPr>
          <w:p>
            <w:pPr>
              <w:spacing w:after="0"/>
              <w:rPr>
                <w:sz w:val="16"/>
                <w:szCs w:val="16"/>
                <w:color w:val="auto"/>
              </w:rPr>
            </w:pPr>
          </w:p>
        </w:tc>
      </w:tr>
      <w:tr>
        <w:trPr>
          <w:trHeight w:val="178"/>
        </w:trPr>
        <w:tc>
          <w:tcPr>
            <w:tcW w:w="4580" w:type="dxa"/>
            <w:vAlign w:val="bottom"/>
          </w:tcPr>
          <w:p>
            <w:pPr>
              <w:ind w:left="20"/>
              <w:spacing w:after="0"/>
              <w:rPr>
                <w:sz w:val="20"/>
                <w:szCs w:val="20"/>
                <w:color w:val="auto"/>
              </w:rPr>
            </w:pPr>
            <w:r>
              <w:rPr>
                <w:rFonts w:ascii="Arial" w:cs="Arial" w:eastAsia="Arial" w:hAnsi="Arial"/>
                <w:sz w:val="13"/>
                <w:szCs w:val="13"/>
                <w:color w:val="auto"/>
              </w:rPr>
              <w:t>Advanced as equity support</w:t>
            </w:r>
          </w:p>
        </w:tc>
        <w:tc>
          <w:tcPr>
            <w:tcW w:w="1500" w:type="dxa"/>
            <w:vAlign w:val="bottom"/>
          </w:tcPr>
          <w:p>
            <w:pPr>
              <w:jc w:val="right"/>
              <w:ind w:right="1355"/>
              <w:spacing w:after="0"/>
              <w:rPr>
                <w:sz w:val="20"/>
                <w:szCs w:val="20"/>
                <w:color w:val="auto"/>
              </w:rPr>
            </w:pPr>
            <w:r>
              <w:rPr>
                <w:rFonts w:ascii="Arial" w:cs="Arial" w:eastAsia="Arial" w:hAnsi="Arial"/>
                <w:sz w:val="13"/>
                <w:szCs w:val="13"/>
                <w:color w:val="auto"/>
                <w:w w:val="82"/>
              </w:rPr>
              <w:t>$</w:t>
            </w:r>
          </w:p>
        </w:tc>
        <w:tc>
          <w:tcPr>
            <w:tcW w:w="560" w:type="dxa"/>
            <w:vAlign w:val="bottom"/>
          </w:tcPr>
          <w:p>
            <w:pPr>
              <w:jc w:val="right"/>
              <w:spacing w:after="0"/>
              <w:rPr>
                <w:sz w:val="20"/>
                <w:szCs w:val="20"/>
                <w:color w:val="auto"/>
              </w:rPr>
            </w:pPr>
            <w:r>
              <w:rPr>
                <w:rFonts w:ascii="Arial" w:cs="Arial" w:eastAsia="Arial" w:hAnsi="Arial"/>
                <w:sz w:val="13"/>
                <w:szCs w:val="13"/>
                <w:color w:val="auto"/>
              </w:rPr>
              <w:t>24,314</w:t>
            </w:r>
          </w:p>
        </w:tc>
        <w:tc>
          <w:tcPr>
            <w:tcW w:w="10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740" w:type="dxa"/>
            <w:vAlign w:val="bottom"/>
          </w:tcPr>
          <w:p>
            <w:pPr>
              <w:jc w:val="right"/>
              <w:spacing w:after="0"/>
              <w:rPr>
                <w:sz w:val="20"/>
                <w:szCs w:val="20"/>
                <w:color w:val="auto"/>
              </w:rPr>
            </w:pPr>
            <w:r>
              <w:rPr>
                <w:rFonts w:ascii="Arial" w:cs="Arial" w:eastAsia="Arial" w:hAnsi="Arial"/>
                <w:sz w:val="13"/>
                <w:szCs w:val="13"/>
                <w:color w:val="auto"/>
              </w:rPr>
              <w:t>26,255</w:t>
            </w:r>
          </w:p>
        </w:tc>
        <w:tc>
          <w:tcPr>
            <w:tcW w:w="80" w:type="dxa"/>
            <w:vAlign w:val="bottom"/>
          </w:tcPr>
          <w:p>
            <w:pPr>
              <w:spacing w:after="0"/>
              <w:rPr>
                <w:sz w:val="15"/>
                <w:szCs w:val="15"/>
                <w:color w:val="auto"/>
              </w:rPr>
            </w:pPr>
          </w:p>
        </w:tc>
        <w:tc>
          <w:tcPr>
            <w:tcW w:w="1960" w:type="dxa"/>
            <w:vAlign w:val="bottom"/>
          </w:tcPr>
          <w:p>
            <w:pPr>
              <w:jc w:val="right"/>
              <w:spacing w:after="0"/>
              <w:rPr>
                <w:sz w:val="20"/>
                <w:szCs w:val="20"/>
                <w:color w:val="auto"/>
              </w:rPr>
            </w:pPr>
            <w:r>
              <w:rPr>
                <w:rFonts w:ascii="Arial" w:cs="Arial" w:eastAsia="Arial" w:hAnsi="Arial"/>
                <w:sz w:val="13"/>
                <w:szCs w:val="13"/>
                <w:color w:val="auto"/>
              </w:rPr>
              <w:t>50,569</w:t>
            </w:r>
          </w:p>
        </w:tc>
      </w:tr>
    </w:tbl>
    <w:p>
      <w:pPr>
        <w:spacing w:after="0" w:line="145" w:lineRule="exact"/>
        <w:rPr>
          <w:sz w:val="20"/>
          <w:szCs w:val="20"/>
          <w:color w:val="auto"/>
        </w:rPr>
      </w:pPr>
    </w:p>
    <w:p>
      <w:pPr>
        <w:ind w:left="320"/>
        <w:spacing w:after="0"/>
        <w:rPr>
          <w:sz w:val="20"/>
          <w:szCs w:val="20"/>
          <w:color w:val="auto"/>
        </w:rPr>
      </w:pPr>
      <w:r>
        <w:rPr>
          <w:rFonts w:ascii="Arial" w:cs="Arial" w:eastAsia="Arial" w:hAnsi="Arial"/>
          <w:sz w:val="14"/>
          <w:szCs w:val="14"/>
          <w:color w:val="auto"/>
        </w:rPr>
        <w:t>(a) On March 8, 2019, the Company decreased the maximum financing amount for this warehouse facility to $500 million.</w:t>
      </w:r>
    </w:p>
    <w:p>
      <w:pPr>
        <w:spacing w:after="0" w:line="141" w:lineRule="exact"/>
        <w:rPr>
          <w:sz w:val="20"/>
          <w:szCs w:val="20"/>
          <w:color w:val="auto"/>
        </w:rPr>
      </w:pPr>
    </w:p>
    <w:p>
      <w:pPr>
        <w:spacing w:after="0"/>
        <w:rPr>
          <w:sz w:val="20"/>
          <w:szCs w:val="20"/>
          <w:color w:val="auto"/>
        </w:rPr>
      </w:pPr>
      <w:r>
        <w:rPr>
          <w:rFonts w:ascii="Arial" w:cs="Arial" w:eastAsia="Arial" w:hAnsi="Arial"/>
          <w:sz w:val="14"/>
          <w:szCs w:val="14"/>
          <w:b w:val="1"/>
          <w:bCs w:val="1"/>
          <w:i w:val="1"/>
          <w:iCs w:val="1"/>
          <w:color w:val="auto"/>
        </w:rPr>
        <w:t>Asset-Backed Securitizations</w:t>
      </w:r>
    </w:p>
    <w:p>
      <w:pPr>
        <w:spacing w:after="0" w:line="141" w:lineRule="exact"/>
        <w:rPr>
          <w:sz w:val="20"/>
          <w:szCs w:val="20"/>
          <w:color w:val="auto"/>
        </w:rPr>
      </w:pPr>
    </w:p>
    <w:p>
      <w:pPr>
        <w:spacing w:after="0"/>
        <w:rPr>
          <w:sz w:val="20"/>
          <w:szCs w:val="20"/>
          <w:color w:val="auto"/>
        </w:rPr>
      </w:pPr>
      <w:r>
        <w:rPr>
          <w:rFonts w:ascii="Arial" w:cs="Arial" w:eastAsia="Arial" w:hAnsi="Arial"/>
          <w:sz w:val="14"/>
          <w:szCs w:val="14"/>
          <w:color w:val="auto"/>
        </w:rPr>
        <w:t>The following table summarizes the asset-backed securitization transactions completed during the first three months of 2019.</w:t>
      </w:r>
    </w:p>
    <w:p>
      <w:pPr>
        <w:spacing w:after="0" w:line="55" w:lineRule="exact"/>
        <w:rPr>
          <w:sz w:val="20"/>
          <w:szCs w:val="20"/>
          <w:color w:val="auto"/>
        </w:rPr>
      </w:pPr>
    </w:p>
    <w:tbl>
      <w:tblPr>
        <w:tblLayout w:type="fixed"/>
        <w:tblInd w:w="1840" w:type="dxa"/>
        <w:tblCellMar>
          <w:top w:w="0" w:type="dxa"/>
          <w:left w:w="0" w:type="dxa"/>
          <w:bottom w:w="0" w:type="dxa"/>
          <w:right w:w="0" w:type="dxa"/>
        </w:tblCellMar>
      </w:tblPr>
      <w:tr>
        <w:trPr>
          <w:trHeight w:val="167"/>
        </w:trPr>
        <w:tc>
          <w:tcPr>
            <w:tcW w:w="3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20" w:type="dxa"/>
            <w:vAlign w:val="bottom"/>
          </w:tcPr>
          <w:p>
            <w:pPr>
              <w:ind w:left="460"/>
              <w:spacing w:after="0"/>
              <w:rPr>
                <w:sz w:val="20"/>
                <w:szCs w:val="20"/>
                <w:color w:val="auto"/>
              </w:rPr>
            </w:pPr>
            <w:r>
              <w:rPr>
                <w:rFonts w:ascii="Arial" w:cs="Arial" w:eastAsia="Arial" w:hAnsi="Arial"/>
                <w:sz w:val="13"/>
                <w:szCs w:val="13"/>
                <w:b w:val="1"/>
                <w:bCs w:val="1"/>
                <w:color w:val="auto"/>
              </w:rPr>
              <w:t>2019-1</w:t>
            </w:r>
          </w:p>
        </w:tc>
        <w:tc>
          <w:tcPr>
            <w:tcW w:w="1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7"/>
        </w:trPr>
        <w:tc>
          <w:tcPr>
            <w:tcW w:w="358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1440" w:type="dxa"/>
            <w:vAlign w:val="bottom"/>
            <w:tcBorders>
              <w:bottom w:val="single" w:sz="8" w:color="auto"/>
            </w:tcBorders>
            <w:gridSpan w:val="2"/>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69"/>
        </w:trPr>
        <w:tc>
          <w:tcPr>
            <w:tcW w:w="3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00" w:type="dxa"/>
            <w:vAlign w:val="bottom"/>
            <w:gridSpan w:val="2"/>
          </w:tcPr>
          <w:p>
            <w:pPr>
              <w:jc w:val="center"/>
              <w:ind w:right="260"/>
              <w:spacing w:after="0"/>
              <w:rPr>
                <w:sz w:val="20"/>
                <w:szCs w:val="20"/>
                <w:color w:val="auto"/>
              </w:rPr>
            </w:pPr>
            <w:r>
              <w:rPr>
                <w:rFonts w:ascii="Arial" w:cs="Arial" w:eastAsia="Arial" w:hAnsi="Arial"/>
                <w:sz w:val="13"/>
                <w:szCs w:val="13"/>
                <w:color w:val="auto"/>
                <w:w w:val="89"/>
              </w:rPr>
              <w:t>Class A-1 Notes</w:t>
            </w:r>
          </w:p>
        </w:tc>
        <w:tc>
          <w:tcPr>
            <w:tcW w:w="1440" w:type="dxa"/>
            <w:vAlign w:val="bottom"/>
            <w:gridSpan w:val="2"/>
          </w:tcPr>
          <w:p>
            <w:pPr>
              <w:ind w:left="240"/>
              <w:spacing w:after="0"/>
              <w:rPr>
                <w:sz w:val="20"/>
                <w:szCs w:val="20"/>
                <w:color w:val="auto"/>
              </w:rPr>
            </w:pPr>
            <w:r>
              <w:rPr>
                <w:rFonts w:ascii="Arial" w:cs="Arial" w:eastAsia="Arial" w:hAnsi="Arial"/>
                <w:sz w:val="13"/>
                <w:szCs w:val="13"/>
                <w:color w:val="auto"/>
              </w:rPr>
              <w:t>Class A-2 Notes</w:t>
            </w:r>
          </w:p>
        </w:tc>
        <w:tc>
          <w:tcPr>
            <w:tcW w:w="1320" w:type="dxa"/>
            <w:vAlign w:val="bottom"/>
          </w:tcPr>
          <w:p>
            <w:pPr>
              <w:jc w:val="right"/>
              <w:ind w:right="295"/>
              <w:spacing w:after="0"/>
              <w:rPr>
                <w:sz w:val="20"/>
                <w:szCs w:val="20"/>
                <w:color w:val="auto"/>
              </w:rPr>
            </w:pPr>
            <w:r>
              <w:rPr>
                <w:rFonts w:ascii="Arial" w:cs="Arial" w:eastAsia="Arial" w:hAnsi="Arial"/>
                <w:sz w:val="13"/>
                <w:szCs w:val="13"/>
                <w:color w:val="auto"/>
              </w:rPr>
              <w:t>2019-1 total</w:t>
            </w:r>
          </w:p>
        </w:tc>
        <w:tc>
          <w:tcPr>
            <w:tcW w:w="0" w:type="dxa"/>
            <w:vAlign w:val="bottom"/>
          </w:tcPr>
          <w:p>
            <w:pPr>
              <w:spacing w:after="0"/>
              <w:rPr>
                <w:sz w:val="1"/>
                <w:szCs w:val="1"/>
                <w:color w:val="auto"/>
              </w:rPr>
            </w:pPr>
          </w:p>
        </w:tc>
      </w:tr>
      <w:tr>
        <w:trPr>
          <w:trHeight w:val="27"/>
        </w:trPr>
        <w:tc>
          <w:tcPr>
            <w:tcW w:w="358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76"/>
        </w:trPr>
        <w:tc>
          <w:tcPr>
            <w:tcW w:w="35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Date securities issued</w:t>
            </w:r>
          </w:p>
        </w:tc>
        <w:tc>
          <w:tcPr>
            <w:tcW w:w="160" w:type="dxa"/>
            <w:vAlign w:val="bottom"/>
            <w:tcBorders>
              <w:bottom w:val="single" w:sz="8" w:color="CCEEFF"/>
            </w:tcBorders>
            <w:shd w:val="clear" w:color="auto" w:fill="CCEEFF"/>
          </w:tcPr>
          <w:p>
            <w:pPr>
              <w:spacing w:after="0"/>
              <w:rPr>
                <w:sz w:val="15"/>
                <w:szCs w:val="15"/>
                <w:color w:val="auto"/>
              </w:rPr>
            </w:pPr>
          </w:p>
        </w:tc>
        <w:tc>
          <w:tcPr>
            <w:tcW w:w="1200" w:type="dxa"/>
            <w:vAlign w:val="bottom"/>
            <w:tcBorders>
              <w:bottom w:val="single" w:sz="8" w:color="CCEEFF"/>
            </w:tcBorders>
            <w:shd w:val="clear" w:color="auto" w:fill="CCEEFF"/>
          </w:tcPr>
          <w:p>
            <w:pPr>
              <w:jc w:val="center"/>
              <w:ind w:right="95"/>
              <w:spacing w:after="0"/>
              <w:rPr>
                <w:sz w:val="20"/>
                <w:szCs w:val="20"/>
                <w:color w:val="auto"/>
              </w:rPr>
            </w:pPr>
            <w:r>
              <w:rPr>
                <w:rFonts w:ascii="Arial" w:cs="Arial" w:eastAsia="Arial" w:hAnsi="Arial"/>
                <w:sz w:val="13"/>
                <w:szCs w:val="13"/>
                <w:color w:val="auto"/>
                <w:w w:val="92"/>
              </w:rPr>
              <w:t>2/27/19</w:t>
            </w:r>
          </w:p>
        </w:tc>
        <w:tc>
          <w:tcPr>
            <w:tcW w:w="100" w:type="dxa"/>
            <w:vAlign w:val="bottom"/>
            <w:tcBorders>
              <w:bottom w:val="single" w:sz="8" w:color="CCEEFF"/>
            </w:tcBorders>
            <w:shd w:val="clear" w:color="auto" w:fill="CCEEFF"/>
          </w:tcPr>
          <w:p>
            <w:pPr>
              <w:spacing w:after="0"/>
              <w:rPr>
                <w:sz w:val="15"/>
                <w:szCs w:val="15"/>
                <w:color w:val="auto"/>
              </w:rPr>
            </w:pPr>
          </w:p>
        </w:tc>
        <w:tc>
          <w:tcPr>
            <w:tcW w:w="1320" w:type="dxa"/>
            <w:vAlign w:val="bottom"/>
            <w:tcBorders>
              <w:bottom w:val="single" w:sz="8" w:color="CCEEFF"/>
            </w:tcBorders>
            <w:shd w:val="clear" w:color="auto" w:fill="CCEEFF"/>
          </w:tcPr>
          <w:p>
            <w:pPr>
              <w:ind w:left="460"/>
              <w:spacing w:after="0"/>
              <w:rPr>
                <w:sz w:val="20"/>
                <w:szCs w:val="20"/>
                <w:color w:val="auto"/>
              </w:rPr>
            </w:pPr>
            <w:r>
              <w:rPr>
                <w:rFonts w:ascii="Arial" w:cs="Arial" w:eastAsia="Arial" w:hAnsi="Arial"/>
                <w:sz w:val="13"/>
                <w:szCs w:val="13"/>
                <w:color w:val="auto"/>
              </w:rPr>
              <w:t>2/27/19</w:t>
            </w:r>
          </w:p>
        </w:tc>
        <w:tc>
          <w:tcPr>
            <w:tcW w:w="120" w:type="dxa"/>
            <w:vAlign w:val="bottom"/>
            <w:tcBorders>
              <w:bottom w:val="single" w:sz="8" w:color="CCEEFF"/>
            </w:tcBorders>
            <w:shd w:val="clear" w:color="auto" w:fill="CCEEFF"/>
          </w:tcPr>
          <w:p>
            <w:pPr>
              <w:spacing w:after="0"/>
              <w:rPr>
                <w:sz w:val="15"/>
                <w:szCs w:val="15"/>
                <w:color w:val="auto"/>
              </w:rPr>
            </w:pPr>
          </w:p>
        </w:tc>
        <w:tc>
          <w:tcPr>
            <w:tcW w:w="1320" w:type="dxa"/>
            <w:vAlign w:val="bottom"/>
            <w:tcBorders>
              <w:bottom w:val="single" w:sz="8" w:color="CCEEFF"/>
            </w:tcBorders>
            <w:shd w:val="clear" w:color="auto" w:fill="CCEEFF"/>
          </w:tcPr>
          <w:p>
            <w:pPr>
              <w:jc w:val="right"/>
              <w:ind w:right="455"/>
              <w:spacing w:after="0"/>
              <w:rPr>
                <w:sz w:val="20"/>
                <w:szCs w:val="20"/>
                <w:color w:val="auto"/>
              </w:rPr>
            </w:pPr>
            <w:r>
              <w:rPr>
                <w:rFonts w:ascii="Arial" w:cs="Arial" w:eastAsia="Arial" w:hAnsi="Arial"/>
                <w:sz w:val="13"/>
                <w:szCs w:val="13"/>
                <w:color w:val="auto"/>
              </w:rPr>
              <w:t>2/27/19</w:t>
            </w:r>
          </w:p>
        </w:tc>
        <w:tc>
          <w:tcPr>
            <w:tcW w:w="0" w:type="dxa"/>
            <w:vAlign w:val="bottom"/>
          </w:tcPr>
          <w:p>
            <w:pPr>
              <w:spacing w:after="0"/>
              <w:rPr>
                <w:sz w:val="1"/>
                <w:szCs w:val="1"/>
                <w:color w:val="auto"/>
              </w:rPr>
            </w:pPr>
          </w:p>
        </w:tc>
      </w:tr>
      <w:tr>
        <w:trPr>
          <w:trHeight w:val="129"/>
        </w:trPr>
        <w:tc>
          <w:tcPr>
            <w:tcW w:w="3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2"/>
        </w:trPr>
        <w:tc>
          <w:tcPr>
            <w:tcW w:w="3580" w:type="dxa"/>
            <w:vAlign w:val="bottom"/>
            <w:shd w:val="clear" w:color="auto" w:fill="CCEEFF"/>
          </w:tcPr>
          <w:p>
            <w:pPr>
              <w:spacing w:after="0"/>
              <w:rPr>
                <w:sz w:val="20"/>
                <w:szCs w:val="20"/>
                <w:color w:val="auto"/>
              </w:rPr>
            </w:pPr>
            <w:r>
              <w:rPr>
                <w:rFonts w:ascii="Arial" w:cs="Arial" w:eastAsia="Arial" w:hAnsi="Arial"/>
                <w:sz w:val="13"/>
                <w:szCs w:val="13"/>
                <w:color w:val="auto"/>
              </w:rPr>
              <w:t>Class A senior notes:</w:t>
            </w:r>
          </w:p>
        </w:tc>
        <w:tc>
          <w:tcPr>
            <w:tcW w:w="160" w:type="dxa"/>
            <w:vAlign w:val="bottom"/>
            <w:shd w:val="clear" w:color="auto" w:fill="CCEEFF"/>
          </w:tcPr>
          <w:p>
            <w:pPr>
              <w:spacing w:after="0"/>
              <w:rPr>
                <w:sz w:val="14"/>
                <w:szCs w:val="14"/>
                <w:color w:val="auto"/>
              </w:rPr>
            </w:pPr>
          </w:p>
        </w:tc>
        <w:tc>
          <w:tcPr>
            <w:tcW w:w="12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3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3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83"/>
        </w:trPr>
        <w:tc>
          <w:tcPr>
            <w:tcW w:w="3580" w:type="dxa"/>
            <w:vAlign w:val="bottom"/>
          </w:tcPr>
          <w:p>
            <w:pPr>
              <w:ind w:left="100"/>
              <w:spacing w:after="0"/>
              <w:rPr>
                <w:sz w:val="20"/>
                <w:szCs w:val="20"/>
                <w:color w:val="auto"/>
              </w:rPr>
            </w:pPr>
            <w:r>
              <w:rPr>
                <w:rFonts w:ascii="Arial" w:cs="Arial" w:eastAsia="Arial" w:hAnsi="Arial"/>
                <w:sz w:val="13"/>
                <w:szCs w:val="13"/>
                <w:color w:val="auto"/>
              </w:rPr>
              <w:t>Total principal amount</w:t>
            </w:r>
          </w:p>
        </w:tc>
        <w:tc>
          <w:tcPr>
            <w:tcW w:w="160" w:type="dxa"/>
            <w:vAlign w:val="bottom"/>
            <w:tcBorders>
              <w:bottom w:val="single" w:sz="8" w:color="auto"/>
            </w:tcBorders>
          </w:tcPr>
          <w:p>
            <w:pPr>
              <w:jc w:val="right"/>
              <w:ind w:right="15"/>
              <w:spacing w:after="0"/>
              <w:rPr>
                <w:sz w:val="20"/>
                <w:szCs w:val="20"/>
                <w:color w:val="auto"/>
              </w:rPr>
            </w:pPr>
            <w:r>
              <w:rPr>
                <w:rFonts w:ascii="Arial" w:cs="Arial" w:eastAsia="Arial" w:hAnsi="Arial"/>
                <w:sz w:val="13"/>
                <w:szCs w:val="13"/>
                <w:color w:val="auto"/>
                <w:w w:val="82"/>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35,700</w:t>
            </w:r>
          </w:p>
        </w:tc>
        <w:tc>
          <w:tcPr>
            <w:tcW w:w="100" w:type="dxa"/>
            <w:vAlign w:val="bottom"/>
          </w:tcPr>
          <w:p>
            <w:pPr>
              <w:spacing w:after="0"/>
              <w:rPr>
                <w:sz w:val="15"/>
                <w:szCs w:val="15"/>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448,000</w:t>
            </w:r>
          </w:p>
        </w:tc>
        <w:tc>
          <w:tcPr>
            <w:tcW w:w="120" w:type="dxa"/>
            <w:vAlign w:val="bottom"/>
          </w:tcPr>
          <w:p>
            <w:pPr>
              <w:spacing w:after="0"/>
              <w:rPr>
                <w:sz w:val="15"/>
                <w:szCs w:val="15"/>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483,700</w:t>
            </w:r>
          </w:p>
        </w:tc>
        <w:tc>
          <w:tcPr>
            <w:tcW w:w="0" w:type="dxa"/>
            <w:vAlign w:val="bottom"/>
          </w:tcPr>
          <w:p>
            <w:pPr>
              <w:spacing w:after="0"/>
              <w:rPr>
                <w:sz w:val="1"/>
                <w:szCs w:val="1"/>
                <w:color w:val="auto"/>
              </w:rPr>
            </w:pPr>
          </w:p>
        </w:tc>
      </w:tr>
      <w:tr>
        <w:trPr>
          <w:trHeight w:val="20"/>
        </w:trPr>
        <w:tc>
          <w:tcPr>
            <w:tcW w:w="358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8"/>
        </w:trPr>
        <w:tc>
          <w:tcPr>
            <w:tcW w:w="3580" w:type="dxa"/>
            <w:vAlign w:val="bottom"/>
            <w:shd w:val="clear" w:color="auto" w:fill="CCEEFF"/>
          </w:tcPr>
          <w:p>
            <w:pPr>
              <w:ind w:left="100"/>
              <w:spacing w:after="0"/>
              <w:rPr>
                <w:sz w:val="20"/>
                <w:szCs w:val="20"/>
                <w:color w:val="auto"/>
              </w:rPr>
            </w:pPr>
            <w:r>
              <w:rPr>
                <w:rFonts w:ascii="Arial" w:cs="Arial" w:eastAsia="Arial" w:hAnsi="Arial"/>
                <w:sz w:val="13"/>
                <w:szCs w:val="13"/>
                <w:color w:val="auto"/>
              </w:rPr>
              <w:t>Cost of funds (1-month LIBOR plus:)</w:t>
            </w:r>
          </w:p>
        </w:tc>
        <w:tc>
          <w:tcPr>
            <w:tcW w:w="160" w:type="dxa"/>
            <w:vAlign w:val="bottom"/>
            <w:shd w:val="clear" w:color="auto" w:fill="CCEEFF"/>
          </w:tcPr>
          <w:p>
            <w:pPr>
              <w:spacing w:after="0"/>
              <w:rPr>
                <w:sz w:val="16"/>
                <w:szCs w:val="16"/>
                <w:color w:val="auto"/>
              </w:rPr>
            </w:pPr>
          </w:p>
        </w:tc>
        <w:tc>
          <w:tcPr>
            <w:tcW w:w="1200" w:type="dxa"/>
            <w:vAlign w:val="bottom"/>
            <w:shd w:val="clear" w:color="auto" w:fill="CCEEFF"/>
          </w:tcPr>
          <w:p>
            <w:pPr>
              <w:jc w:val="right"/>
              <w:ind w:right="495"/>
              <w:spacing w:after="0"/>
              <w:rPr>
                <w:sz w:val="20"/>
                <w:szCs w:val="20"/>
                <w:color w:val="auto"/>
              </w:rPr>
            </w:pPr>
            <w:r>
              <w:rPr>
                <w:rFonts w:ascii="Arial" w:cs="Arial" w:eastAsia="Arial" w:hAnsi="Arial"/>
                <w:sz w:val="13"/>
                <w:szCs w:val="13"/>
                <w:color w:val="auto"/>
              </w:rPr>
              <w:t>0.30%</w:t>
            </w:r>
          </w:p>
        </w:tc>
        <w:tc>
          <w:tcPr>
            <w:tcW w:w="100" w:type="dxa"/>
            <w:vAlign w:val="bottom"/>
            <w:shd w:val="clear" w:color="auto" w:fill="CCEEFF"/>
          </w:tcPr>
          <w:p>
            <w:pPr>
              <w:spacing w:after="0"/>
              <w:rPr>
                <w:sz w:val="16"/>
                <w:szCs w:val="16"/>
                <w:color w:val="auto"/>
              </w:rPr>
            </w:pPr>
          </w:p>
        </w:tc>
        <w:tc>
          <w:tcPr>
            <w:tcW w:w="1320" w:type="dxa"/>
            <w:vAlign w:val="bottom"/>
            <w:shd w:val="clear" w:color="auto" w:fill="CCEEFF"/>
          </w:tcPr>
          <w:p>
            <w:pPr>
              <w:jc w:val="right"/>
              <w:ind w:right="475"/>
              <w:spacing w:after="0"/>
              <w:rPr>
                <w:sz w:val="20"/>
                <w:szCs w:val="20"/>
                <w:color w:val="auto"/>
              </w:rPr>
            </w:pPr>
            <w:r>
              <w:rPr>
                <w:rFonts w:ascii="Arial" w:cs="Arial" w:eastAsia="Arial" w:hAnsi="Arial"/>
                <w:sz w:val="13"/>
                <w:szCs w:val="13"/>
                <w:color w:val="auto"/>
              </w:rPr>
              <w:t>0.75%</w:t>
            </w:r>
          </w:p>
        </w:tc>
        <w:tc>
          <w:tcPr>
            <w:tcW w:w="120" w:type="dxa"/>
            <w:vAlign w:val="bottom"/>
            <w:shd w:val="clear" w:color="auto" w:fill="CCEEFF"/>
          </w:tcPr>
          <w:p>
            <w:pPr>
              <w:spacing w:after="0"/>
              <w:rPr>
                <w:sz w:val="16"/>
                <w:szCs w:val="16"/>
                <w:color w:val="auto"/>
              </w:rPr>
            </w:pPr>
          </w:p>
        </w:tc>
        <w:tc>
          <w:tcPr>
            <w:tcW w:w="13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78"/>
        </w:trPr>
        <w:tc>
          <w:tcPr>
            <w:tcW w:w="3580" w:type="dxa"/>
            <w:vAlign w:val="bottom"/>
          </w:tcPr>
          <w:p>
            <w:pPr>
              <w:ind w:left="80"/>
              <w:spacing w:after="0"/>
              <w:rPr>
                <w:sz w:val="20"/>
                <w:szCs w:val="20"/>
                <w:color w:val="auto"/>
              </w:rPr>
            </w:pPr>
            <w:r>
              <w:rPr>
                <w:rFonts w:ascii="Arial" w:cs="Arial" w:eastAsia="Arial" w:hAnsi="Arial"/>
                <w:sz w:val="13"/>
                <w:szCs w:val="13"/>
                <w:color w:val="auto"/>
              </w:rPr>
              <w:t>Final maturity date</w:t>
            </w:r>
          </w:p>
        </w:tc>
        <w:tc>
          <w:tcPr>
            <w:tcW w:w="160" w:type="dxa"/>
            <w:vAlign w:val="bottom"/>
          </w:tcPr>
          <w:p>
            <w:pPr>
              <w:spacing w:after="0"/>
              <w:rPr>
                <w:sz w:val="15"/>
                <w:szCs w:val="15"/>
                <w:color w:val="auto"/>
              </w:rPr>
            </w:pPr>
          </w:p>
        </w:tc>
        <w:tc>
          <w:tcPr>
            <w:tcW w:w="1200" w:type="dxa"/>
            <w:vAlign w:val="bottom"/>
          </w:tcPr>
          <w:p>
            <w:pPr>
              <w:jc w:val="center"/>
              <w:ind w:right="95"/>
              <w:spacing w:after="0"/>
              <w:rPr>
                <w:sz w:val="20"/>
                <w:szCs w:val="20"/>
                <w:color w:val="auto"/>
              </w:rPr>
            </w:pPr>
            <w:r>
              <w:rPr>
                <w:rFonts w:ascii="Arial" w:cs="Arial" w:eastAsia="Arial" w:hAnsi="Arial"/>
                <w:sz w:val="13"/>
                <w:szCs w:val="13"/>
                <w:color w:val="auto"/>
                <w:w w:val="92"/>
              </w:rPr>
              <w:t>4/25/67</w:t>
            </w:r>
          </w:p>
        </w:tc>
        <w:tc>
          <w:tcPr>
            <w:tcW w:w="100" w:type="dxa"/>
            <w:vAlign w:val="bottom"/>
          </w:tcPr>
          <w:p>
            <w:pPr>
              <w:spacing w:after="0"/>
              <w:rPr>
                <w:sz w:val="15"/>
                <w:szCs w:val="15"/>
                <w:color w:val="auto"/>
              </w:rPr>
            </w:pPr>
          </w:p>
        </w:tc>
        <w:tc>
          <w:tcPr>
            <w:tcW w:w="1320" w:type="dxa"/>
            <w:vAlign w:val="bottom"/>
          </w:tcPr>
          <w:p>
            <w:pPr>
              <w:ind w:left="460"/>
              <w:spacing w:after="0"/>
              <w:rPr>
                <w:sz w:val="20"/>
                <w:szCs w:val="20"/>
                <w:color w:val="auto"/>
              </w:rPr>
            </w:pPr>
            <w:r>
              <w:rPr>
                <w:rFonts w:ascii="Arial" w:cs="Arial" w:eastAsia="Arial" w:hAnsi="Arial"/>
                <w:sz w:val="13"/>
                <w:szCs w:val="13"/>
                <w:color w:val="auto"/>
              </w:rPr>
              <w:t>4/25/67</w:t>
            </w:r>
          </w:p>
        </w:tc>
        <w:tc>
          <w:tcPr>
            <w:tcW w:w="12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7"/>
        </w:trPr>
        <w:tc>
          <w:tcPr>
            <w:tcW w:w="35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97"/>
        </w:trPr>
        <w:tc>
          <w:tcPr>
            <w:tcW w:w="3580" w:type="dxa"/>
            <w:vAlign w:val="bottom"/>
            <w:shd w:val="clear" w:color="auto" w:fill="CCEEFF"/>
          </w:tcPr>
          <w:p>
            <w:pPr>
              <w:spacing w:after="0"/>
              <w:rPr>
                <w:sz w:val="8"/>
                <w:szCs w:val="8"/>
                <w:color w:val="auto"/>
              </w:rPr>
            </w:pPr>
          </w:p>
        </w:tc>
        <w:tc>
          <w:tcPr>
            <w:tcW w:w="160" w:type="dxa"/>
            <w:vAlign w:val="bottom"/>
            <w:shd w:val="clear" w:color="auto" w:fill="CCEEFF"/>
          </w:tcPr>
          <w:p>
            <w:pPr>
              <w:spacing w:after="0"/>
              <w:rPr>
                <w:sz w:val="8"/>
                <w:szCs w:val="8"/>
                <w:color w:val="auto"/>
              </w:rPr>
            </w:pPr>
          </w:p>
        </w:tc>
        <w:tc>
          <w:tcPr>
            <w:tcW w:w="120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132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1320" w:type="dxa"/>
            <w:vAlign w:val="bottom"/>
            <w:shd w:val="clear" w:color="auto" w:fill="CCEEFF"/>
          </w:tcPr>
          <w:p>
            <w:pPr>
              <w:spacing w:after="0"/>
              <w:rPr>
                <w:sz w:val="8"/>
                <w:szCs w:val="8"/>
                <w:color w:val="auto"/>
              </w:rPr>
            </w:pPr>
          </w:p>
        </w:tc>
        <w:tc>
          <w:tcPr>
            <w:tcW w:w="0" w:type="dxa"/>
            <w:vAlign w:val="bottom"/>
          </w:tcPr>
          <w:p>
            <w:pPr>
              <w:spacing w:after="0"/>
              <w:rPr>
                <w:sz w:val="1"/>
                <w:szCs w:val="1"/>
                <w:color w:val="auto"/>
              </w:rPr>
            </w:pPr>
          </w:p>
        </w:tc>
      </w:tr>
      <w:tr>
        <w:trPr>
          <w:trHeight w:val="202"/>
        </w:trPr>
        <w:tc>
          <w:tcPr>
            <w:tcW w:w="3580" w:type="dxa"/>
            <w:vAlign w:val="bottom"/>
          </w:tcPr>
          <w:p>
            <w:pPr>
              <w:spacing w:after="0"/>
              <w:rPr>
                <w:sz w:val="20"/>
                <w:szCs w:val="20"/>
                <w:color w:val="auto"/>
              </w:rPr>
            </w:pPr>
            <w:r>
              <w:rPr>
                <w:rFonts w:ascii="Arial" w:cs="Arial" w:eastAsia="Arial" w:hAnsi="Arial"/>
                <w:sz w:val="13"/>
                <w:szCs w:val="13"/>
                <w:color w:val="auto"/>
              </w:rPr>
              <w:t>Class B subordinated notes:</w:t>
            </w:r>
          </w:p>
        </w:tc>
        <w:tc>
          <w:tcPr>
            <w:tcW w:w="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1"/>
        </w:trPr>
        <w:tc>
          <w:tcPr>
            <w:tcW w:w="358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3"/>
                <w:szCs w:val="13"/>
                <w:color w:val="auto"/>
              </w:rPr>
              <w:t>Total principal amount</w:t>
            </w:r>
          </w:p>
        </w:tc>
        <w:tc>
          <w:tcPr>
            <w:tcW w:w="160" w:type="dxa"/>
            <w:vAlign w:val="bottom"/>
            <w:tcBorders>
              <w:bottom w:val="single" w:sz="8" w:color="CCEEFF"/>
            </w:tcBorders>
            <w:shd w:val="clear" w:color="auto" w:fill="CCEEFF"/>
          </w:tcPr>
          <w:p>
            <w:pPr>
              <w:spacing w:after="0"/>
              <w:rPr>
                <w:sz w:val="17"/>
                <w:szCs w:val="17"/>
                <w:color w:val="auto"/>
              </w:rPr>
            </w:pPr>
          </w:p>
        </w:tc>
        <w:tc>
          <w:tcPr>
            <w:tcW w:w="120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132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CCEEFF"/>
            </w:tcBorders>
            <w:shd w:val="clear" w:color="auto" w:fill="CCEEFF"/>
          </w:tcPr>
          <w:p>
            <w:pPr>
              <w:spacing w:after="0"/>
              <w:rPr>
                <w:sz w:val="17"/>
                <w:szCs w:val="17"/>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13,100</w:t>
            </w:r>
          </w:p>
        </w:tc>
        <w:tc>
          <w:tcPr>
            <w:tcW w:w="0" w:type="dxa"/>
            <w:vAlign w:val="bottom"/>
          </w:tcPr>
          <w:p>
            <w:pPr>
              <w:spacing w:after="0"/>
              <w:rPr>
                <w:sz w:val="1"/>
                <w:szCs w:val="1"/>
                <w:color w:val="auto"/>
              </w:rPr>
            </w:pPr>
          </w:p>
        </w:tc>
      </w:tr>
      <w:tr>
        <w:trPr>
          <w:trHeight w:val="20"/>
        </w:trPr>
        <w:tc>
          <w:tcPr>
            <w:tcW w:w="358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2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3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3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5"/>
        </w:trPr>
        <w:tc>
          <w:tcPr>
            <w:tcW w:w="3580" w:type="dxa"/>
            <w:vAlign w:val="bottom"/>
          </w:tcPr>
          <w:p>
            <w:pPr>
              <w:ind w:left="100"/>
              <w:spacing w:after="0"/>
              <w:rPr>
                <w:sz w:val="20"/>
                <w:szCs w:val="20"/>
                <w:color w:val="auto"/>
              </w:rPr>
            </w:pPr>
            <w:r>
              <w:rPr>
                <w:rFonts w:ascii="Arial" w:cs="Arial" w:eastAsia="Arial" w:hAnsi="Arial"/>
                <w:sz w:val="13"/>
                <w:szCs w:val="13"/>
                <w:color w:val="auto"/>
              </w:rPr>
              <w:t>Cost of funds (1-month LIBOR plus:)</w:t>
            </w:r>
          </w:p>
        </w:tc>
        <w:tc>
          <w:tcPr>
            <w:tcW w:w="16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20" w:type="dxa"/>
            <w:vAlign w:val="bottom"/>
          </w:tcPr>
          <w:p>
            <w:pPr>
              <w:jc w:val="right"/>
              <w:ind w:right="475"/>
              <w:spacing w:after="0"/>
              <w:rPr>
                <w:sz w:val="20"/>
                <w:szCs w:val="20"/>
                <w:color w:val="auto"/>
              </w:rPr>
            </w:pPr>
            <w:r>
              <w:rPr>
                <w:rFonts w:ascii="Arial" w:cs="Arial" w:eastAsia="Arial" w:hAnsi="Arial"/>
                <w:sz w:val="13"/>
                <w:szCs w:val="13"/>
                <w:color w:val="auto"/>
              </w:rPr>
              <w:t>1.40%</w:t>
            </w:r>
          </w:p>
        </w:tc>
        <w:tc>
          <w:tcPr>
            <w:tcW w:w="0" w:type="dxa"/>
            <w:vAlign w:val="bottom"/>
          </w:tcPr>
          <w:p>
            <w:pPr>
              <w:spacing w:after="0"/>
              <w:rPr>
                <w:sz w:val="1"/>
                <w:szCs w:val="1"/>
                <w:color w:val="auto"/>
              </w:rPr>
            </w:pPr>
          </w:p>
        </w:tc>
      </w:tr>
      <w:tr>
        <w:trPr>
          <w:trHeight w:val="187"/>
        </w:trPr>
        <w:tc>
          <w:tcPr>
            <w:tcW w:w="3580" w:type="dxa"/>
            <w:vAlign w:val="bottom"/>
            <w:tcBorders>
              <w:bottom w:val="single" w:sz="8" w:color="CCEEFF"/>
            </w:tcBorders>
            <w:shd w:val="clear" w:color="auto" w:fill="CCEEFF"/>
          </w:tcPr>
          <w:p>
            <w:pPr>
              <w:ind w:left="80"/>
              <w:spacing w:after="0"/>
              <w:rPr>
                <w:sz w:val="20"/>
                <w:szCs w:val="20"/>
                <w:color w:val="auto"/>
              </w:rPr>
            </w:pPr>
            <w:r>
              <w:rPr>
                <w:rFonts w:ascii="Arial" w:cs="Arial" w:eastAsia="Arial" w:hAnsi="Arial"/>
                <w:sz w:val="13"/>
                <w:szCs w:val="13"/>
                <w:color w:val="auto"/>
              </w:rPr>
              <w:t>Final maturity date</w:t>
            </w:r>
          </w:p>
        </w:tc>
        <w:tc>
          <w:tcPr>
            <w:tcW w:w="160" w:type="dxa"/>
            <w:vAlign w:val="bottom"/>
            <w:tcBorders>
              <w:bottom w:val="single" w:sz="8" w:color="CCEEFF"/>
            </w:tcBorders>
            <w:shd w:val="clear" w:color="auto" w:fill="CCEEFF"/>
          </w:tcPr>
          <w:p>
            <w:pPr>
              <w:spacing w:after="0"/>
              <w:rPr>
                <w:sz w:val="16"/>
                <w:szCs w:val="16"/>
                <w:color w:val="auto"/>
              </w:rPr>
            </w:pPr>
          </w:p>
        </w:tc>
        <w:tc>
          <w:tcPr>
            <w:tcW w:w="120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1320" w:type="dxa"/>
            <w:vAlign w:val="bottom"/>
            <w:tcBorders>
              <w:bottom w:val="single" w:sz="8" w:color="CCEEFF"/>
            </w:tcBorders>
            <w:shd w:val="clear" w:color="auto" w:fill="CCEEFF"/>
          </w:tcPr>
          <w:p>
            <w:pPr>
              <w:spacing w:after="0"/>
              <w:rPr>
                <w:sz w:val="16"/>
                <w:szCs w:val="16"/>
                <w:color w:val="auto"/>
              </w:rPr>
            </w:pPr>
          </w:p>
        </w:tc>
        <w:tc>
          <w:tcPr>
            <w:tcW w:w="120" w:type="dxa"/>
            <w:vAlign w:val="bottom"/>
            <w:tcBorders>
              <w:bottom w:val="single" w:sz="8" w:color="CCEEFF"/>
            </w:tcBorders>
            <w:shd w:val="clear" w:color="auto" w:fill="CCEEFF"/>
          </w:tcPr>
          <w:p>
            <w:pPr>
              <w:spacing w:after="0"/>
              <w:rPr>
                <w:sz w:val="16"/>
                <w:szCs w:val="16"/>
                <w:color w:val="auto"/>
              </w:rPr>
            </w:pPr>
          </w:p>
        </w:tc>
        <w:tc>
          <w:tcPr>
            <w:tcW w:w="1320" w:type="dxa"/>
            <w:vAlign w:val="bottom"/>
            <w:tcBorders>
              <w:bottom w:val="single" w:sz="8" w:color="CCEEFF"/>
            </w:tcBorders>
            <w:shd w:val="clear" w:color="auto" w:fill="CCEEFF"/>
          </w:tcPr>
          <w:p>
            <w:pPr>
              <w:jc w:val="right"/>
              <w:ind w:right="395"/>
              <w:spacing w:after="0"/>
              <w:rPr>
                <w:sz w:val="20"/>
                <w:szCs w:val="20"/>
                <w:color w:val="auto"/>
              </w:rPr>
            </w:pPr>
            <w:r>
              <w:rPr>
                <w:rFonts w:ascii="Arial" w:cs="Arial" w:eastAsia="Arial" w:hAnsi="Arial"/>
                <w:sz w:val="13"/>
                <w:szCs w:val="13"/>
                <w:color w:val="auto"/>
              </w:rPr>
              <w:t>4/25/67</w:t>
            </w:r>
          </w:p>
        </w:tc>
        <w:tc>
          <w:tcPr>
            <w:tcW w:w="0" w:type="dxa"/>
            <w:vAlign w:val="bottom"/>
          </w:tcPr>
          <w:p>
            <w:pPr>
              <w:spacing w:after="0"/>
              <w:rPr>
                <w:sz w:val="1"/>
                <w:szCs w:val="1"/>
                <w:color w:val="auto"/>
              </w:rPr>
            </w:pPr>
          </w:p>
        </w:tc>
      </w:tr>
      <w:tr>
        <w:trPr>
          <w:trHeight w:val="178"/>
        </w:trPr>
        <w:tc>
          <w:tcPr>
            <w:tcW w:w="3580" w:type="dxa"/>
            <w:vAlign w:val="bottom"/>
            <w:vMerge w:val="restart"/>
          </w:tcPr>
          <w:p>
            <w:pPr>
              <w:spacing w:after="0"/>
              <w:rPr>
                <w:sz w:val="20"/>
                <w:szCs w:val="20"/>
                <w:color w:val="auto"/>
              </w:rPr>
            </w:pPr>
            <w:r>
              <w:rPr>
                <w:rFonts w:ascii="Arial" w:cs="Arial" w:eastAsia="Arial" w:hAnsi="Arial"/>
                <w:sz w:val="13"/>
                <w:szCs w:val="13"/>
                <w:color w:val="auto"/>
              </w:rPr>
              <w:t>Total principal amount issued</w:t>
            </w:r>
          </w:p>
        </w:tc>
        <w:tc>
          <w:tcPr>
            <w:tcW w:w="160" w:type="dxa"/>
            <w:vAlign w:val="bottom"/>
          </w:tcPr>
          <w:p>
            <w:pPr>
              <w:jc w:val="right"/>
              <w:ind w:right="15"/>
              <w:spacing w:after="0"/>
              <w:rPr>
                <w:sz w:val="20"/>
                <w:szCs w:val="20"/>
                <w:color w:val="auto"/>
              </w:rPr>
            </w:pPr>
            <w:r>
              <w:rPr>
                <w:rFonts w:ascii="Arial" w:cs="Arial" w:eastAsia="Arial" w:hAnsi="Arial"/>
                <w:sz w:val="13"/>
                <w:szCs w:val="13"/>
                <w:color w:val="auto"/>
                <w:w w:val="82"/>
              </w:rPr>
              <w:t>$</w:t>
            </w:r>
          </w:p>
        </w:tc>
        <w:tc>
          <w:tcPr>
            <w:tcW w:w="1200" w:type="dxa"/>
            <w:vAlign w:val="bottom"/>
          </w:tcPr>
          <w:p>
            <w:pPr>
              <w:jc w:val="right"/>
              <w:spacing w:after="0"/>
              <w:rPr>
                <w:sz w:val="20"/>
                <w:szCs w:val="20"/>
                <w:color w:val="auto"/>
              </w:rPr>
            </w:pPr>
            <w:r>
              <w:rPr>
                <w:rFonts w:ascii="Arial" w:cs="Arial" w:eastAsia="Arial" w:hAnsi="Arial"/>
                <w:sz w:val="13"/>
                <w:szCs w:val="13"/>
                <w:color w:val="auto"/>
              </w:rPr>
              <w:t>35,700</w:t>
            </w:r>
          </w:p>
        </w:tc>
        <w:tc>
          <w:tcPr>
            <w:tcW w:w="100" w:type="dxa"/>
            <w:vAlign w:val="bottom"/>
          </w:tcPr>
          <w:p>
            <w:pPr>
              <w:spacing w:after="0"/>
              <w:rPr>
                <w:sz w:val="15"/>
                <w:szCs w:val="15"/>
                <w:color w:val="auto"/>
              </w:rPr>
            </w:pPr>
          </w:p>
        </w:tc>
        <w:tc>
          <w:tcPr>
            <w:tcW w:w="1320" w:type="dxa"/>
            <w:vAlign w:val="bottom"/>
          </w:tcPr>
          <w:p>
            <w:pPr>
              <w:jc w:val="right"/>
              <w:spacing w:after="0"/>
              <w:rPr>
                <w:sz w:val="20"/>
                <w:szCs w:val="20"/>
                <w:color w:val="auto"/>
              </w:rPr>
            </w:pPr>
            <w:r>
              <w:rPr>
                <w:rFonts w:ascii="Arial" w:cs="Arial" w:eastAsia="Arial" w:hAnsi="Arial"/>
                <w:sz w:val="13"/>
                <w:szCs w:val="13"/>
                <w:color w:val="auto"/>
              </w:rPr>
              <w:t>448,000</w:t>
            </w:r>
          </w:p>
        </w:tc>
        <w:tc>
          <w:tcPr>
            <w:tcW w:w="120" w:type="dxa"/>
            <w:vAlign w:val="bottom"/>
          </w:tcPr>
          <w:p>
            <w:pPr>
              <w:spacing w:after="0"/>
              <w:rPr>
                <w:sz w:val="15"/>
                <w:szCs w:val="15"/>
                <w:color w:val="auto"/>
              </w:rPr>
            </w:pPr>
          </w:p>
        </w:tc>
        <w:tc>
          <w:tcPr>
            <w:tcW w:w="1320" w:type="dxa"/>
            <w:vAlign w:val="bottom"/>
          </w:tcPr>
          <w:p>
            <w:pPr>
              <w:jc w:val="right"/>
              <w:spacing w:after="0"/>
              <w:rPr>
                <w:sz w:val="20"/>
                <w:szCs w:val="20"/>
                <w:color w:val="auto"/>
              </w:rPr>
            </w:pPr>
            <w:r>
              <w:rPr>
                <w:rFonts w:ascii="Arial" w:cs="Arial" w:eastAsia="Arial" w:hAnsi="Arial"/>
                <w:sz w:val="13"/>
                <w:szCs w:val="13"/>
                <w:color w:val="auto"/>
              </w:rPr>
              <w:t>496,800</w:t>
            </w:r>
          </w:p>
        </w:tc>
        <w:tc>
          <w:tcPr>
            <w:tcW w:w="0" w:type="dxa"/>
            <w:vAlign w:val="bottom"/>
          </w:tcPr>
          <w:p>
            <w:pPr>
              <w:spacing w:after="0"/>
              <w:rPr>
                <w:sz w:val="1"/>
                <w:szCs w:val="1"/>
                <w:color w:val="auto"/>
              </w:rPr>
            </w:pPr>
          </w:p>
        </w:tc>
      </w:tr>
      <w:tr>
        <w:trPr>
          <w:trHeight w:val="27"/>
        </w:trPr>
        <w:tc>
          <w:tcPr>
            <w:tcW w:w="3580" w:type="dxa"/>
            <w:vAlign w:val="bottom"/>
            <w:vMerge w:val="continue"/>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35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5" w:lineRule="exact"/>
        <w:rPr>
          <w:sz w:val="20"/>
          <w:szCs w:val="20"/>
          <w:color w:val="auto"/>
        </w:rPr>
      </w:pPr>
    </w:p>
    <w:p>
      <w:pPr>
        <w:spacing w:after="0"/>
        <w:rPr>
          <w:sz w:val="20"/>
          <w:szCs w:val="20"/>
          <w:color w:val="auto"/>
        </w:rPr>
      </w:pPr>
      <w:r>
        <w:rPr>
          <w:rFonts w:ascii="Arial" w:cs="Arial" w:eastAsia="Arial" w:hAnsi="Arial"/>
          <w:sz w:val="14"/>
          <w:szCs w:val="14"/>
          <w:b w:val="1"/>
          <w:bCs w:val="1"/>
          <w:i w:val="1"/>
          <w:iCs w:val="1"/>
          <w:color w:val="auto"/>
        </w:rPr>
        <w:t>Consumer Loan Warehouse Facility</w:t>
      </w:r>
    </w:p>
    <w:p>
      <w:pPr>
        <w:spacing w:after="0" w:line="141" w:lineRule="exact"/>
        <w:rPr>
          <w:sz w:val="20"/>
          <w:szCs w:val="20"/>
          <w:color w:val="auto"/>
        </w:rPr>
      </w:pPr>
    </w:p>
    <w:p>
      <w:pPr>
        <w:jc w:val="both"/>
        <w:spacing w:after="0" w:line="302" w:lineRule="auto"/>
        <w:rPr>
          <w:sz w:val="20"/>
          <w:szCs w:val="20"/>
          <w:color w:val="auto"/>
        </w:rPr>
      </w:pPr>
      <w:r>
        <w:rPr>
          <w:rFonts w:ascii="Arial" w:cs="Arial" w:eastAsia="Arial" w:hAnsi="Arial"/>
          <w:sz w:val="13"/>
          <w:szCs w:val="13"/>
          <w:color w:val="auto"/>
        </w:rPr>
        <w:t>On January 11, 2019, the Company closed on a consumer loan warehouse facility with an aggregate maximum financing amount available of $100.0 million, an advance rate of 70 or 75 percent depending on type of collateral and subject to certain concentration limits, and a maturity date of January 10, 2022. As of March 31, 2019, $63.7 million was outstanding under this warehouse facility and $36.3 million was available for future funding. Additionally, as of March 31, 2019, the Company had $26.5 million advanced as equity support under this facility.</w:t>
      </w:r>
    </w:p>
    <w:p>
      <w:pPr>
        <w:spacing w:after="0" w:line="82" w:lineRule="exact"/>
        <w:rPr>
          <w:sz w:val="20"/>
          <w:szCs w:val="20"/>
          <w:color w:val="auto"/>
        </w:rPr>
      </w:pPr>
    </w:p>
    <w:p>
      <w:pPr>
        <w:spacing w:after="0"/>
        <w:rPr>
          <w:sz w:val="20"/>
          <w:szCs w:val="20"/>
          <w:color w:val="auto"/>
        </w:rPr>
      </w:pPr>
      <w:r>
        <w:rPr>
          <w:rFonts w:ascii="Arial" w:cs="Arial" w:eastAsia="Arial" w:hAnsi="Arial"/>
          <w:sz w:val="14"/>
          <w:szCs w:val="14"/>
          <w:b w:val="1"/>
          <w:bCs w:val="1"/>
          <w:i w:val="1"/>
          <w:iCs w:val="1"/>
          <w:color w:val="auto"/>
        </w:rPr>
        <w:t>Unsecured Line of Credit</w:t>
      </w:r>
    </w:p>
    <w:p>
      <w:pPr>
        <w:spacing w:after="0" w:line="141" w:lineRule="exact"/>
        <w:rPr>
          <w:sz w:val="20"/>
          <w:szCs w:val="20"/>
          <w:color w:val="auto"/>
        </w:rPr>
      </w:pPr>
    </w:p>
    <w:p>
      <w:pPr>
        <w:jc w:val="both"/>
        <w:spacing w:after="0" w:line="272" w:lineRule="auto"/>
        <w:rPr>
          <w:sz w:val="20"/>
          <w:szCs w:val="20"/>
          <w:color w:val="auto"/>
        </w:rPr>
      </w:pPr>
      <w:r>
        <w:rPr>
          <w:rFonts w:ascii="Arial" w:cs="Arial" w:eastAsia="Arial" w:hAnsi="Arial"/>
          <w:sz w:val="14"/>
          <w:szCs w:val="14"/>
          <w:color w:val="auto"/>
        </w:rPr>
        <w:t>The Company has a $382.5 million unsecured line of credit that has a maturity date of June 22, 2023. As of March 31, 2019, $320.0 million was outstanding under the line of credit and $62.5 million was available for future use. The line of credit provides that the Company may increase the aggregate financing commitments, through the existing lenders and/or through new lenders, up to a total of $400.0 million, subject to certain conditions.</w:t>
      </w:r>
    </w:p>
    <w:p>
      <w:pPr>
        <w:spacing w:after="0" w:line="99" w:lineRule="exact"/>
        <w:rPr>
          <w:sz w:val="20"/>
          <w:szCs w:val="20"/>
          <w:color w:val="auto"/>
        </w:rPr>
      </w:pPr>
    </w:p>
    <w:p>
      <w:pPr>
        <w:spacing w:after="0"/>
        <w:rPr>
          <w:sz w:val="20"/>
          <w:szCs w:val="20"/>
          <w:color w:val="auto"/>
        </w:rPr>
      </w:pPr>
      <w:r>
        <w:rPr>
          <w:rFonts w:ascii="Arial" w:cs="Arial" w:eastAsia="Arial" w:hAnsi="Arial"/>
          <w:sz w:val="14"/>
          <w:szCs w:val="14"/>
          <w:b w:val="1"/>
          <w:bCs w:val="1"/>
          <w:i w:val="1"/>
          <w:iCs w:val="1"/>
          <w:color w:val="auto"/>
        </w:rPr>
        <w:t>Other Borrowings</w:t>
      </w:r>
    </w:p>
    <w:p>
      <w:pPr>
        <w:spacing w:after="0" w:line="141" w:lineRule="exact"/>
        <w:rPr>
          <w:sz w:val="20"/>
          <w:szCs w:val="20"/>
          <w:color w:val="auto"/>
        </w:rPr>
      </w:pPr>
    </w:p>
    <w:p>
      <w:pPr>
        <w:jc w:val="both"/>
        <w:spacing w:after="0" w:line="288" w:lineRule="auto"/>
        <w:rPr>
          <w:sz w:val="20"/>
          <w:szCs w:val="20"/>
          <w:color w:val="auto"/>
        </w:rPr>
      </w:pPr>
      <w:r>
        <w:rPr>
          <w:rFonts w:ascii="Arial" w:cs="Arial" w:eastAsia="Arial" w:hAnsi="Arial"/>
          <w:sz w:val="14"/>
          <w:szCs w:val="14"/>
          <w:color w:val="auto"/>
        </w:rPr>
        <w:t>The Company has two repurchase agreements, the proceeds of which are collateralized by FFELP asset-backed security investments and private education loans, respectively. Included in "other borrowings" as of March 31, 2019 and December 31, 2018 was a total of $82.0 million and $86.4 million, respectively, subject to these repurchase agreements.</w:t>
      </w:r>
    </w:p>
    <w:p>
      <w:pPr>
        <w:spacing w:after="0" w:line="200" w:lineRule="exact"/>
        <w:rPr>
          <w:sz w:val="20"/>
          <w:szCs w:val="20"/>
          <w:color w:val="auto"/>
        </w:rPr>
      </w:pPr>
    </w:p>
    <w:p>
      <w:pPr>
        <w:spacing w:after="0" w:line="330"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14</w:t>
      </w:r>
    </w:p>
    <w:p>
      <w:pPr>
        <w:sectPr>
          <w:pgSz w:w="11900" w:h="16838" w:orient="portrait"/>
          <w:cols w:equalWidth="0" w:num="1">
            <w:col w:w="11460"/>
          </w:cols>
          <w:pgMar w:left="220" w:top="743" w:right="219" w:bottom="1440" w:gutter="0" w:footer="0" w:header="0"/>
        </w:sectPr>
      </w:pPr>
    </w:p>
    <w:bookmarkStart w:id="15" w:name="page16"/>
    <w:bookmarkEnd w:id="15"/>
    <w:p>
      <w:pPr>
        <w:jc w:val="both"/>
        <w:spacing w:after="0" w:line="294" w:lineRule="auto"/>
        <w:rPr>
          <w:sz w:val="20"/>
          <w:szCs w:val="20"/>
          <w:color w:val="auto"/>
        </w:rPr>
      </w:pPr>
      <w:r>
        <w:rPr>
          <w:rFonts w:ascii="Arial" w:cs="Arial" w:eastAsia="Arial" w:hAnsi="Arial"/>
          <w:sz w:val="13"/>
          <w:szCs w:val="13"/>
          <w:color w:val="auto"/>
        </w:rPr>
        <w:t>The Company had other notes payable included in its consolidated financial statements which were issued by partnerships for certain real estate development projects. Although the Company's ownership of these partnerships are 50 percent or less, because the Company was the developer of and is a current tenant in the associated buildings, the operating results of these partnerships were included in the Company's consolidated financial statements. On January 1, 2019, the Company adopted a new accounting standard for leases (see note 1). As a result of the adoption of this new standard, these real estate entities were deconsolidated, including $33.9 million of related debt. Prior to January 1, 2019, this debt was included in "other borrowings."</w:t>
      </w:r>
    </w:p>
    <w:p>
      <w:pPr>
        <w:spacing w:after="0" w:line="83"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4. Derivative Financial Instruments</w:t>
      </w:r>
    </w:p>
    <w:p>
      <w:pPr>
        <w:spacing w:after="0" w:line="145" w:lineRule="exact"/>
        <w:rPr>
          <w:sz w:val="20"/>
          <w:szCs w:val="20"/>
          <w:color w:val="auto"/>
        </w:rPr>
      </w:pPr>
    </w:p>
    <w:p>
      <w:pPr>
        <w:jc w:val="both"/>
        <w:spacing w:after="0" w:line="272" w:lineRule="auto"/>
        <w:rPr>
          <w:sz w:val="20"/>
          <w:szCs w:val="20"/>
          <w:color w:val="auto"/>
        </w:rPr>
      </w:pPr>
      <w:r>
        <w:rPr>
          <w:rFonts w:ascii="Arial" w:cs="Arial" w:eastAsia="Arial" w:hAnsi="Arial"/>
          <w:sz w:val="14"/>
          <w:szCs w:val="14"/>
          <w:color w:val="auto"/>
        </w:rPr>
        <w:t>The Company uses derivative financial instruments to manage interest rate risk. Derivative instruments used as part of the Company's risk management strategy are further described in note 5 of the notes to consolidated financial statements included in the 2018 Annual Report. A tabular presentation of such derivatives outstanding as of March 31, 2019 and December 31, 2018 is presented below.</w:t>
      </w:r>
    </w:p>
    <w:p>
      <w:pPr>
        <w:spacing w:after="0" w:line="99" w:lineRule="exact"/>
        <w:rPr>
          <w:sz w:val="20"/>
          <w:szCs w:val="20"/>
          <w:color w:val="auto"/>
        </w:rPr>
      </w:pPr>
    </w:p>
    <w:p>
      <w:pPr>
        <w:spacing w:after="0"/>
        <w:rPr>
          <w:sz w:val="20"/>
          <w:szCs w:val="20"/>
          <w:color w:val="auto"/>
        </w:rPr>
      </w:pPr>
      <w:r>
        <w:rPr>
          <w:rFonts w:ascii="Arial" w:cs="Arial" w:eastAsia="Arial" w:hAnsi="Arial"/>
          <w:sz w:val="14"/>
          <w:szCs w:val="14"/>
          <w:b w:val="1"/>
          <w:bCs w:val="1"/>
          <w:i w:val="1"/>
          <w:iCs w:val="1"/>
          <w:color w:val="auto"/>
        </w:rPr>
        <w:t>Basis Swaps</w:t>
      </w:r>
    </w:p>
    <w:p>
      <w:pPr>
        <w:spacing w:after="0" w:line="141" w:lineRule="exact"/>
        <w:rPr>
          <w:sz w:val="20"/>
          <w:szCs w:val="20"/>
          <w:color w:val="auto"/>
        </w:rPr>
      </w:pPr>
    </w:p>
    <w:p>
      <w:pPr>
        <w:jc w:val="both"/>
        <w:spacing w:after="0" w:line="288" w:lineRule="auto"/>
        <w:rPr>
          <w:sz w:val="20"/>
          <w:szCs w:val="20"/>
          <w:color w:val="auto"/>
        </w:rPr>
      </w:pPr>
      <w:r>
        <w:rPr>
          <w:rFonts w:ascii="Arial" w:cs="Arial" w:eastAsia="Arial" w:hAnsi="Arial"/>
          <w:sz w:val="14"/>
          <w:szCs w:val="14"/>
          <w:color w:val="auto"/>
        </w:rPr>
        <w:t>The following table summarizes the Company’s outstanding basis swaps in which the Company receives three-month LIBOR set discretely in advance and pays one-month LIBOR plus or minus a spread as defined in the agreements (the "1:3 Basis Swaps").</w:t>
      </w:r>
    </w:p>
    <w:p>
      <w:pPr>
        <w:spacing w:after="0" w:line="2" w:lineRule="exact"/>
        <w:rPr>
          <w:sz w:val="20"/>
          <w:szCs w:val="20"/>
          <w:color w:val="auto"/>
        </w:rPr>
      </w:pPr>
    </w:p>
    <w:tbl>
      <w:tblPr>
        <w:tblLayout w:type="fixed"/>
        <w:tblInd w:w="1760" w:type="dxa"/>
        <w:tblCellMar>
          <w:top w:w="0" w:type="dxa"/>
          <w:left w:w="0" w:type="dxa"/>
          <w:bottom w:w="0" w:type="dxa"/>
          <w:right w:w="0" w:type="dxa"/>
        </w:tblCellMar>
      </w:tblPr>
      <w:tr>
        <w:trPr>
          <w:trHeight w:val="167"/>
        </w:trPr>
        <w:tc>
          <w:tcPr>
            <w:tcW w:w="100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440" w:type="dxa"/>
            <w:vAlign w:val="bottom"/>
            <w:gridSpan w:val="3"/>
          </w:tcPr>
          <w:p>
            <w:pPr>
              <w:jc w:val="center"/>
              <w:ind w:right="960"/>
              <w:spacing w:after="0"/>
              <w:rPr>
                <w:sz w:val="20"/>
                <w:szCs w:val="20"/>
                <w:color w:val="auto"/>
              </w:rPr>
            </w:pPr>
            <w:r>
              <w:rPr>
                <w:rFonts w:ascii="Arial" w:cs="Arial" w:eastAsia="Arial" w:hAnsi="Arial"/>
                <w:sz w:val="13"/>
                <w:szCs w:val="13"/>
                <w:b w:val="1"/>
                <w:bCs w:val="1"/>
                <w:color w:val="auto"/>
                <w:w w:val="91"/>
              </w:rPr>
              <w:t>As of March 31,</w:t>
            </w:r>
          </w:p>
        </w:tc>
        <w:tc>
          <w:tcPr>
            <w:tcW w:w="1920" w:type="dxa"/>
            <w:vAlign w:val="bottom"/>
            <w:gridSpan w:val="2"/>
          </w:tcPr>
          <w:p>
            <w:pPr>
              <w:jc w:val="center"/>
              <w:ind w:right="700"/>
              <w:spacing w:after="0"/>
              <w:rPr>
                <w:sz w:val="20"/>
                <w:szCs w:val="20"/>
                <w:color w:val="auto"/>
              </w:rPr>
            </w:pPr>
            <w:r>
              <w:rPr>
                <w:rFonts w:ascii="Arial" w:cs="Arial" w:eastAsia="Arial" w:hAnsi="Arial"/>
                <w:sz w:val="13"/>
                <w:szCs w:val="13"/>
                <w:b w:val="1"/>
                <w:bCs w:val="1"/>
                <w:color w:val="auto"/>
                <w:w w:val="87"/>
              </w:rPr>
              <w:t>As of December 31,</w:t>
            </w:r>
          </w:p>
        </w:tc>
        <w:tc>
          <w:tcPr>
            <w:tcW w:w="0" w:type="dxa"/>
            <w:vAlign w:val="bottom"/>
          </w:tcPr>
          <w:p>
            <w:pPr>
              <w:spacing w:after="0"/>
              <w:rPr>
                <w:sz w:val="1"/>
                <w:szCs w:val="1"/>
                <w:color w:val="auto"/>
              </w:rPr>
            </w:pPr>
          </w:p>
        </w:tc>
      </w:tr>
      <w:tr>
        <w:trPr>
          <w:trHeight w:val="205"/>
        </w:trPr>
        <w:tc>
          <w:tcPr>
            <w:tcW w:w="100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820" w:type="dxa"/>
            <w:vAlign w:val="bottom"/>
          </w:tcPr>
          <w:p>
            <w:pPr>
              <w:jc w:val="center"/>
              <w:ind w:right="255"/>
              <w:spacing w:after="0"/>
              <w:rPr>
                <w:sz w:val="20"/>
                <w:szCs w:val="20"/>
                <w:color w:val="auto"/>
              </w:rPr>
            </w:pPr>
            <w:r>
              <w:rPr>
                <w:rFonts w:ascii="Arial" w:cs="Arial" w:eastAsia="Arial" w:hAnsi="Arial"/>
                <w:sz w:val="13"/>
                <w:szCs w:val="13"/>
                <w:b w:val="1"/>
                <w:bCs w:val="1"/>
                <w:color w:val="auto"/>
                <w:w w:val="89"/>
              </w:rPr>
              <w:t>2019</w:t>
            </w:r>
          </w:p>
        </w:tc>
        <w:tc>
          <w:tcPr>
            <w:tcW w:w="16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680" w:type="dxa"/>
            <w:vAlign w:val="bottom"/>
          </w:tcPr>
          <w:p>
            <w:pPr>
              <w:jc w:val="center"/>
              <w:ind w:right="396"/>
              <w:spacing w:after="0"/>
              <w:rPr>
                <w:sz w:val="20"/>
                <w:szCs w:val="20"/>
                <w:color w:val="auto"/>
              </w:rPr>
            </w:pPr>
            <w:r>
              <w:rPr>
                <w:rFonts w:ascii="Arial" w:cs="Arial" w:eastAsia="Arial" w:hAnsi="Arial"/>
                <w:sz w:val="13"/>
                <w:szCs w:val="13"/>
                <w:b w:val="1"/>
                <w:bCs w:val="1"/>
                <w:color w:val="auto"/>
                <w:w w:val="89"/>
              </w:rPr>
              <w:t>2018</w:t>
            </w:r>
          </w:p>
        </w:tc>
        <w:tc>
          <w:tcPr>
            <w:tcW w:w="2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
        </w:trPr>
        <w:tc>
          <w:tcPr>
            <w:tcW w:w="1000" w:type="dxa"/>
            <w:vAlign w:val="bottom"/>
          </w:tcPr>
          <w:p>
            <w:pPr>
              <w:spacing w:after="0"/>
              <w:rPr>
                <w:sz w:val="2"/>
                <w:szCs w:val="2"/>
                <w:color w:val="auto"/>
              </w:rPr>
            </w:pPr>
          </w:p>
        </w:tc>
        <w:tc>
          <w:tcPr>
            <w:tcW w:w="1220" w:type="dxa"/>
            <w:vAlign w:val="bottom"/>
            <w:vMerge w:val="restart"/>
          </w:tcPr>
          <w:p>
            <w:pPr>
              <w:jc w:val="center"/>
              <w:spacing w:after="0"/>
              <w:rPr>
                <w:sz w:val="20"/>
                <w:szCs w:val="20"/>
                <w:color w:val="auto"/>
              </w:rPr>
            </w:pPr>
            <w:r>
              <w:rPr>
                <w:rFonts w:ascii="Arial" w:cs="Arial" w:eastAsia="Arial" w:hAnsi="Arial"/>
                <w:sz w:val="13"/>
                <w:szCs w:val="13"/>
                <w:b w:val="1"/>
                <w:bCs w:val="1"/>
                <w:color w:val="auto"/>
                <w:w w:val="98"/>
              </w:rPr>
              <w:t>Maturity</w:t>
            </w:r>
          </w:p>
        </w:tc>
        <w:tc>
          <w:tcPr>
            <w:tcW w:w="28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8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2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61"/>
        </w:trPr>
        <w:tc>
          <w:tcPr>
            <w:tcW w:w="1000" w:type="dxa"/>
            <w:vAlign w:val="bottom"/>
          </w:tcPr>
          <w:p>
            <w:pPr>
              <w:spacing w:after="0"/>
              <w:rPr>
                <w:sz w:val="13"/>
                <w:szCs w:val="13"/>
                <w:color w:val="auto"/>
              </w:rPr>
            </w:pPr>
          </w:p>
        </w:tc>
        <w:tc>
          <w:tcPr>
            <w:tcW w:w="1220" w:type="dxa"/>
            <w:vAlign w:val="bottom"/>
            <w:tcBorders>
              <w:bottom w:val="single" w:sz="8" w:color="auto"/>
            </w:tcBorders>
            <w:vMerge w:val="continue"/>
          </w:tcPr>
          <w:p>
            <w:pPr>
              <w:spacing w:after="0"/>
              <w:rPr>
                <w:sz w:val="13"/>
                <w:szCs w:val="13"/>
                <w:color w:val="auto"/>
              </w:rPr>
            </w:pPr>
          </w:p>
        </w:tc>
        <w:tc>
          <w:tcPr>
            <w:tcW w:w="280" w:type="dxa"/>
            <w:vAlign w:val="bottom"/>
            <w:tcBorders>
              <w:bottom w:val="single" w:sz="8" w:color="CCEEFF"/>
            </w:tcBorders>
          </w:tcPr>
          <w:p>
            <w:pPr>
              <w:spacing w:after="0"/>
              <w:rPr>
                <w:sz w:val="13"/>
                <w:szCs w:val="13"/>
                <w:color w:val="auto"/>
              </w:rPr>
            </w:pPr>
          </w:p>
        </w:tc>
        <w:tc>
          <w:tcPr>
            <w:tcW w:w="340" w:type="dxa"/>
            <w:vAlign w:val="bottom"/>
            <w:tcBorders>
              <w:bottom w:val="single" w:sz="8" w:color="auto"/>
            </w:tcBorders>
          </w:tcPr>
          <w:p>
            <w:pPr>
              <w:spacing w:after="0"/>
              <w:rPr>
                <w:sz w:val="13"/>
                <w:szCs w:val="13"/>
                <w:color w:val="auto"/>
              </w:rPr>
            </w:pPr>
          </w:p>
        </w:tc>
        <w:tc>
          <w:tcPr>
            <w:tcW w:w="1820" w:type="dxa"/>
            <w:vAlign w:val="bottom"/>
            <w:tcBorders>
              <w:bottom w:val="single" w:sz="8" w:color="auto"/>
            </w:tcBorders>
          </w:tcPr>
          <w:p>
            <w:pPr>
              <w:jc w:val="center"/>
              <w:ind w:right="275"/>
              <w:spacing w:after="0"/>
              <w:rPr>
                <w:sz w:val="20"/>
                <w:szCs w:val="20"/>
                <w:color w:val="auto"/>
              </w:rPr>
            </w:pPr>
            <w:r>
              <w:rPr>
                <w:rFonts w:ascii="Arial" w:cs="Arial" w:eastAsia="Arial" w:hAnsi="Arial"/>
                <w:sz w:val="13"/>
                <w:szCs w:val="13"/>
                <w:b w:val="1"/>
                <w:bCs w:val="1"/>
                <w:color w:val="auto"/>
                <w:w w:val="89"/>
              </w:rPr>
              <w:t>Notional amount</w:t>
            </w:r>
          </w:p>
        </w:tc>
        <w:tc>
          <w:tcPr>
            <w:tcW w:w="160" w:type="dxa"/>
            <w:vAlign w:val="bottom"/>
            <w:tcBorders>
              <w:bottom w:val="single" w:sz="8" w:color="CCEEFF"/>
            </w:tcBorders>
          </w:tcPr>
          <w:p>
            <w:pPr>
              <w:spacing w:after="0"/>
              <w:rPr>
                <w:sz w:val="13"/>
                <w:szCs w:val="13"/>
                <w:color w:val="auto"/>
              </w:rPr>
            </w:pPr>
          </w:p>
        </w:tc>
        <w:tc>
          <w:tcPr>
            <w:tcW w:w="460" w:type="dxa"/>
            <w:vAlign w:val="bottom"/>
            <w:tcBorders>
              <w:bottom w:val="single" w:sz="8" w:color="auto"/>
            </w:tcBorders>
          </w:tcPr>
          <w:p>
            <w:pPr>
              <w:spacing w:after="0"/>
              <w:rPr>
                <w:sz w:val="13"/>
                <w:szCs w:val="13"/>
                <w:color w:val="auto"/>
              </w:rPr>
            </w:pPr>
          </w:p>
        </w:tc>
        <w:tc>
          <w:tcPr>
            <w:tcW w:w="1680" w:type="dxa"/>
            <w:vAlign w:val="bottom"/>
            <w:tcBorders>
              <w:bottom w:val="single" w:sz="8" w:color="auto"/>
            </w:tcBorders>
          </w:tcPr>
          <w:p>
            <w:pPr>
              <w:jc w:val="center"/>
              <w:ind w:right="396"/>
              <w:spacing w:after="0"/>
              <w:rPr>
                <w:sz w:val="20"/>
                <w:szCs w:val="20"/>
                <w:color w:val="auto"/>
              </w:rPr>
            </w:pPr>
            <w:r>
              <w:rPr>
                <w:rFonts w:ascii="Arial" w:cs="Arial" w:eastAsia="Arial" w:hAnsi="Arial"/>
                <w:sz w:val="13"/>
                <w:szCs w:val="13"/>
                <w:b w:val="1"/>
                <w:bCs w:val="1"/>
                <w:color w:val="auto"/>
                <w:w w:val="91"/>
              </w:rPr>
              <w:t>Notional amount</w:t>
            </w:r>
          </w:p>
        </w:tc>
        <w:tc>
          <w:tcPr>
            <w:tcW w:w="2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8"/>
        </w:trPr>
        <w:tc>
          <w:tcPr>
            <w:tcW w:w="1000" w:type="dxa"/>
            <w:vAlign w:val="bottom"/>
          </w:tcPr>
          <w:p>
            <w:pPr>
              <w:spacing w:after="0"/>
              <w:rPr>
                <w:sz w:val="15"/>
                <w:szCs w:val="15"/>
                <w:color w:val="auto"/>
              </w:rPr>
            </w:pPr>
          </w:p>
        </w:tc>
        <w:tc>
          <w:tcPr>
            <w:tcW w:w="12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89"/>
              </w:rPr>
              <w:t>2019</w:t>
            </w:r>
          </w:p>
        </w:tc>
        <w:tc>
          <w:tcPr>
            <w:tcW w:w="620" w:type="dxa"/>
            <w:vAlign w:val="bottom"/>
            <w:tcBorders>
              <w:bottom w:val="single" w:sz="8" w:color="CCEEFF"/>
            </w:tcBorders>
            <w:gridSpan w:val="2"/>
            <w:shd w:val="clear" w:color="auto" w:fill="CCEEFF"/>
          </w:tcPr>
          <w:p>
            <w:pPr>
              <w:jc w:val="right"/>
              <w:ind w:right="195"/>
              <w:spacing w:after="0"/>
              <w:rPr>
                <w:sz w:val="20"/>
                <w:szCs w:val="20"/>
                <w:color w:val="auto"/>
              </w:rPr>
            </w:pPr>
            <w:r>
              <w:rPr>
                <w:rFonts w:ascii="Arial" w:cs="Arial" w:eastAsia="Arial" w:hAnsi="Arial"/>
                <w:sz w:val="13"/>
                <w:szCs w:val="13"/>
                <w:color w:val="auto"/>
              </w:rPr>
              <w:t>$</w:t>
            </w:r>
          </w:p>
        </w:tc>
        <w:tc>
          <w:tcPr>
            <w:tcW w:w="1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3,250,000</w:t>
            </w:r>
          </w:p>
        </w:tc>
        <w:tc>
          <w:tcPr>
            <w:tcW w:w="160" w:type="dxa"/>
            <w:vAlign w:val="bottom"/>
            <w:tcBorders>
              <w:bottom w:val="single" w:sz="8" w:color="CCEEFF"/>
            </w:tcBorders>
            <w:shd w:val="clear" w:color="auto" w:fill="CCEEFF"/>
          </w:tcPr>
          <w:p>
            <w:pPr>
              <w:spacing w:after="0"/>
              <w:rPr>
                <w:sz w:val="15"/>
                <w:szCs w:val="15"/>
                <w:color w:val="auto"/>
              </w:rPr>
            </w:pPr>
          </w:p>
        </w:tc>
        <w:tc>
          <w:tcPr>
            <w:tcW w:w="460" w:type="dxa"/>
            <w:vAlign w:val="bottom"/>
            <w:tcBorders>
              <w:bottom w:val="single" w:sz="8" w:color="CCEEFF"/>
            </w:tcBorders>
            <w:shd w:val="clear" w:color="auto" w:fill="CCEEFF"/>
          </w:tcPr>
          <w:p>
            <w:pPr>
              <w:spacing w:after="0"/>
              <w:rPr>
                <w:sz w:val="15"/>
                <w:szCs w:val="15"/>
                <w:color w:val="auto"/>
              </w:rPr>
            </w:pPr>
          </w:p>
        </w:tc>
        <w:tc>
          <w:tcPr>
            <w:tcW w:w="1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3,500,000</w:t>
            </w:r>
          </w:p>
        </w:tc>
        <w:tc>
          <w:tcPr>
            <w:tcW w:w="2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8"/>
        </w:trPr>
        <w:tc>
          <w:tcPr>
            <w:tcW w:w="2220" w:type="dxa"/>
            <w:vAlign w:val="bottom"/>
            <w:gridSpan w:val="2"/>
          </w:tcPr>
          <w:p>
            <w:pPr>
              <w:jc w:val="center"/>
              <w:ind w:left="937"/>
              <w:spacing w:after="0"/>
              <w:rPr>
                <w:sz w:val="20"/>
                <w:szCs w:val="20"/>
                <w:color w:val="auto"/>
              </w:rPr>
            </w:pPr>
            <w:r>
              <w:rPr>
                <w:rFonts w:ascii="Arial" w:cs="Arial" w:eastAsia="Arial" w:hAnsi="Arial"/>
                <w:sz w:val="13"/>
                <w:szCs w:val="13"/>
                <w:color w:val="auto"/>
                <w:w w:val="89"/>
              </w:rPr>
              <w:t>2020</w:t>
            </w:r>
          </w:p>
        </w:tc>
        <w:tc>
          <w:tcPr>
            <w:tcW w:w="620" w:type="dxa"/>
            <w:vAlign w:val="bottom"/>
            <w:gridSpan w:val="2"/>
          </w:tcPr>
          <w:p>
            <w:pPr>
              <w:spacing w:after="0"/>
              <w:rPr>
                <w:sz w:val="20"/>
                <w:szCs w:val="20"/>
                <w:color w:val="auto"/>
              </w:rPr>
            </w:pPr>
            <w:r>
              <w:rPr>
                <w:rFonts w:ascii="Arial" w:cs="Arial" w:eastAsia="Arial" w:hAnsi="Arial"/>
                <w:sz w:val="10"/>
                <w:szCs w:val="10"/>
                <w:color w:val="auto"/>
              </w:rPr>
              <w:t>(a)</w:t>
            </w:r>
          </w:p>
        </w:tc>
        <w:tc>
          <w:tcPr>
            <w:tcW w:w="1820" w:type="dxa"/>
            <w:vAlign w:val="bottom"/>
          </w:tcPr>
          <w:p>
            <w:pPr>
              <w:jc w:val="right"/>
              <w:spacing w:after="0"/>
              <w:rPr>
                <w:sz w:val="20"/>
                <w:szCs w:val="20"/>
                <w:color w:val="auto"/>
              </w:rPr>
            </w:pPr>
            <w:r>
              <w:rPr>
                <w:rFonts w:ascii="Arial" w:cs="Arial" w:eastAsia="Arial" w:hAnsi="Arial"/>
                <w:sz w:val="13"/>
                <w:szCs w:val="13"/>
                <w:color w:val="auto"/>
              </w:rPr>
              <w:t>1,000,000</w:t>
            </w:r>
          </w:p>
        </w:tc>
        <w:tc>
          <w:tcPr>
            <w:tcW w:w="16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680" w:type="dxa"/>
            <w:vAlign w:val="bottom"/>
          </w:tcPr>
          <w:p>
            <w:pPr>
              <w:jc w:val="right"/>
              <w:spacing w:after="0"/>
              <w:rPr>
                <w:sz w:val="20"/>
                <w:szCs w:val="20"/>
                <w:color w:val="auto"/>
              </w:rPr>
            </w:pPr>
            <w:r>
              <w:rPr>
                <w:rFonts w:ascii="Arial" w:cs="Arial" w:eastAsia="Arial" w:hAnsi="Arial"/>
                <w:sz w:val="13"/>
                <w:szCs w:val="13"/>
                <w:color w:val="auto"/>
              </w:rPr>
              <w:t>1,000,000</w:t>
            </w:r>
          </w:p>
        </w:tc>
        <w:tc>
          <w:tcPr>
            <w:tcW w:w="2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1"/>
        </w:trPr>
        <w:tc>
          <w:tcPr>
            <w:tcW w:w="1000" w:type="dxa"/>
            <w:vAlign w:val="bottom"/>
          </w:tcPr>
          <w:p>
            <w:pPr>
              <w:spacing w:after="0"/>
              <w:rPr>
                <w:sz w:val="18"/>
                <w:szCs w:val="18"/>
                <w:color w:val="auto"/>
              </w:rPr>
            </w:pPr>
          </w:p>
        </w:tc>
        <w:tc>
          <w:tcPr>
            <w:tcW w:w="12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2021</w:t>
            </w:r>
          </w:p>
        </w:tc>
        <w:tc>
          <w:tcPr>
            <w:tcW w:w="620" w:type="dxa"/>
            <w:vAlign w:val="bottom"/>
            <w:gridSpan w:val="2"/>
            <w:shd w:val="clear" w:color="auto" w:fill="CCEEFF"/>
          </w:tcPr>
          <w:p>
            <w:pPr>
              <w:spacing w:after="0"/>
              <w:rPr>
                <w:sz w:val="20"/>
                <w:szCs w:val="20"/>
                <w:color w:val="auto"/>
              </w:rPr>
            </w:pPr>
            <w:r>
              <w:rPr>
                <w:rFonts w:ascii="Arial" w:cs="Arial" w:eastAsia="Arial" w:hAnsi="Arial"/>
                <w:sz w:val="10"/>
                <w:szCs w:val="10"/>
                <w:color w:val="auto"/>
              </w:rPr>
              <w:t>(a)</w:t>
            </w:r>
          </w:p>
        </w:tc>
        <w:tc>
          <w:tcPr>
            <w:tcW w:w="1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250,000</w:t>
            </w:r>
          </w:p>
        </w:tc>
        <w:tc>
          <w:tcPr>
            <w:tcW w:w="16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6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250,000</w:t>
            </w:r>
          </w:p>
        </w:tc>
        <w:tc>
          <w:tcPr>
            <w:tcW w:w="2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220" w:type="dxa"/>
            <w:vAlign w:val="bottom"/>
            <w:gridSpan w:val="2"/>
          </w:tcPr>
          <w:p>
            <w:pPr>
              <w:jc w:val="center"/>
              <w:ind w:left="937"/>
              <w:spacing w:after="0"/>
              <w:rPr>
                <w:sz w:val="20"/>
                <w:szCs w:val="20"/>
                <w:color w:val="auto"/>
              </w:rPr>
            </w:pPr>
            <w:r>
              <w:rPr>
                <w:rFonts w:ascii="Arial" w:cs="Arial" w:eastAsia="Arial" w:hAnsi="Arial"/>
                <w:sz w:val="13"/>
                <w:szCs w:val="13"/>
                <w:color w:val="auto"/>
                <w:w w:val="89"/>
              </w:rPr>
              <w:t>2022</w:t>
            </w:r>
          </w:p>
        </w:tc>
        <w:tc>
          <w:tcPr>
            <w:tcW w:w="620" w:type="dxa"/>
            <w:vAlign w:val="bottom"/>
            <w:gridSpan w:val="2"/>
          </w:tcPr>
          <w:p>
            <w:pPr>
              <w:spacing w:after="0"/>
              <w:rPr>
                <w:sz w:val="20"/>
                <w:szCs w:val="20"/>
                <w:color w:val="auto"/>
              </w:rPr>
            </w:pPr>
            <w:r>
              <w:rPr>
                <w:rFonts w:ascii="Arial" w:cs="Arial" w:eastAsia="Arial" w:hAnsi="Arial"/>
                <w:sz w:val="10"/>
                <w:szCs w:val="10"/>
                <w:color w:val="auto"/>
              </w:rPr>
              <w:t>(b)</w:t>
            </w:r>
          </w:p>
        </w:tc>
        <w:tc>
          <w:tcPr>
            <w:tcW w:w="1820" w:type="dxa"/>
            <w:vAlign w:val="bottom"/>
          </w:tcPr>
          <w:p>
            <w:pPr>
              <w:jc w:val="right"/>
              <w:spacing w:after="0"/>
              <w:rPr>
                <w:sz w:val="20"/>
                <w:szCs w:val="20"/>
                <w:color w:val="auto"/>
              </w:rPr>
            </w:pPr>
            <w:r>
              <w:rPr>
                <w:rFonts w:ascii="Arial" w:cs="Arial" w:eastAsia="Arial" w:hAnsi="Arial"/>
                <w:sz w:val="13"/>
                <w:szCs w:val="13"/>
                <w:color w:val="auto"/>
              </w:rPr>
              <w:t>2,000,000</w:t>
            </w:r>
          </w:p>
        </w:tc>
        <w:tc>
          <w:tcPr>
            <w:tcW w:w="16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680" w:type="dxa"/>
            <w:vAlign w:val="bottom"/>
          </w:tcPr>
          <w:p>
            <w:pPr>
              <w:jc w:val="right"/>
              <w:spacing w:after="0"/>
              <w:rPr>
                <w:sz w:val="20"/>
                <w:szCs w:val="20"/>
                <w:color w:val="auto"/>
              </w:rPr>
            </w:pPr>
            <w:r>
              <w:rPr>
                <w:rFonts w:ascii="Arial" w:cs="Arial" w:eastAsia="Arial" w:hAnsi="Arial"/>
                <w:sz w:val="13"/>
                <w:szCs w:val="13"/>
                <w:color w:val="auto"/>
              </w:rPr>
              <w:t>2,000,000</w:t>
            </w:r>
          </w:p>
        </w:tc>
        <w:tc>
          <w:tcPr>
            <w:tcW w:w="2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1"/>
        </w:trPr>
        <w:tc>
          <w:tcPr>
            <w:tcW w:w="1000" w:type="dxa"/>
            <w:vAlign w:val="bottom"/>
          </w:tcPr>
          <w:p>
            <w:pPr>
              <w:spacing w:after="0"/>
              <w:rPr>
                <w:sz w:val="16"/>
                <w:szCs w:val="16"/>
                <w:color w:val="auto"/>
              </w:rPr>
            </w:pPr>
          </w:p>
        </w:tc>
        <w:tc>
          <w:tcPr>
            <w:tcW w:w="12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89"/>
              </w:rPr>
              <w:t>2023</w:t>
            </w:r>
          </w:p>
        </w:tc>
        <w:tc>
          <w:tcPr>
            <w:tcW w:w="280" w:type="dxa"/>
            <w:vAlign w:val="bottom"/>
            <w:tcBorders>
              <w:bottom w:val="single" w:sz="8" w:color="CCEEFF"/>
            </w:tcBorders>
            <w:shd w:val="clear" w:color="auto" w:fill="CCEEFF"/>
          </w:tcPr>
          <w:p>
            <w:pPr>
              <w:spacing w:after="0"/>
              <w:rPr>
                <w:sz w:val="16"/>
                <w:szCs w:val="16"/>
                <w:color w:val="auto"/>
              </w:rPr>
            </w:pPr>
          </w:p>
        </w:tc>
        <w:tc>
          <w:tcPr>
            <w:tcW w:w="340" w:type="dxa"/>
            <w:vAlign w:val="bottom"/>
            <w:tcBorders>
              <w:bottom w:val="single" w:sz="8" w:color="CCEEFF"/>
            </w:tcBorders>
            <w:shd w:val="clear" w:color="auto" w:fill="CCEEFF"/>
          </w:tcPr>
          <w:p>
            <w:pPr>
              <w:spacing w:after="0"/>
              <w:rPr>
                <w:sz w:val="16"/>
                <w:szCs w:val="16"/>
                <w:color w:val="auto"/>
              </w:rPr>
            </w:pPr>
          </w:p>
        </w:tc>
        <w:tc>
          <w:tcPr>
            <w:tcW w:w="1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750,000</w:t>
            </w:r>
          </w:p>
        </w:tc>
        <w:tc>
          <w:tcPr>
            <w:tcW w:w="160" w:type="dxa"/>
            <w:vAlign w:val="bottom"/>
            <w:tcBorders>
              <w:bottom w:val="single" w:sz="8" w:color="CCEEFF"/>
            </w:tcBorders>
            <w:shd w:val="clear" w:color="auto" w:fill="CCEEFF"/>
          </w:tcPr>
          <w:p>
            <w:pPr>
              <w:spacing w:after="0"/>
              <w:rPr>
                <w:sz w:val="16"/>
                <w:szCs w:val="16"/>
                <w:color w:val="auto"/>
              </w:rPr>
            </w:pPr>
          </w:p>
        </w:tc>
        <w:tc>
          <w:tcPr>
            <w:tcW w:w="460" w:type="dxa"/>
            <w:vAlign w:val="bottom"/>
            <w:tcBorders>
              <w:bottom w:val="single" w:sz="8" w:color="CCEEFF"/>
            </w:tcBorders>
            <w:shd w:val="clear" w:color="auto" w:fill="CCEEFF"/>
          </w:tcPr>
          <w:p>
            <w:pPr>
              <w:spacing w:after="0"/>
              <w:rPr>
                <w:sz w:val="16"/>
                <w:szCs w:val="16"/>
                <w:color w:val="auto"/>
              </w:rPr>
            </w:pPr>
          </w:p>
        </w:tc>
        <w:tc>
          <w:tcPr>
            <w:tcW w:w="1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750,000</w:t>
            </w:r>
          </w:p>
        </w:tc>
        <w:tc>
          <w:tcPr>
            <w:tcW w:w="2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78"/>
        </w:trPr>
        <w:tc>
          <w:tcPr>
            <w:tcW w:w="2220" w:type="dxa"/>
            <w:vAlign w:val="bottom"/>
            <w:gridSpan w:val="2"/>
          </w:tcPr>
          <w:p>
            <w:pPr>
              <w:jc w:val="center"/>
              <w:ind w:left="937"/>
              <w:spacing w:after="0"/>
              <w:rPr>
                <w:sz w:val="20"/>
                <w:szCs w:val="20"/>
                <w:color w:val="auto"/>
              </w:rPr>
            </w:pPr>
            <w:r>
              <w:rPr>
                <w:rFonts w:ascii="Arial" w:cs="Arial" w:eastAsia="Arial" w:hAnsi="Arial"/>
                <w:sz w:val="13"/>
                <w:szCs w:val="13"/>
                <w:color w:val="auto"/>
                <w:w w:val="89"/>
              </w:rPr>
              <w:t>2024</w:t>
            </w:r>
          </w:p>
        </w:tc>
        <w:tc>
          <w:tcPr>
            <w:tcW w:w="2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820" w:type="dxa"/>
            <w:vAlign w:val="bottom"/>
          </w:tcPr>
          <w:p>
            <w:pPr>
              <w:jc w:val="right"/>
              <w:spacing w:after="0"/>
              <w:rPr>
                <w:sz w:val="20"/>
                <w:szCs w:val="20"/>
                <w:color w:val="auto"/>
              </w:rPr>
            </w:pPr>
            <w:r>
              <w:rPr>
                <w:rFonts w:ascii="Arial" w:cs="Arial" w:eastAsia="Arial" w:hAnsi="Arial"/>
                <w:sz w:val="13"/>
                <w:szCs w:val="13"/>
                <w:color w:val="auto"/>
              </w:rPr>
              <w:t>250,000</w:t>
            </w:r>
          </w:p>
        </w:tc>
        <w:tc>
          <w:tcPr>
            <w:tcW w:w="16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680" w:type="dxa"/>
            <w:vAlign w:val="bottom"/>
          </w:tcPr>
          <w:p>
            <w:pPr>
              <w:jc w:val="right"/>
              <w:spacing w:after="0"/>
              <w:rPr>
                <w:sz w:val="20"/>
                <w:szCs w:val="20"/>
                <w:color w:val="auto"/>
              </w:rPr>
            </w:pPr>
            <w:r>
              <w:rPr>
                <w:rFonts w:ascii="Arial" w:cs="Arial" w:eastAsia="Arial" w:hAnsi="Arial"/>
                <w:sz w:val="13"/>
                <w:szCs w:val="13"/>
                <w:color w:val="auto"/>
              </w:rPr>
              <w:t>250,000</w:t>
            </w:r>
          </w:p>
        </w:tc>
        <w:tc>
          <w:tcPr>
            <w:tcW w:w="2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7"/>
        </w:trPr>
        <w:tc>
          <w:tcPr>
            <w:tcW w:w="2220" w:type="dxa"/>
            <w:vAlign w:val="bottom"/>
            <w:gridSpan w:val="2"/>
          </w:tcPr>
          <w:p>
            <w:pPr>
              <w:spacing w:after="0"/>
              <w:rPr>
                <w:sz w:val="2"/>
                <w:szCs w:val="2"/>
                <w:color w:val="auto"/>
              </w:rPr>
            </w:pPr>
          </w:p>
        </w:tc>
        <w:tc>
          <w:tcPr>
            <w:tcW w:w="2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820" w:type="dxa"/>
            <w:vAlign w:val="bottom"/>
          </w:tcPr>
          <w:p>
            <w:pPr>
              <w:spacing w:after="0"/>
              <w:rPr>
                <w:sz w:val="2"/>
                <w:szCs w:val="2"/>
                <w:color w:val="auto"/>
              </w:rPr>
            </w:pPr>
          </w:p>
        </w:tc>
        <w:tc>
          <w:tcPr>
            <w:tcW w:w="160" w:type="dxa"/>
            <w:vAlign w:val="bottom"/>
          </w:tcPr>
          <w:p>
            <w:pPr>
              <w:spacing w:after="0"/>
              <w:rPr>
                <w:sz w:val="2"/>
                <w:szCs w:val="2"/>
                <w:color w:val="auto"/>
              </w:rPr>
            </w:pPr>
          </w:p>
        </w:tc>
        <w:tc>
          <w:tcPr>
            <w:tcW w:w="460" w:type="dxa"/>
            <w:vAlign w:val="bottom"/>
          </w:tcPr>
          <w:p>
            <w:pPr>
              <w:spacing w:after="0"/>
              <w:rPr>
                <w:sz w:val="2"/>
                <w:szCs w:val="2"/>
                <w:color w:val="auto"/>
              </w:rPr>
            </w:pPr>
          </w:p>
        </w:tc>
        <w:tc>
          <w:tcPr>
            <w:tcW w:w="1680" w:type="dxa"/>
            <w:vAlign w:val="bottom"/>
          </w:tcPr>
          <w:p>
            <w:pPr>
              <w:spacing w:after="0"/>
              <w:rPr>
                <w:sz w:val="2"/>
                <w:szCs w:val="2"/>
                <w:color w:val="auto"/>
              </w:rPr>
            </w:pPr>
          </w:p>
        </w:tc>
        <w:tc>
          <w:tcPr>
            <w:tcW w:w="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5"/>
        </w:trPr>
        <w:tc>
          <w:tcPr>
            <w:tcW w:w="1000" w:type="dxa"/>
            <w:vAlign w:val="bottom"/>
          </w:tcPr>
          <w:p>
            <w:pPr>
              <w:spacing w:after="0"/>
              <w:rPr>
                <w:sz w:val="16"/>
                <w:szCs w:val="16"/>
                <w:color w:val="auto"/>
              </w:rPr>
            </w:pPr>
          </w:p>
        </w:tc>
        <w:tc>
          <w:tcPr>
            <w:tcW w:w="12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89"/>
              </w:rPr>
              <w:t>2026</w:t>
            </w:r>
          </w:p>
        </w:tc>
        <w:tc>
          <w:tcPr>
            <w:tcW w:w="280" w:type="dxa"/>
            <w:vAlign w:val="bottom"/>
            <w:tcBorders>
              <w:bottom w:val="single" w:sz="8" w:color="CCEEFF"/>
            </w:tcBorders>
            <w:shd w:val="clear" w:color="auto" w:fill="CCEEFF"/>
          </w:tcPr>
          <w:p>
            <w:pPr>
              <w:spacing w:after="0"/>
              <w:rPr>
                <w:sz w:val="16"/>
                <w:szCs w:val="16"/>
                <w:color w:val="auto"/>
              </w:rPr>
            </w:pPr>
          </w:p>
        </w:tc>
        <w:tc>
          <w:tcPr>
            <w:tcW w:w="340" w:type="dxa"/>
            <w:vAlign w:val="bottom"/>
            <w:tcBorders>
              <w:bottom w:val="single" w:sz="8" w:color="CCEEFF"/>
            </w:tcBorders>
            <w:shd w:val="clear" w:color="auto" w:fill="CCEEFF"/>
          </w:tcPr>
          <w:p>
            <w:pPr>
              <w:spacing w:after="0"/>
              <w:rPr>
                <w:sz w:val="16"/>
                <w:szCs w:val="16"/>
                <w:color w:val="auto"/>
              </w:rPr>
            </w:pPr>
          </w:p>
        </w:tc>
        <w:tc>
          <w:tcPr>
            <w:tcW w:w="1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1,150,000</w:t>
            </w:r>
          </w:p>
        </w:tc>
        <w:tc>
          <w:tcPr>
            <w:tcW w:w="160" w:type="dxa"/>
            <w:vAlign w:val="bottom"/>
            <w:tcBorders>
              <w:bottom w:val="single" w:sz="8" w:color="CCEEFF"/>
            </w:tcBorders>
            <w:shd w:val="clear" w:color="auto" w:fill="CCEEFF"/>
          </w:tcPr>
          <w:p>
            <w:pPr>
              <w:spacing w:after="0"/>
              <w:rPr>
                <w:sz w:val="16"/>
                <w:szCs w:val="16"/>
                <w:color w:val="auto"/>
              </w:rPr>
            </w:pPr>
          </w:p>
        </w:tc>
        <w:tc>
          <w:tcPr>
            <w:tcW w:w="460" w:type="dxa"/>
            <w:vAlign w:val="bottom"/>
            <w:tcBorders>
              <w:bottom w:val="single" w:sz="8" w:color="CCEEFF"/>
            </w:tcBorders>
            <w:shd w:val="clear" w:color="auto" w:fill="CCEEFF"/>
          </w:tcPr>
          <w:p>
            <w:pPr>
              <w:spacing w:after="0"/>
              <w:rPr>
                <w:sz w:val="16"/>
                <w:szCs w:val="16"/>
                <w:color w:val="auto"/>
              </w:rPr>
            </w:pPr>
          </w:p>
        </w:tc>
        <w:tc>
          <w:tcPr>
            <w:tcW w:w="1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1,150,000</w:t>
            </w:r>
          </w:p>
        </w:tc>
        <w:tc>
          <w:tcPr>
            <w:tcW w:w="2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78"/>
        </w:trPr>
        <w:tc>
          <w:tcPr>
            <w:tcW w:w="2220" w:type="dxa"/>
            <w:vAlign w:val="bottom"/>
            <w:gridSpan w:val="2"/>
          </w:tcPr>
          <w:p>
            <w:pPr>
              <w:jc w:val="center"/>
              <w:ind w:left="937"/>
              <w:spacing w:after="0"/>
              <w:rPr>
                <w:sz w:val="20"/>
                <w:szCs w:val="20"/>
                <w:color w:val="auto"/>
              </w:rPr>
            </w:pPr>
            <w:r>
              <w:rPr>
                <w:rFonts w:ascii="Arial" w:cs="Arial" w:eastAsia="Arial" w:hAnsi="Arial"/>
                <w:sz w:val="13"/>
                <w:szCs w:val="13"/>
                <w:color w:val="auto"/>
                <w:w w:val="89"/>
              </w:rPr>
              <w:t>2027</w:t>
            </w:r>
          </w:p>
        </w:tc>
        <w:tc>
          <w:tcPr>
            <w:tcW w:w="2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820" w:type="dxa"/>
            <w:vAlign w:val="bottom"/>
          </w:tcPr>
          <w:p>
            <w:pPr>
              <w:jc w:val="right"/>
              <w:spacing w:after="0"/>
              <w:rPr>
                <w:sz w:val="20"/>
                <w:szCs w:val="20"/>
                <w:color w:val="auto"/>
              </w:rPr>
            </w:pPr>
            <w:r>
              <w:rPr>
                <w:rFonts w:ascii="Arial" w:cs="Arial" w:eastAsia="Arial" w:hAnsi="Arial"/>
                <w:sz w:val="13"/>
                <w:szCs w:val="13"/>
                <w:color w:val="auto"/>
              </w:rPr>
              <w:t>375,000</w:t>
            </w:r>
          </w:p>
        </w:tc>
        <w:tc>
          <w:tcPr>
            <w:tcW w:w="16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680" w:type="dxa"/>
            <w:vAlign w:val="bottom"/>
          </w:tcPr>
          <w:p>
            <w:pPr>
              <w:jc w:val="right"/>
              <w:spacing w:after="0"/>
              <w:rPr>
                <w:sz w:val="20"/>
                <w:szCs w:val="20"/>
                <w:color w:val="auto"/>
              </w:rPr>
            </w:pPr>
            <w:r>
              <w:rPr>
                <w:rFonts w:ascii="Arial" w:cs="Arial" w:eastAsia="Arial" w:hAnsi="Arial"/>
                <w:sz w:val="13"/>
                <w:szCs w:val="13"/>
                <w:color w:val="auto"/>
              </w:rPr>
              <w:t>375,000</w:t>
            </w:r>
          </w:p>
        </w:tc>
        <w:tc>
          <w:tcPr>
            <w:tcW w:w="2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7"/>
        </w:trPr>
        <w:tc>
          <w:tcPr>
            <w:tcW w:w="2220" w:type="dxa"/>
            <w:vAlign w:val="bottom"/>
            <w:gridSpan w:val="2"/>
          </w:tcPr>
          <w:p>
            <w:pPr>
              <w:spacing w:after="0"/>
              <w:rPr>
                <w:sz w:val="2"/>
                <w:szCs w:val="2"/>
                <w:color w:val="auto"/>
              </w:rPr>
            </w:pPr>
          </w:p>
        </w:tc>
        <w:tc>
          <w:tcPr>
            <w:tcW w:w="2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820" w:type="dxa"/>
            <w:vAlign w:val="bottom"/>
          </w:tcPr>
          <w:p>
            <w:pPr>
              <w:spacing w:after="0"/>
              <w:rPr>
                <w:sz w:val="2"/>
                <w:szCs w:val="2"/>
                <w:color w:val="auto"/>
              </w:rPr>
            </w:pPr>
          </w:p>
        </w:tc>
        <w:tc>
          <w:tcPr>
            <w:tcW w:w="160" w:type="dxa"/>
            <w:vAlign w:val="bottom"/>
          </w:tcPr>
          <w:p>
            <w:pPr>
              <w:spacing w:after="0"/>
              <w:rPr>
                <w:sz w:val="2"/>
                <w:szCs w:val="2"/>
                <w:color w:val="auto"/>
              </w:rPr>
            </w:pPr>
          </w:p>
        </w:tc>
        <w:tc>
          <w:tcPr>
            <w:tcW w:w="460" w:type="dxa"/>
            <w:vAlign w:val="bottom"/>
          </w:tcPr>
          <w:p>
            <w:pPr>
              <w:spacing w:after="0"/>
              <w:rPr>
                <w:sz w:val="2"/>
                <w:szCs w:val="2"/>
                <w:color w:val="auto"/>
              </w:rPr>
            </w:pPr>
          </w:p>
        </w:tc>
        <w:tc>
          <w:tcPr>
            <w:tcW w:w="1680" w:type="dxa"/>
            <w:vAlign w:val="bottom"/>
          </w:tcPr>
          <w:p>
            <w:pPr>
              <w:spacing w:after="0"/>
              <w:rPr>
                <w:sz w:val="2"/>
                <w:szCs w:val="2"/>
                <w:color w:val="auto"/>
              </w:rPr>
            </w:pPr>
          </w:p>
        </w:tc>
        <w:tc>
          <w:tcPr>
            <w:tcW w:w="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5"/>
        </w:trPr>
        <w:tc>
          <w:tcPr>
            <w:tcW w:w="1000" w:type="dxa"/>
            <w:vAlign w:val="bottom"/>
          </w:tcPr>
          <w:p>
            <w:pPr>
              <w:spacing w:after="0"/>
              <w:rPr>
                <w:sz w:val="16"/>
                <w:szCs w:val="16"/>
                <w:color w:val="auto"/>
              </w:rPr>
            </w:pPr>
          </w:p>
        </w:tc>
        <w:tc>
          <w:tcPr>
            <w:tcW w:w="12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89"/>
              </w:rPr>
              <w:t>2028</w:t>
            </w:r>
          </w:p>
        </w:tc>
        <w:tc>
          <w:tcPr>
            <w:tcW w:w="280" w:type="dxa"/>
            <w:vAlign w:val="bottom"/>
            <w:tcBorders>
              <w:bottom w:val="single" w:sz="8" w:color="CCEEFF"/>
            </w:tcBorders>
            <w:shd w:val="clear" w:color="auto" w:fill="CCEEFF"/>
          </w:tcPr>
          <w:p>
            <w:pPr>
              <w:spacing w:after="0"/>
              <w:rPr>
                <w:sz w:val="16"/>
                <w:szCs w:val="16"/>
                <w:color w:val="auto"/>
              </w:rPr>
            </w:pPr>
          </w:p>
        </w:tc>
        <w:tc>
          <w:tcPr>
            <w:tcW w:w="340" w:type="dxa"/>
            <w:vAlign w:val="bottom"/>
            <w:tcBorders>
              <w:bottom w:val="single" w:sz="8" w:color="CCEEFF"/>
            </w:tcBorders>
            <w:shd w:val="clear" w:color="auto" w:fill="CCEEFF"/>
          </w:tcPr>
          <w:p>
            <w:pPr>
              <w:spacing w:after="0"/>
              <w:rPr>
                <w:sz w:val="16"/>
                <w:szCs w:val="16"/>
                <w:color w:val="auto"/>
              </w:rPr>
            </w:pPr>
          </w:p>
        </w:tc>
        <w:tc>
          <w:tcPr>
            <w:tcW w:w="1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325,000</w:t>
            </w:r>
          </w:p>
        </w:tc>
        <w:tc>
          <w:tcPr>
            <w:tcW w:w="160" w:type="dxa"/>
            <w:vAlign w:val="bottom"/>
            <w:tcBorders>
              <w:bottom w:val="single" w:sz="8" w:color="CCEEFF"/>
            </w:tcBorders>
            <w:shd w:val="clear" w:color="auto" w:fill="CCEEFF"/>
          </w:tcPr>
          <w:p>
            <w:pPr>
              <w:spacing w:after="0"/>
              <w:rPr>
                <w:sz w:val="16"/>
                <w:szCs w:val="16"/>
                <w:color w:val="auto"/>
              </w:rPr>
            </w:pPr>
          </w:p>
        </w:tc>
        <w:tc>
          <w:tcPr>
            <w:tcW w:w="460" w:type="dxa"/>
            <w:vAlign w:val="bottom"/>
            <w:tcBorders>
              <w:bottom w:val="single" w:sz="8" w:color="CCEEFF"/>
            </w:tcBorders>
            <w:shd w:val="clear" w:color="auto" w:fill="CCEEFF"/>
          </w:tcPr>
          <w:p>
            <w:pPr>
              <w:spacing w:after="0"/>
              <w:rPr>
                <w:sz w:val="16"/>
                <w:szCs w:val="16"/>
                <w:color w:val="auto"/>
              </w:rPr>
            </w:pPr>
          </w:p>
        </w:tc>
        <w:tc>
          <w:tcPr>
            <w:tcW w:w="1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325,000</w:t>
            </w:r>
          </w:p>
        </w:tc>
        <w:tc>
          <w:tcPr>
            <w:tcW w:w="2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78"/>
        </w:trPr>
        <w:tc>
          <w:tcPr>
            <w:tcW w:w="2220" w:type="dxa"/>
            <w:vAlign w:val="bottom"/>
            <w:gridSpan w:val="2"/>
          </w:tcPr>
          <w:p>
            <w:pPr>
              <w:jc w:val="center"/>
              <w:ind w:left="937"/>
              <w:spacing w:after="0"/>
              <w:rPr>
                <w:sz w:val="20"/>
                <w:szCs w:val="20"/>
                <w:color w:val="auto"/>
              </w:rPr>
            </w:pPr>
            <w:r>
              <w:rPr>
                <w:rFonts w:ascii="Arial" w:cs="Arial" w:eastAsia="Arial" w:hAnsi="Arial"/>
                <w:sz w:val="13"/>
                <w:szCs w:val="13"/>
                <w:color w:val="auto"/>
                <w:w w:val="89"/>
              </w:rPr>
              <w:t>2029</w:t>
            </w:r>
          </w:p>
        </w:tc>
        <w:tc>
          <w:tcPr>
            <w:tcW w:w="2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820" w:type="dxa"/>
            <w:vAlign w:val="bottom"/>
          </w:tcPr>
          <w:p>
            <w:pPr>
              <w:jc w:val="right"/>
              <w:spacing w:after="0"/>
              <w:rPr>
                <w:sz w:val="20"/>
                <w:szCs w:val="20"/>
                <w:color w:val="auto"/>
              </w:rPr>
            </w:pPr>
            <w:r>
              <w:rPr>
                <w:rFonts w:ascii="Arial" w:cs="Arial" w:eastAsia="Arial" w:hAnsi="Arial"/>
                <w:sz w:val="13"/>
                <w:szCs w:val="13"/>
                <w:color w:val="auto"/>
              </w:rPr>
              <w:t>100,000</w:t>
            </w:r>
          </w:p>
        </w:tc>
        <w:tc>
          <w:tcPr>
            <w:tcW w:w="16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680" w:type="dxa"/>
            <w:vAlign w:val="bottom"/>
          </w:tcPr>
          <w:p>
            <w:pPr>
              <w:jc w:val="right"/>
              <w:spacing w:after="0"/>
              <w:rPr>
                <w:sz w:val="20"/>
                <w:szCs w:val="20"/>
                <w:color w:val="auto"/>
              </w:rPr>
            </w:pPr>
            <w:r>
              <w:rPr>
                <w:rFonts w:ascii="Arial" w:cs="Arial" w:eastAsia="Arial" w:hAnsi="Arial"/>
                <w:sz w:val="13"/>
                <w:szCs w:val="13"/>
                <w:color w:val="auto"/>
              </w:rPr>
              <w:t>100,000</w:t>
            </w:r>
          </w:p>
        </w:tc>
        <w:tc>
          <w:tcPr>
            <w:tcW w:w="2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7"/>
        </w:trPr>
        <w:tc>
          <w:tcPr>
            <w:tcW w:w="2220" w:type="dxa"/>
            <w:vAlign w:val="bottom"/>
            <w:gridSpan w:val="2"/>
          </w:tcPr>
          <w:p>
            <w:pPr>
              <w:spacing w:after="0"/>
              <w:rPr>
                <w:sz w:val="2"/>
                <w:szCs w:val="2"/>
                <w:color w:val="auto"/>
              </w:rPr>
            </w:pPr>
          </w:p>
        </w:tc>
        <w:tc>
          <w:tcPr>
            <w:tcW w:w="2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820" w:type="dxa"/>
            <w:vAlign w:val="bottom"/>
          </w:tcPr>
          <w:p>
            <w:pPr>
              <w:spacing w:after="0"/>
              <w:rPr>
                <w:sz w:val="2"/>
                <w:szCs w:val="2"/>
                <w:color w:val="auto"/>
              </w:rPr>
            </w:pPr>
          </w:p>
        </w:tc>
        <w:tc>
          <w:tcPr>
            <w:tcW w:w="160" w:type="dxa"/>
            <w:vAlign w:val="bottom"/>
          </w:tcPr>
          <w:p>
            <w:pPr>
              <w:spacing w:after="0"/>
              <w:rPr>
                <w:sz w:val="2"/>
                <w:szCs w:val="2"/>
                <w:color w:val="auto"/>
              </w:rPr>
            </w:pPr>
          </w:p>
        </w:tc>
        <w:tc>
          <w:tcPr>
            <w:tcW w:w="460" w:type="dxa"/>
            <w:vAlign w:val="bottom"/>
          </w:tcPr>
          <w:p>
            <w:pPr>
              <w:spacing w:after="0"/>
              <w:rPr>
                <w:sz w:val="2"/>
                <w:szCs w:val="2"/>
                <w:color w:val="auto"/>
              </w:rPr>
            </w:pPr>
          </w:p>
        </w:tc>
        <w:tc>
          <w:tcPr>
            <w:tcW w:w="1680" w:type="dxa"/>
            <w:vAlign w:val="bottom"/>
          </w:tcPr>
          <w:p>
            <w:pPr>
              <w:spacing w:after="0"/>
              <w:rPr>
                <w:sz w:val="2"/>
                <w:szCs w:val="2"/>
                <w:color w:val="auto"/>
              </w:rPr>
            </w:pPr>
          </w:p>
        </w:tc>
        <w:tc>
          <w:tcPr>
            <w:tcW w:w="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0"/>
        </w:trPr>
        <w:tc>
          <w:tcPr>
            <w:tcW w:w="1000" w:type="dxa"/>
            <w:vAlign w:val="bottom"/>
          </w:tcPr>
          <w:p>
            <w:pPr>
              <w:spacing w:after="0"/>
              <w:rPr>
                <w:sz w:val="17"/>
                <w:szCs w:val="17"/>
                <w:color w:val="auto"/>
              </w:rPr>
            </w:pPr>
          </w:p>
        </w:tc>
        <w:tc>
          <w:tcPr>
            <w:tcW w:w="12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89"/>
              </w:rPr>
              <w:t>2031</w:t>
            </w:r>
          </w:p>
        </w:tc>
        <w:tc>
          <w:tcPr>
            <w:tcW w:w="280" w:type="dxa"/>
            <w:vAlign w:val="bottom"/>
            <w:tcBorders>
              <w:bottom w:val="single" w:sz="8" w:color="CCEEFF"/>
            </w:tcBorders>
            <w:shd w:val="clear" w:color="auto" w:fill="CCEEFF"/>
          </w:tcPr>
          <w:p>
            <w:pPr>
              <w:spacing w:after="0"/>
              <w:rPr>
                <w:sz w:val="17"/>
                <w:szCs w:val="17"/>
                <w:color w:val="auto"/>
              </w:rPr>
            </w:pPr>
          </w:p>
        </w:tc>
        <w:tc>
          <w:tcPr>
            <w:tcW w:w="340" w:type="dxa"/>
            <w:vAlign w:val="bottom"/>
            <w:tcBorders>
              <w:bottom w:val="single" w:sz="8" w:color="CCEEFF"/>
            </w:tcBorders>
            <w:shd w:val="clear" w:color="auto" w:fill="CCEEFF"/>
          </w:tcPr>
          <w:p>
            <w:pPr>
              <w:spacing w:after="0"/>
              <w:rPr>
                <w:sz w:val="17"/>
                <w:szCs w:val="17"/>
                <w:color w:val="auto"/>
              </w:rPr>
            </w:pPr>
          </w:p>
        </w:tc>
        <w:tc>
          <w:tcPr>
            <w:tcW w:w="1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300,000</w:t>
            </w:r>
          </w:p>
        </w:tc>
        <w:tc>
          <w:tcPr>
            <w:tcW w:w="160" w:type="dxa"/>
            <w:vAlign w:val="bottom"/>
            <w:tcBorders>
              <w:bottom w:val="single" w:sz="8" w:color="CCEEFF"/>
            </w:tcBorders>
            <w:shd w:val="clear" w:color="auto" w:fill="CCEEFF"/>
          </w:tcPr>
          <w:p>
            <w:pPr>
              <w:spacing w:after="0"/>
              <w:rPr>
                <w:sz w:val="17"/>
                <w:szCs w:val="17"/>
                <w:color w:val="auto"/>
              </w:rPr>
            </w:pPr>
          </w:p>
        </w:tc>
        <w:tc>
          <w:tcPr>
            <w:tcW w:w="460" w:type="dxa"/>
            <w:vAlign w:val="bottom"/>
            <w:tcBorders>
              <w:bottom w:val="single" w:sz="8" w:color="CCEEFF"/>
            </w:tcBorders>
            <w:shd w:val="clear" w:color="auto" w:fill="CCEEFF"/>
          </w:tcPr>
          <w:p>
            <w:pPr>
              <w:spacing w:after="0"/>
              <w:rPr>
                <w:sz w:val="17"/>
                <w:szCs w:val="17"/>
                <w:color w:val="auto"/>
              </w:rPr>
            </w:pPr>
          </w:p>
        </w:tc>
        <w:tc>
          <w:tcPr>
            <w:tcW w:w="1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300,000</w:t>
            </w:r>
          </w:p>
        </w:tc>
        <w:tc>
          <w:tcPr>
            <w:tcW w:w="2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1"/>
        </w:trPr>
        <w:tc>
          <w:tcPr>
            <w:tcW w:w="1000" w:type="dxa"/>
            <w:vAlign w:val="bottom"/>
          </w:tcPr>
          <w:p>
            <w:pPr>
              <w:spacing w:after="0"/>
              <w:rPr>
                <w:sz w:val="18"/>
                <w:szCs w:val="18"/>
                <w:color w:val="auto"/>
              </w:rPr>
            </w:pPr>
          </w:p>
        </w:tc>
        <w:tc>
          <w:tcPr>
            <w:tcW w:w="1220" w:type="dxa"/>
            <w:vAlign w:val="bottom"/>
            <w:tcBorders>
              <w:top w:val="single" w:sz="8" w:color="CCEEFF"/>
              <w:bottom w:val="single" w:sz="8" w:color="CCEEFF"/>
            </w:tcBorders>
            <w:shd w:val="clear" w:color="auto" w:fill="CCEEFF"/>
          </w:tcPr>
          <w:p>
            <w:pPr>
              <w:spacing w:after="0"/>
              <w:rPr>
                <w:sz w:val="18"/>
                <w:szCs w:val="18"/>
                <w:color w:val="auto"/>
              </w:rPr>
            </w:pP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340" w:type="dxa"/>
            <w:vAlign w:val="bottom"/>
            <w:tcBorders>
              <w:top w:val="single" w:sz="8" w:color="auto"/>
              <w:bottom w:val="single" w:sz="8" w:color="CCEEFF"/>
            </w:tcBorders>
            <w:shd w:val="clear" w:color="auto" w:fill="CCEEFF"/>
          </w:tcPr>
          <w:p>
            <w:pPr>
              <w:jc w:val="right"/>
              <w:ind w:right="195"/>
              <w:spacing w:after="0"/>
              <w:rPr>
                <w:sz w:val="20"/>
                <w:szCs w:val="20"/>
                <w:color w:val="auto"/>
              </w:rPr>
            </w:pPr>
            <w:r>
              <w:rPr>
                <w:rFonts w:ascii="Arial" w:cs="Arial" w:eastAsia="Arial" w:hAnsi="Arial"/>
                <w:sz w:val="13"/>
                <w:szCs w:val="13"/>
                <w:color w:val="auto"/>
                <w:w w:val="82"/>
              </w:rPr>
              <w:t>$</w:t>
            </w:r>
          </w:p>
        </w:tc>
        <w:tc>
          <w:tcPr>
            <w:tcW w:w="18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9,750,000</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460" w:type="dxa"/>
            <w:vAlign w:val="bottom"/>
            <w:tcBorders>
              <w:top w:val="single" w:sz="8" w:color="auto"/>
              <w:bottom w:val="single" w:sz="8" w:color="CCEEFF"/>
            </w:tcBorders>
            <w:shd w:val="clear" w:color="auto" w:fill="CCEEFF"/>
          </w:tcPr>
          <w:p>
            <w:pPr>
              <w:spacing w:after="0"/>
              <w:rPr>
                <w:sz w:val="18"/>
                <w:szCs w:val="18"/>
                <w:color w:val="auto"/>
              </w:rPr>
            </w:pPr>
          </w:p>
        </w:tc>
        <w:tc>
          <w:tcPr>
            <w:tcW w:w="16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10,000,000</w:t>
            </w:r>
          </w:p>
        </w:tc>
        <w:tc>
          <w:tcPr>
            <w:tcW w:w="2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000" w:type="dxa"/>
            <w:vAlign w:val="bottom"/>
          </w:tcPr>
          <w:p>
            <w:pPr>
              <w:spacing w:after="0" w:line="20" w:lineRule="exact"/>
              <w:rPr>
                <w:sz w:val="1"/>
                <w:szCs w:val="1"/>
                <w:color w:val="auto"/>
              </w:rPr>
            </w:pPr>
          </w:p>
        </w:tc>
        <w:tc>
          <w:tcPr>
            <w:tcW w:w="1500" w:type="dxa"/>
            <w:vAlign w:val="bottom"/>
            <w:tcBorders>
              <w:top w:val="single" w:sz="8" w:color="CCEEFF"/>
            </w:tcBorders>
            <w:gridSpan w:val="2"/>
          </w:tcPr>
          <w:p>
            <w:pPr>
              <w:spacing w:after="0" w:line="20" w:lineRule="exact"/>
              <w:rPr>
                <w:sz w:val="1"/>
                <w:szCs w:val="1"/>
                <w:color w:val="auto"/>
              </w:rPr>
            </w:pPr>
          </w:p>
        </w:tc>
        <w:tc>
          <w:tcPr>
            <w:tcW w:w="2160" w:type="dxa"/>
            <w:vAlign w:val="bottom"/>
            <w:tcBorders>
              <w:top w:val="single" w:sz="8" w:color="auto"/>
              <w:bottom w:val="single" w:sz="8" w:color="auto"/>
            </w:tcBorders>
            <w:gridSpan w:val="2"/>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6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7"/>
        </w:trPr>
        <w:tc>
          <w:tcPr>
            <w:tcW w:w="5280" w:type="dxa"/>
            <w:vAlign w:val="bottom"/>
            <w:gridSpan w:val="7"/>
          </w:tcPr>
          <w:p>
            <w:pPr>
              <w:jc w:val="center"/>
              <w:ind w:right="2100"/>
              <w:spacing w:after="0"/>
              <w:rPr>
                <w:sz w:val="20"/>
                <w:szCs w:val="20"/>
                <w:color w:val="auto"/>
              </w:rPr>
            </w:pPr>
            <w:r>
              <w:rPr>
                <w:rFonts w:ascii="Arial" w:cs="Arial" w:eastAsia="Arial" w:hAnsi="Arial"/>
                <w:sz w:val="11"/>
                <w:szCs w:val="11"/>
                <w:color w:val="auto"/>
                <w:w w:val="94"/>
              </w:rPr>
              <w:t>(a) These derivatives have a forward effective start date in May 2019.</w:t>
            </w:r>
          </w:p>
        </w:tc>
        <w:tc>
          <w:tcPr>
            <w:tcW w:w="168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72"/>
        </w:trPr>
        <w:tc>
          <w:tcPr>
            <w:tcW w:w="5280" w:type="dxa"/>
            <w:vAlign w:val="bottom"/>
            <w:gridSpan w:val="7"/>
          </w:tcPr>
          <w:p>
            <w:pPr>
              <w:spacing w:after="0"/>
              <w:rPr>
                <w:sz w:val="20"/>
                <w:szCs w:val="20"/>
                <w:color w:val="auto"/>
              </w:rPr>
            </w:pPr>
            <w:r>
              <w:rPr>
                <w:rFonts w:ascii="Arial" w:cs="Arial" w:eastAsia="Arial" w:hAnsi="Arial"/>
                <w:sz w:val="11"/>
                <w:szCs w:val="11"/>
                <w:color w:val="auto"/>
                <w:w w:val="96"/>
              </w:rPr>
              <w:t>(b) $250 million and $750 million of the notional amount of these derivatives have forward effective start dates in</w:t>
            </w:r>
          </w:p>
        </w:tc>
        <w:tc>
          <w:tcPr>
            <w:tcW w:w="1920" w:type="dxa"/>
            <w:vAlign w:val="bottom"/>
            <w:gridSpan w:val="2"/>
          </w:tcPr>
          <w:p>
            <w:pPr>
              <w:ind w:left="120"/>
              <w:spacing w:after="0"/>
              <w:rPr>
                <w:sz w:val="20"/>
                <w:szCs w:val="20"/>
                <w:color w:val="auto"/>
              </w:rPr>
            </w:pPr>
            <w:r>
              <w:rPr>
                <w:rFonts w:ascii="Arial" w:cs="Arial" w:eastAsia="Arial" w:hAnsi="Arial"/>
                <w:sz w:val="11"/>
                <w:szCs w:val="11"/>
                <w:color w:val="auto"/>
                <w:w w:val="94"/>
              </w:rPr>
              <w:t>May 2019 and May 2020, respectively.</w:t>
            </w:r>
          </w:p>
        </w:tc>
        <w:tc>
          <w:tcPr>
            <w:tcW w:w="0" w:type="dxa"/>
            <w:vAlign w:val="bottom"/>
          </w:tcPr>
          <w:p>
            <w:pPr>
              <w:spacing w:after="0"/>
              <w:rPr>
                <w:sz w:val="1"/>
                <w:szCs w:val="1"/>
                <w:color w:val="auto"/>
              </w:rPr>
            </w:pPr>
          </w:p>
        </w:tc>
      </w:tr>
    </w:tbl>
    <w:p>
      <w:pPr>
        <w:spacing w:after="0" w:line="160" w:lineRule="exact"/>
        <w:rPr>
          <w:sz w:val="20"/>
          <w:szCs w:val="20"/>
          <w:color w:val="auto"/>
        </w:rPr>
      </w:pPr>
    </w:p>
    <w:p>
      <w:pPr>
        <w:spacing w:after="0"/>
        <w:rPr>
          <w:sz w:val="20"/>
          <w:szCs w:val="20"/>
          <w:color w:val="auto"/>
        </w:rPr>
      </w:pPr>
      <w:r>
        <w:rPr>
          <w:rFonts w:ascii="Arial" w:cs="Arial" w:eastAsia="Arial" w:hAnsi="Arial"/>
          <w:sz w:val="13"/>
          <w:szCs w:val="13"/>
          <w:color w:val="auto"/>
        </w:rPr>
        <w:t>The weighted average rate paid by the Company on the 1:3 Basis Swaps as of March 31, 2019 and December 31, 2018 was one-month LIBOR plus 9.5 basis points and 9.4 basis points, respectively.</w:t>
      </w:r>
    </w:p>
    <w:p>
      <w:pPr>
        <w:spacing w:after="0" w:line="152" w:lineRule="exact"/>
        <w:rPr>
          <w:sz w:val="20"/>
          <w:szCs w:val="20"/>
          <w:color w:val="auto"/>
        </w:rPr>
      </w:pPr>
    </w:p>
    <w:p>
      <w:pPr>
        <w:spacing w:after="0"/>
        <w:rPr>
          <w:sz w:val="20"/>
          <w:szCs w:val="20"/>
          <w:color w:val="auto"/>
        </w:rPr>
      </w:pPr>
      <w:r>
        <w:rPr>
          <w:rFonts w:ascii="Arial" w:cs="Arial" w:eastAsia="Arial" w:hAnsi="Arial"/>
          <w:sz w:val="14"/>
          <w:szCs w:val="14"/>
          <w:b w:val="1"/>
          <w:bCs w:val="1"/>
          <w:i w:val="1"/>
          <w:iCs w:val="1"/>
          <w:color w:val="auto"/>
        </w:rPr>
        <w:t>Interest Rate Swaps – Floor Income Hedges</w:t>
      </w:r>
    </w:p>
    <w:p>
      <w:pPr>
        <w:spacing w:after="0" w:line="141" w:lineRule="exact"/>
        <w:rPr>
          <w:sz w:val="20"/>
          <w:szCs w:val="20"/>
          <w:color w:val="auto"/>
        </w:rPr>
      </w:pPr>
    </w:p>
    <w:p>
      <w:pPr>
        <w:spacing w:after="0"/>
        <w:rPr>
          <w:sz w:val="20"/>
          <w:szCs w:val="20"/>
          <w:color w:val="auto"/>
        </w:rPr>
      </w:pPr>
      <w:r>
        <w:rPr>
          <w:rFonts w:ascii="Arial" w:cs="Arial" w:eastAsia="Arial" w:hAnsi="Arial"/>
          <w:sz w:val="14"/>
          <w:szCs w:val="14"/>
          <w:color w:val="auto"/>
        </w:rPr>
        <w:t>The following table summarizes the outstanding derivative instruments used by the Company to economically hedge loans earning fixed rate floor income.</w:t>
      </w:r>
    </w:p>
    <w:p>
      <w:pPr>
        <w:spacing w:after="0" w:line="55" w:lineRule="exact"/>
        <w:rPr>
          <w:sz w:val="20"/>
          <w:szCs w:val="20"/>
          <w:color w:val="auto"/>
        </w:rPr>
      </w:pPr>
    </w:p>
    <w:tbl>
      <w:tblPr>
        <w:tblLayout w:type="fixed"/>
        <w:tblInd w:w="1180" w:type="dxa"/>
        <w:tblCellMar>
          <w:top w:w="0" w:type="dxa"/>
          <w:left w:w="0" w:type="dxa"/>
          <w:bottom w:w="0" w:type="dxa"/>
          <w:right w:w="0" w:type="dxa"/>
        </w:tblCellMar>
      </w:tblPr>
      <w:tr>
        <w:trPr>
          <w:trHeight w:val="167"/>
        </w:trPr>
        <w:tc>
          <w:tcPr>
            <w:tcW w:w="14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340" w:type="dxa"/>
            <w:vAlign w:val="bottom"/>
            <w:gridSpan w:val="3"/>
          </w:tcPr>
          <w:p>
            <w:pPr>
              <w:jc w:val="right"/>
              <w:ind w:right="1095"/>
              <w:spacing w:after="0"/>
              <w:rPr>
                <w:sz w:val="20"/>
                <w:szCs w:val="20"/>
                <w:color w:val="auto"/>
              </w:rPr>
            </w:pPr>
            <w:r>
              <w:rPr>
                <w:rFonts w:ascii="Arial" w:cs="Arial" w:eastAsia="Arial" w:hAnsi="Arial"/>
                <w:sz w:val="13"/>
                <w:szCs w:val="13"/>
                <w:b w:val="1"/>
                <w:bCs w:val="1"/>
                <w:color w:val="auto"/>
              </w:rPr>
              <w:t>As of March 31, 2019</w:t>
            </w: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360" w:type="dxa"/>
            <w:vAlign w:val="bottom"/>
            <w:gridSpan w:val="3"/>
          </w:tcPr>
          <w:p>
            <w:pPr>
              <w:jc w:val="right"/>
              <w:ind w:right="995"/>
              <w:spacing w:after="0"/>
              <w:rPr>
                <w:sz w:val="20"/>
                <w:szCs w:val="20"/>
                <w:color w:val="auto"/>
              </w:rPr>
            </w:pPr>
            <w:r>
              <w:rPr>
                <w:rFonts w:ascii="Arial" w:cs="Arial" w:eastAsia="Arial" w:hAnsi="Arial"/>
                <w:sz w:val="13"/>
                <w:szCs w:val="13"/>
                <w:b w:val="1"/>
                <w:bCs w:val="1"/>
                <w:color w:val="auto"/>
              </w:rPr>
              <w:t>As of December 31, 2018</w:t>
            </w:r>
          </w:p>
        </w:tc>
        <w:tc>
          <w:tcPr>
            <w:tcW w:w="140" w:type="dxa"/>
            <w:vAlign w:val="bottom"/>
          </w:tcPr>
          <w:p>
            <w:pPr>
              <w:spacing w:after="0"/>
              <w:rPr>
                <w:sz w:val="14"/>
                <w:szCs w:val="14"/>
                <w:color w:val="auto"/>
              </w:rPr>
            </w:pPr>
          </w:p>
        </w:tc>
      </w:tr>
      <w:tr>
        <w:trPr>
          <w:trHeight w:val="27"/>
        </w:trPr>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r>
      <w:tr>
        <w:trPr>
          <w:trHeight w:val="239"/>
        </w:trPr>
        <w:tc>
          <w:tcPr>
            <w:tcW w:w="14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700" w:type="dxa"/>
            <w:vAlign w:val="bottom"/>
          </w:tcPr>
          <w:p>
            <w:pPr>
              <w:jc w:val="right"/>
              <w:spacing w:after="0"/>
              <w:rPr>
                <w:sz w:val="20"/>
                <w:szCs w:val="20"/>
                <w:color w:val="auto"/>
              </w:rPr>
            </w:pPr>
            <w:r>
              <w:rPr>
                <w:rFonts w:ascii="Arial" w:cs="Arial" w:eastAsia="Arial" w:hAnsi="Arial"/>
                <w:sz w:val="13"/>
                <w:szCs w:val="13"/>
                <w:b w:val="1"/>
                <w:bCs w:val="1"/>
                <w:color w:val="auto"/>
                <w:w w:val="96"/>
              </w:rPr>
              <w:t>Weighted average fixed rate</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700" w:type="dxa"/>
            <w:vAlign w:val="bottom"/>
          </w:tcPr>
          <w:p>
            <w:pPr>
              <w:jc w:val="right"/>
              <w:spacing w:after="0"/>
              <w:rPr>
                <w:sz w:val="20"/>
                <w:szCs w:val="20"/>
                <w:color w:val="auto"/>
              </w:rPr>
            </w:pPr>
            <w:r>
              <w:rPr>
                <w:rFonts w:ascii="Arial" w:cs="Arial" w:eastAsia="Arial" w:hAnsi="Arial"/>
                <w:sz w:val="13"/>
                <w:szCs w:val="13"/>
                <w:b w:val="1"/>
                <w:bCs w:val="1"/>
                <w:color w:val="auto"/>
                <w:w w:val="96"/>
              </w:rPr>
              <w:t>Weighted average fixed rate</w:t>
            </w:r>
          </w:p>
        </w:tc>
        <w:tc>
          <w:tcPr>
            <w:tcW w:w="140" w:type="dxa"/>
            <w:vAlign w:val="bottom"/>
          </w:tcPr>
          <w:p>
            <w:pPr>
              <w:spacing w:after="0"/>
              <w:rPr>
                <w:sz w:val="20"/>
                <w:szCs w:val="20"/>
                <w:color w:val="auto"/>
              </w:rPr>
            </w:pPr>
          </w:p>
        </w:tc>
      </w:tr>
      <w:tr>
        <w:trPr>
          <w:trHeight w:val="167"/>
        </w:trPr>
        <w:tc>
          <w:tcPr>
            <w:tcW w:w="1540" w:type="dxa"/>
            <w:vAlign w:val="bottom"/>
            <w:gridSpan w:val="2"/>
          </w:tcPr>
          <w:p>
            <w:pPr>
              <w:jc w:val="center"/>
              <w:ind w:right="120"/>
              <w:spacing w:after="0"/>
              <w:rPr>
                <w:sz w:val="20"/>
                <w:szCs w:val="20"/>
                <w:color w:val="auto"/>
              </w:rPr>
            </w:pPr>
            <w:r>
              <w:rPr>
                <w:rFonts w:ascii="Arial" w:cs="Arial" w:eastAsia="Arial" w:hAnsi="Arial"/>
                <w:sz w:val="13"/>
                <w:szCs w:val="13"/>
                <w:b w:val="1"/>
                <w:bCs w:val="1"/>
                <w:color w:val="auto"/>
                <w:w w:val="98"/>
              </w:rPr>
              <w:t>Maturity</w:t>
            </w:r>
          </w:p>
        </w:tc>
        <w:tc>
          <w:tcPr>
            <w:tcW w:w="260" w:type="dxa"/>
            <w:vAlign w:val="bottom"/>
          </w:tcPr>
          <w:p>
            <w:pPr>
              <w:spacing w:after="0"/>
              <w:rPr>
                <w:sz w:val="14"/>
                <w:szCs w:val="14"/>
                <w:color w:val="auto"/>
              </w:rPr>
            </w:pPr>
          </w:p>
        </w:tc>
        <w:tc>
          <w:tcPr>
            <w:tcW w:w="1640" w:type="dxa"/>
            <w:vAlign w:val="bottom"/>
            <w:gridSpan w:val="2"/>
          </w:tcPr>
          <w:p>
            <w:pPr>
              <w:ind w:left="160"/>
              <w:spacing w:after="0"/>
              <w:rPr>
                <w:sz w:val="20"/>
                <w:szCs w:val="20"/>
                <w:color w:val="auto"/>
              </w:rPr>
            </w:pPr>
            <w:r>
              <w:rPr>
                <w:rFonts w:ascii="Arial" w:cs="Arial" w:eastAsia="Arial" w:hAnsi="Arial"/>
                <w:sz w:val="13"/>
                <w:szCs w:val="13"/>
                <w:b w:val="1"/>
                <w:bCs w:val="1"/>
                <w:color w:val="auto"/>
              </w:rPr>
              <w:t>Notional amount</w:t>
            </w:r>
          </w:p>
        </w:tc>
        <w:tc>
          <w:tcPr>
            <w:tcW w:w="1700" w:type="dxa"/>
            <w:vAlign w:val="bottom"/>
          </w:tcPr>
          <w:p>
            <w:pPr>
              <w:jc w:val="right"/>
              <w:ind w:right="35"/>
              <w:spacing w:after="0"/>
              <w:rPr>
                <w:sz w:val="20"/>
                <w:szCs w:val="20"/>
                <w:color w:val="auto"/>
              </w:rPr>
            </w:pPr>
            <w:r>
              <w:rPr>
                <w:rFonts w:ascii="Arial" w:cs="Arial" w:eastAsia="Arial" w:hAnsi="Arial"/>
                <w:sz w:val="13"/>
                <w:szCs w:val="13"/>
                <w:b w:val="1"/>
                <w:bCs w:val="1"/>
                <w:color w:val="auto"/>
              </w:rPr>
              <w:t>paid by the Company (a)</w:t>
            </w: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660" w:type="dxa"/>
            <w:vAlign w:val="bottom"/>
            <w:gridSpan w:val="2"/>
          </w:tcPr>
          <w:p>
            <w:pPr>
              <w:ind w:left="180"/>
              <w:spacing w:after="0"/>
              <w:rPr>
                <w:sz w:val="20"/>
                <w:szCs w:val="20"/>
                <w:color w:val="auto"/>
              </w:rPr>
            </w:pPr>
            <w:r>
              <w:rPr>
                <w:rFonts w:ascii="Arial" w:cs="Arial" w:eastAsia="Arial" w:hAnsi="Arial"/>
                <w:sz w:val="13"/>
                <w:szCs w:val="13"/>
                <w:b w:val="1"/>
                <w:bCs w:val="1"/>
                <w:color w:val="auto"/>
              </w:rPr>
              <w:t>Notional amount</w:t>
            </w:r>
          </w:p>
        </w:tc>
        <w:tc>
          <w:tcPr>
            <w:tcW w:w="1700" w:type="dxa"/>
            <w:vAlign w:val="bottom"/>
          </w:tcPr>
          <w:p>
            <w:pPr>
              <w:jc w:val="right"/>
              <w:ind w:right="35"/>
              <w:spacing w:after="0"/>
              <w:rPr>
                <w:sz w:val="20"/>
                <w:szCs w:val="20"/>
                <w:color w:val="auto"/>
              </w:rPr>
            </w:pPr>
            <w:r>
              <w:rPr>
                <w:rFonts w:ascii="Arial" w:cs="Arial" w:eastAsia="Arial" w:hAnsi="Arial"/>
                <w:sz w:val="13"/>
                <w:szCs w:val="13"/>
                <w:b w:val="1"/>
                <w:bCs w:val="1"/>
                <w:color w:val="auto"/>
              </w:rPr>
              <w:t>paid by the Company (a)</w:t>
            </w:r>
          </w:p>
        </w:tc>
        <w:tc>
          <w:tcPr>
            <w:tcW w:w="140" w:type="dxa"/>
            <w:vAlign w:val="bottom"/>
          </w:tcPr>
          <w:p>
            <w:pPr>
              <w:spacing w:after="0"/>
              <w:rPr>
                <w:sz w:val="14"/>
                <w:szCs w:val="14"/>
                <w:color w:val="auto"/>
              </w:rPr>
            </w:pPr>
          </w:p>
        </w:tc>
      </w:tr>
      <w:tr>
        <w:trPr>
          <w:trHeight w:val="27"/>
        </w:trPr>
        <w:tc>
          <w:tcPr>
            <w:tcW w:w="14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r>
      <w:tr>
        <w:trPr>
          <w:trHeight w:val="176"/>
        </w:trPr>
        <w:tc>
          <w:tcPr>
            <w:tcW w:w="14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89"/>
              </w:rPr>
              <w:t>2019</w:t>
            </w:r>
          </w:p>
        </w:tc>
        <w:tc>
          <w:tcPr>
            <w:tcW w:w="100" w:type="dxa"/>
            <w:vAlign w:val="bottom"/>
            <w:tcBorders>
              <w:bottom w:val="single" w:sz="8" w:color="CCEEFF"/>
            </w:tcBorders>
            <w:shd w:val="clear" w:color="auto" w:fill="CCEEFF"/>
          </w:tcPr>
          <w:p>
            <w:pPr>
              <w:spacing w:after="0"/>
              <w:rPr>
                <w:sz w:val="15"/>
                <w:szCs w:val="15"/>
                <w:color w:val="auto"/>
              </w:rPr>
            </w:pPr>
          </w:p>
        </w:tc>
        <w:tc>
          <w:tcPr>
            <w:tcW w:w="260" w:type="dxa"/>
            <w:vAlign w:val="bottom"/>
            <w:tcBorders>
              <w:bottom w:val="single" w:sz="8" w:color="CCEEFF"/>
            </w:tcBorders>
            <w:shd w:val="clear" w:color="auto" w:fill="CCEEFF"/>
          </w:tcPr>
          <w:p>
            <w:pPr>
              <w:jc w:val="right"/>
              <w:ind w:right="115"/>
              <w:spacing w:after="0"/>
              <w:rPr>
                <w:sz w:val="20"/>
                <w:szCs w:val="20"/>
                <w:color w:val="auto"/>
              </w:rPr>
            </w:pPr>
            <w:r>
              <w:rPr>
                <w:rFonts w:ascii="Arial" w:cs="Arial" w:eastAsia="Arial" w:hAnsi="Arial"/>
                <w:sz w:val="13"/>
                <w:szCs w:val="13"/>
                <w:color w:val="auto"/>
                <w:w w:val="82"/>
              </w:rPr>
              <w:t>$</w:t>
            </w: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1,500,000</w:t>
            </w:r>
          </w:p>
        </w:tc>
        <w:tc>
          <w:tcPr>
            <w:tcW w:w="100" w:type="dxa"/>
            <w:vAlign w:val="bottom"/>
            <w:tcBorders>
              <w:bottom w:val="single" w:sz="8" w:color="CCEEFF"/>
            </w:tcBorders>
            <w:shd w:val="clear" w:color="auto" w:fill="CCEEFF"/>
          </w:tcPr>
          <w:p>
            <w:pPr>
              <w:spacing w:after="0"/>
              <w:rPr>
                <w:sz w:val="15"/>
                <w:szCs w:val="15"/>
                <w:color w:val="auto"/>
              </w:rPr>
            </w:pPr>
          </w:p>
        </w:tc>
        <w:tc>
          <w:tcPr>
            <w:tcW w:w="1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0.98</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w w:val="86"/>
              </w:rPr>
              <w:t>%</w:t>
            </w:r>
          </w:p>
        </w:tc>
        <w:tc>
          <w:tcPr>
            <w:tcW w:w="100" w:type="dxa"/>
            <w:vAlign w:val="bottom"/>
            <w:tcBorders>
              <w:bottom w:val="single" w:sz="8" w:color="CCEEFF"/>
            </w:tcBorders>
            <w:shd w:val="clear" w:color="auto" w:fill="CCEEFF"/>
          </w:tcPr>
          <w:p>
            <w:pPr>
              <w:spacing w:after="0"/>
              <w:rPr>
                <w:sz w:val="15"/>
                <w:szCs w:val="15"/>
                <w:color w:val="auto"/>
              </w:rPr>
            </w:pPr>
          </w:p>
        </w:tc>
        <w:tc>
          <w:tcPr>
            <w:tcW w:w="240" w:type="dxa"/>
            <w:vAlign w:val="bottom"/>
            <w:tcBorders>
              <w:bottom w:val="single" w:sz="8" w:color="CCEEFF"/>
            </w:tcBorders>
            <w:shd w:val="clear" w:color="auto" w:fill="CCEEFF"/>
          </w:tcPr>
          <w:p>
            <w:pPr>
              <w:jc w:val="right"/>
              <w:ind w:right="95"/>
              <w:spacing w:after="0"/>
              <w:rPr>
                <w:sz w:val="20"/>
                <w:szCs w:val="20"/>
                <w:color w:val="auto"/>
              </w:rPr>
            </w:pPr>
            <w:r>
              <w:rPr>
                <w:rFonts w:ascii="Arial" w:cs="Arial" w:eastAsia="Arial" w:hAnsi="Arial"/>
                <w:sz w:val="13"/>
                <w:szCs w:val="13"/>
                <w:color w:val="auto"/>
                <w:w w:val="82"/>
              </w:rPr>
              <w:t>$</w:t>
            </w: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3,250,000</w:t>
            </w:r>
          </w:p>
        </w:tc>
        <w:tc>
          <w:tcPr>
            <w:tcW w:w="120" w:type="dxa"/>
            <w:vAlign w:val="bottom"/>
            <w:tcBorders>
              <w:bottom w:val="single" w:sz="8" w:color="CCEEFF"/>
            </w:tcBorders>
            <w:shd w:val="clear" w:color="auto" w:fill="CCEEFF"/>
          </w:tcPr>
          <w:p>
            <w:pPr>
              <w:spacing w:after="0"/>
              <w:rPr>
                <w:sz w:val="15"/>
                <w:szCs w:val="15"/>
                <w:color w:val="auto"/>
              </w:rPr>
            </w:pPr>
          </w:p>
        </w:tc>
        <w:tc>
          <w:tcPr>
            <w:tcW w:w="1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0.97</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w w:val="86"/>
              </w:rPr>
              <w:t>%</w:t>
            </w:r>
          </w:p>
        </w:tc>
      </w:tr>
      <w:tr>
        <w:trPr>
          <w:trHeight w:val="178"/>
        </w:trPr>
        <w:tc>
          <w:tcPr>
            <w:tcW w:w="1440" w:type="dxa"/>
            <w:vAlign w:val="bottom"/>
          </w:tcPr>
          <w:p>
            <w:pPr>
              <w:jc w:val="center"/>
              <w:spacing w:after="0"/>
              <w:rPr>
                <w:sz w:val="20"/>
                <w:szCs w:val="20"/>
                <w:color w:val="auto"/>
              </w:rPr>
            </w:pPr>
            <w:r>
              <w:rPr>
                <w:rFonts w:ascii="Arial" w:cs="Arial" w:eastAsia="Arial" w:hAnsi="Arial"/>
                <w:sz w:val="13"/>
                <w:szCs w:val="13"/>
                <w:color w:val="auto"/>
                <w:w w:val="89"/>
              </w:rPr>
              <w:t>2020</w:t>
            </w: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540" w:type="dxa"/>
            <w:vAlign w:val="bottom"/>
          </w:tcPr>
          <w:p>
            <w:pPr>
              <w:jc w:val="right"/>
              <w:spacing w:after="0"/>
              <w:rPr>
                <w:sz w:val="20"/>
                <w:szCs w:val="20"/>
                <w:color w:val="auto"/>
              </w:rPr>
            </w:pPr>
            <w:r>
              <w:rPr>
                <w:rFonts w:ascii="Arial" w:cs="Arial" w:eastAsia="Arial" w:hAnsi="Arial"/>
                <w:sz w:val="13"/>
                <w:szCs w:val="13"/>
                <w:color w:val="auto"/>
              </w:rPr>
              <w:t>1,500,000</w:t>
            </w:r>
          </w:p>
        </w:tc>
        <w:tc>
          <w:tcPr>
            <w:tcW w:w="100" w:type="dxa"/>
            <w:vAlign w:val="bottom"/>
          </w:tcPr>
          <w:p>
            <w:pPr>
              <w:spacing w:after="0"/>
              <w:rPr>
                <w:sz w:val="15"/>
                <w:szCs w:val="15"/>
                <w:color w:val="auto"/>
              </w:rPr>
            </w:pPr>
          </w:p>
        </w:tc>
        <w:tc>
          <w:tcPr>
            <w:tcW w:w="1700" w:type="dxa"/>
            <w:vAlign w:val="bottom"/>
          </w:tcPr>
          <w:p>
            <w:pPr>
              <w:jc w:val="right"/>
              <w:spacing w:after="0"/>
              <w:rPr>
                <w:sz w:val="20"/>
                <w:szCs w:val="20"/>
                <w:color w:val="auto"/>
              </w:rPr>
            </w:pPr>
            <w:r>
              <w:rPr>
                <w:rFonts w:ascii="Arial" w:cs="Arial" w:eastAsia="Arial" w:hAnsi="Arial"/>
                <w:sz w:val="13"/>
                <w:szCs w:val="13"/>
                <w:color w:val="auto"/>
              </w:rPr>
              <w:t>1.01</w:t>
            </w: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540" w:type="dxa"/>
            <w:vAlign w:val="bottom"/>
          </w:tcPr>
          <w:p>
            <w:pPr>
              <w:jc w:val="right"/>
              <w:spacing w:after="0"/>
              <w:rPr>
                <w:sz w:val="20"/>
                <w:szCs w:val="20"/>
                <w:color w:val="auto"/>
              </w:rPr>
            </w:pPr>
            <w:r>
              <w:rPr>
                <w:rFonts w:ascii="Arial" w:cs="Arial" w:eastAsia="Arial" w:hAnsi="Arial"/>
                <w:sz w:val="13"/>
                <w:szCs w:val="13"/>
                <w:color w:val="auto"/>
              </w:rPr>
              <w:t>1,500,000</w:t>
            </w:r>
          </w:p>
        </w:tc>
        <w:tc>
          <w:tcPr>
            <w:tcW w:w="120" w:type="dxa"/>
            <w:vAlign w:val="bottom"/>
          </w:tcPr>
          <w:p>
            <w:pPr>
              <w:spacing w:after="0"/>
              <w:rPr>
                <w:sz w:val="15"/>
                <w:szCs w:val="15"/>
                <w:color w:val="auto"/>
              </w:rPr>
            </w:pPr>
          </w:p>
        </w:tc>
        <w:tc>
          <w:tcPr>
            <w:tcW w:w="1700" w:type="dxa"/>
            <w:vAlign w:val="bottom"/>
          </w:tcPr>
          <w:p>
            <w:pPr>
              <w:jc w:val="right"/>
              <w:spacing w:after="0"/>
              <w:rPr>
                <w:sz w:val="20"/>
                <w:szCs w:val="20"/>
                <w:color w:val="auto"/>
              </w:rPr>
            </w:pPr>
            <w:r>
              <w:rPr>
                <w:rFonts w:ascii="Arial" w:cs="Arial" w:eastAsia="Arial" w:hAnsi="Arial"/>
                <w:sz w:val="13"/>
                <w:szCs w:val="13"/>
                <w:color w:val="auto"/>
              </w:rPr>
              <w:t>1.01</w:t>
            </w:r>
          </w:p>
        </w:tc>
        <w:tc>
          <w:tcPr>
            <w:tcW w:w="140" w:type="dxa"/>
            <w:vAlign w:val="bottom"/>
          </w:tcPr>
          <w:p>
            <w:pPr>
              <w:spacing w:after="0"/>
              <w:rPr>
                <w:sz w:val="15"/>
                <w:szCs w:val="15"/>
                <w:color w:val="auto"/>
              </w:rPr>
            </w:pPr>
          </w:p>
        </w:tc>
      </w:tr>
      <w:tr>
        <w:trPr>
          <w:trHeight w:val="27"/>
        </w:trPr>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40" w:type="dxa"/>
            <w:vAlign w:val="bottom"/>
          </w:tcPr>
          <w:p>
            <w:pPr>
              <w:spacing w:after="0"/>
              <w:rPr>
                <w:sz w:val="2"/>
                <w:szCs w:val="2"/>
                <w:color w:val="auto"/>
              </w:rPr>
            </w:pPr>
          </w:p>
        </w:tc>
      </w:tr>
      <w:tr>
        <w:trPr>
          <w:trHeight w:val="185"/>
        </w:trPr>
        <w:tc>
          <w:tcPr>
            <w:tcW w:w="14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89"/>
              </w:rPr>
              <w:t>2021</w:t>
            </w:r>
          </w:p>
        </w:tc>
        <w:tc>
          <w:tcPr>
            <w:tcW w:w="100" w:type="dxa"/>
            <w:vAlign w:val="bottom"/>
            <w:tcBorders>
              <w:bottom w:val="single" w:sz="8" w:color="CCEEFF"/>
            </w:tcBorders>
            <w:shd w:val="clear" w:color="auto" w:fill="CCEEFF"/>
          </w:tcPr>
          <w:p>
            <w:pPr>
              <w:spacing w:after="0"/>
              <w:rPr>
                <w:sz w:val="16"/>
                <w:szCs w:val="16"/>
                <w:color w:val="auto"/>
              </w:rPr>
            </w:pPr>
          </w:p>
        </w:tc>
        <w:tc>
          <w:tcPr>
            <w:tcW w:w="260" w:type="dxa"/>
            <w:vAlign w:val="bottom"/>
            <w:tcBorders>
              <w:bottom w:val="single" w:sz="8" w:color="CCEEFF"/>
            </w:tcBorders>
            <w:shd w:val="clear" w:color="auto" w:fill="CCEEFF"/>
          </w:tcPr>
          <w:p>
            <w:pPr>
              <w:spacing w:after="0"/>
              <w:rPr>
                <w:sz w:val="16"/>
                <w:szCs w:val="16"/>
                <w:color w:val="auto"/>
              </w:rPr>
            </w:pP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100,000</w:t>
            </w:r>
          </w:p>
        </w:tc>
        <w:tc>
          <w:tcPr>
            <w:tcW w:w="100" w:type="dxa"/>
            <w:vAlign w:val="bottom"/>
            <w:tcBorders>
              <w:bottom w:val="single" w:sz="8" w:color="CCEEFF"/>
            </w:tcBorders>
            <w:shd w:val="clear" w:color="auto" w:fill="CCEEFF"/>
          </w:tcPr>
          <w:p>
            <w:pPr>
              <w:spacing w:after="0"/>
              <w:rPr>
                <w:sz w:val="16"/>
                <w:szCs w:val="16"/>
                <w:color w:val="auto"/>
              </w:rPr>
            </w:pPr>
          </w:p>
        </w:tc>
        <w:tc>
          <w:tcPr>
            <w:tcW w:w="1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2.95</w:t>
            </w:r>
          </w:p>
        </w:tc>
        <w:tc>
          <w:tcPr>
            <w:tcW w:w="14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240" w:type="dxa"/>
            <w:vAlign w:val="bottom"/>
            <w:tcBorders>
              <w:bottom w:val="single" w:sz="8" w:color="CCEEFF"/>
            </w:tcBorders>
            <w:shd w:val="clear" w:color="auto" w:fill="CCEEFF"/>
          </w:tcPr>
          <w:p>
            <w:pPr>
              <w:spacing w:after="0"/>
              <w:rPr>
                <w:sz w:val="16"/>
                <w:szCs w:val="16"/>
                <w:color w:val="auto"/>
              </w:rPr>
            </w:pP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100,000</w:t>
            </w:r>
          </w:p>
        </w:tc>
        <w:tc>
          <w:tcPr>
            <w:tcW w:w="120" w:type="dxa"/>
            <w:vAlign w:val="bottom"/>
            <w:tcBorders>
              <w:bottom w:val="single" w:sz="8" w:color="CCEEFF"/>
            </w:tcBorders>
            <w:shd w:val="clear" w:color="auto" w:fill="CCEEFF"/>
          </w:tcPr>
          <w:p>
            <w:pPr>
              <w:spacing w:after="0"/>
              <w:rPr>
                <w:sz w:val="16"/>
                <w:szCs w:val="16"/>
                <w:color w:val="auto"/>
              </w:rPr>
            </w:pPr>
          </w:p>
        </w:tc>
        <w:tc>
          <w:tcPr>
            <w:tcW w:w="1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2.95</w:t>
            </w:r>
          </w:p>
        </w:tc>
        <w:tc>
          <w:tcPr>
            <w:tcW w:w="140" w:type="dxa"/>
            <w:vAlign w:val="bottom"/>
            <w:tcBorders>
              <w:bottom w:val="single" w:sz="8" w:color="CCEEFF"/>
            </w:tcBorders>
            <w:shd w:val="clear" w:color="auto" w:fill="CCEEFF"/>
          </w:tcPr>
          <w:p>
            <w:pPr>
              <w:spacing w:after="0"/>
              <w:rPr>
                <w:sz w:val="16"/>
                <w:szCs w:val="16"/>
                <w:color w:val="auto"/>
              </w:rPr>
            </w:pPr>
          </w:p>
        </w:tc>
      </w:tr>
      <w:tr>
        <w:trPr>
          <w:trHeight w:val="178"/>
        </w:trPr>
        <w:tc>
          <w:tcPr>
            <w:tcW w:w="1440" w:type="dxa"/>
            <w:vAlign w:val="bottom"/>
          </w:tcPr>
          <w:p>
            <w:pPr>
              <w:jc w:val="center"/>
              <w:spacing w:after="0"/>
              <w:rPr>
                <w:sz w:val="20"/>
                <w:szCs w:val="20"/>
                <w:color w:val="auto"/>
              </w:rPr>
            </w:pPr>
            <w:r>
              <w:rPr>
                <w:rFonts w:ascii="Arial" w:cs="Arial" w:eastAsia="Arial" w:hAnsi="Arial"/>
                <w:sz w:val="13"/>
                <w:szCs w:val="13"/>
                <w:color w:val="auto"/>
                <w:w w:val="89"/>
              </w:rPr>
              <w:t>2023</w:t>
            </w: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540" w:type="dxa"/>
            <w:vAlign w:val="bottom"/>
          </w:tcPr>
          <w:p>
            <w:pPr>
              <w:jc w:val="right"/>
              <w:spacing w:after="0"/>
              <w:rPr>
                <w:sz w:val="20"/>
                <w:szCs w:val="20"/>
                <w:color w:val="auto"/>
              </w:rPr>
            </w:pPr>
            <w:r>
              <w:rPr>
                <w:rFonts w:ascii="Arial" w:cs="Arial" w:eastAsia="Arial" w:hAnsi="Arial"/>
                <w:sz w:val="13"/>
                <w:szCs w:val="13"/>
                <w:color w:val="auto"/>
              </w:rPr>
              <w:t>400,000</w:t>
            </w:r>
          </w:p>
        </w:tc>
        <w:tc>
          <w:tcPr>
            <w:tcW w:w="100" w:type="dxa"/>
            <w:vAlign w:val="bottom"/>
          </w:tcPr>
          <w:p>
            <w:pPr>
              <w:spacing w:after="0"/>
              <w:rPr>
                <w:sz w:val="15"/>
                <w:szCs w:val="15"/>
                <w:color w:val="auto"/>
              </w:rPr>
            </w:pPr>
          </w:p>
        </w:tc>
        <w:tc>
          <w:tcPr>
            <w:tcW w:w="1700" w:type="dxa"/>
            <w:vAlign w:val="bottom"/>
          </w:tcPr>
          <w:p>
            <w:pPr>
              <w:jc w:val="right"/>
              <w:spacing w:after="0"/>
              <w:rPr>
                <w:sz w:val="20"/>
                <w:szCs w:val="20"/>
                <w:color w:val="auto"/>
              </w:rPr>
            </w:pPr>
            <w:r>
              <w:rPr>
                <w:rFonts w:ascii="Arial" w:cs="Arial" w:eastAsia="Arial" w:hAnsi="Arial"/>
                <w:sz w:val="13"/>
                <w:szCs w:val="13"/>
                <w:color w:val="auto"/>
              </w:rPr>
              <w:t>2.24</w:t>
            </w: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540" w:type="dxa"/>
            <w:vAlign w:val="bottom"/>
          </w:tcPr>
          <w:p>
            <w:pPr>
              <w:jc w:val="right"/>
              <w:spacing w:after="0"/>
              <w:rPr>
                <w:sz w:val="20"/>
                <w:szCs w:val="20"/>
                <w:color w:val="auto"/>
              </w:rPr>
            </w:pPr>
            <w:r>
              <w:rPr>
                <w:rFonts w:ascii="Arial" w:cs="Arial" w:eastAsia="Arial" w:hAnsi="Arial"/>
                <w:sz w:val="13"/>
                <w:szCs w:val="13"/>
                <w:color w:val="auto"/>
              </w:rPr>
              <w:t>400,000</w:t>
            </w:r>
          </w:p>
        </w:tc>
        <w:tc>
          <w:tcPr>
            <w:tcW w:w="120" w:type="dxa"/>
            <w:vAlign w:val="bottom"/>
          </w:tcPr>
          <w:p>
            <w:pPr>
              <w:spacing w:after="0"/>
              <w:rPr>
                <w:sz w:val="15"/>
                <w:szCs w:val="15"/>
                <w:color w:val="auto"/>
              </w:rPr>
            </w:pPr>
          </w:p>
        </w:tc>
        <w:tc>
          <w:tcPr>
            <w:tcW w:w="1700" w:type="dxa"/>
            <w:vAlign w:val="bottom"/>
          </w:tcPr>
          <w:p>
            <w:pPr>
              <w:jc w:val="right"/>
              <w:spacing w:after="0"/>
              <w:rPr>
                <w:sz w:val="20"/>
                <w:szCs w:val="20"/>
                <w:color w:val="auto"/>
              </w:rPr>
            </w:pPr>
            <w:r>
              <w:rPr>
                <w:rFonts w:ascii="Arial" w:cs="Arial" w:eastAsia="Arial" w:hAnsi="Arial"/>
                <w:sz w:val="13"/>
                <w:szCs w:val="13"/>
                <w:color w:val="auto"/>
              </w:rPr>
              <w:t>2.24</w:t>
            </w:r>
          </w:p>
        </w:tc>
        <w:tc>
          <w:tcPr>
            <w:tcW w:w="140" w:type="dxa"/>
            <w:vAlign w:val="bottom"/>
          </w:tcPr>
          <w:p>
            <w:pPr>
              <w:spacing w:after="0"/>
              <w:rPr>
                <w:sz w:val="15"/>
                <w:szCs w:val="15"/>
                <w:color w:val="auto"/>
              </w:rPr>
            </w:pPr>
          </w:p>
        </w:tc>
      </w:tr>
      <w:tr>
        <w:trPr>
          <w:trHeight w:val="27"/>
        </w:trPr>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40" w:type="dxa"/>
            <w:vAlign w:val="bottom"/>
          </w:tcPr>
          <w:p>
            <w:pPr>
              <w:spacing w:after="0"/>
              <w:rPr>
                <w:sz w:val="2"/>
                <w:szCs w:val="2"/>
                <w:color w:val="auto"/>
              </w:rPr>
            </w:pPr>
          </w:p>
        </w:tc>
      </w:tr>
      <w:tr>
        <w:trPr>
          <w:trHeight w:val="185"/>
        </w:trPr>
        <w:tc>
          <w:tcPr>
            <w:tcW w:w="14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89"/>
              </w:rPr>
              <w:t>2024</w:t>
            </w:r>
          </w:p>
        </w:tc>
        <w:tc>
          <w:tcPr>
            <w:tcW w:w="100" w:type="dxa"/>
            <w:vAlign w:val="bottom"/>
            <w:tcBorders>
              <w:bottom w:val="single" w:sz="8" w:color="CCEEFF"/>
            </w:tcBorders>
            <w:shd w:val="clear" w:color="auto" w:fill="CCEEFF"/>
          </w:tcPr>
          <w:p>
            <w:pPr>
              <w:spacing w:after="0"/>
              <w:rPr>
                <w:sz w:val="16"/>
                <w:szCs w:val="16"/>
                <w:color w:val="auto"/>
              </w:rPr>
            </w:pPr>
          </w:p>
        </w:tc>
        <w:tc>
          <w:tcPr>
            <w:tcW w:w="260" w:type="dxa"/>
            <w:vAlign w:val="bottom"/>
            <w:tcBorders>
              <w:bottom w:val="single" w:sz="8" w:color="CCEEFF"/>
            </w:tcBorders>
            <w:shd w:val="clear" w:color="auto" w:fill="CCEEFF"/>
          </w:tcPr>
          <w:p>
            <w:pPr>
              <w:spacing w:after="0"/>
              <w:rPr>
                <w:sz w:val="16"/>
                <w:szCs w:val="16"/>
                <w:color w:val="auto"/>
              </w:rPr>
            </w:pP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200,000</w:t>
            </w:r>
          </w:p>
        </w:tc>
        <w:tc>
          <w:tcPr>
            <w:tcW w:w="100" w:type="dxa"/>
            <w:vAlign w:val="bottom"/>
            <w:tcBorders>
              <w:bottom w:val="single" w:sz="8" w:color="CCEEFF"/>
            </w:tcBorders>
            <w:shd w:val="clear" w:color="auto" w:fill="CCEEFF"/>
          </w:tcPr>
          <w:p>
            <w:pPr>
              <w:spacing w:after="0"/>
              <w:rPr>
                <w:sz w:val="16"/>
                <w:szCs w:val="16"/>
                <w:color w:val="auto"/>
              </w:rPr>
            </w:pPr>
          </w:p>
        </w:tc>
        <w:tc>
          <w:tcPr>
            <w:tcW w:w="1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2.27</w:t>
            </w:r>
          </w:p>
        </w:tc>
        <w:tc>
          <w:tcPr>
            <w:tcW w:w="14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240" w:type="dxa"/>
            <w:vAlign w:val="bottom"/>
            <w:tcBorders>
              <w:bottom w:val="single" w:sz="8" w:color="CCEEFF"/>
            </w:tcBorders>
            <w:shd w:val="clear" w:color="auto" w:fill="CCEEFF"/>
          </w:tcPr>
          <w:p>
            <w:pPr>
              <w:spacing w:after="0"/>
              <w:rPr>
                <w:sz w:val="16"/>
                <w:szCs w:val="16"/>
                <w:color w:val="auto"/>
              </w:rPr>
            </w:pP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300,000</w:t>
            </w:r>
          </w:p>
        </w:tc>
        <w:tc>
          <w:tcPr>
            <w:tcW w:w="120" w:type="dxa"/>
            <w:vAlign w:val="bottom"/>
            <w:tcBorders>
              <w:bottom w:val="single" w:sz="8" w:color="CCEEFF"/>
            </w:tcBorders>
            <w:shd w:val="clear" w:color="auto" w:fill="CCEEFF"/>
          </w:tcPr>
          <w:p>
            <w:pPr>
              <w:spacing w:after="0"/>
              <w:rPr>
                <w:sz w:val="16"/>
                <w:szCs w:val="16"/>
                <w:color w:val="auto"/>
              </w:rPr>
            </w:pPr>
          </w:p>
        </w:tc>
        <w:tc>
          <w:tcPr>
            <w:tcW w:w="1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2.28</w:t>
            </w:r>
          </w:p>
        </w:tc>
        <w:tc>
          <w:tcPr>
            <w:tcW w:w="140" w:type="dxa"/>
            <w:vAlign w:val="bottom"/>
            <w:tcBorders>
              <w:bottom w:val="single" w:sz="8" w:color="CCEEFF"/>
            </w:tcBorders>
            <w:shd w:val="clear" w:color="auto" w:fill="CCEEFF"/>
          </w:tcPr>
          <w:p>
            <w:pPr>
              <w:spacing w:after="0"/>
              <w:rPr>
                <w:sz w:val="16"/>
                <w:szCs w:val="16"/>
                <w:color w:val="auto"/>
              </w:rPr>
            </w:pPr>
          </w:p>
        </w:tc>
      </w:tr>
      <w:tr>
        <w:trPr>
          <w:trHeight w:val="178"/>
        </w:trPr>
        <w:tc>
          <w:tcPr>
            <w:tcW w:w="1440" w:type="dxa"/>
            <w:vAlign w:val="bottom"/>
          </w:tcPr>
          <w:p>
            <w:pPr>
              <w:jc w:val="center"/>
              <w:spacing w:after="0"/>
              <w:rPr>
                <w:sz w:val="20"/>
                <w:szCs w:val="20"/>
                <w:color w:val="auto"/>
              </w:rPr>
            </w:pPr>
            <w:r>
              <w:rPr>
                <w:rFonts w:ascii="Arial" w:cs="Arial" w:eastAsia="Arial" w:hAnsi="Arial"/>
                <w:sz w:val="13"/>
                <w:szCs w:val="13"/>
                <w:color w:val="auto"/>
                <w:w w:val="89"/>
              </w:rPr>
              <w:t>2027</w:t>
            </w: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64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700" w:type="dxa"/>
            <w:vAlign w:val="bottom"/>
          </w:tcPr>
          <w:p>
            <w:pPr>
              <w:jc w:val="right"/>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540" w:type="dxa"/>
            <w:vAlign w:val="bottom"/>
          </w:tcPr>
          <w:p>
            <w:pPr>
              <w:jc w:val="right"/>
              <w:spacing w:after="0"/>
              <w:rPr>
                <w:sz w:val="20"/>
                <w:szCs w:val="20"/>
                <w:color w:val="auto"/>
              </w:rPr>
            </w:pPr>
            <w:r>
              <w:rPr>
                <w:rFonts w:ascii="Arial" w:cs="Arial" w:eastAsia="Arial" w:hAnsi="Arial"/>
                <w:sz w:val="13"/>
                <w:szCs w:val="13"/>
                <w:color w:val="auto"/>
              </w:rPr>
              <w:t>25,000</w:t>
            </w:r>
          </w:p>
        </w:tc>
        <w:tc>
          <w:tcPr>
            <w:tcW w:w="120" w:type="dxa"/>
            <w:vAlign w:val="bottom"/>
          </w:tcPr>
          <w:p>
            <w:pPr>
              <w:spacing w:after="0"/>
              <w:rPr>
                <w:sz w:val="15"/>
                <w:szCs w:val="15"/>
                <w:color w:val="auto"/>
              </w:rPr>
            </w:pPr>
          </w:p>
        </w:tc>
        <w:tc>
          <w:tcPr>
            <w:tcW w:w="1700" w:type="dxa"/>
            <w:vAlign w:val="bottom"/>
          </w:tcPr>
          <w:p>
            <w:pPr>
              <w:jc w:val="right"/>
              <w:spacing w:after="0"/>
              <w:rPr>
                <w:sz w:val="20"/>
                <w:szCs w:val="20"/>
                <w:color w:val="auto"/>
              </w:rPr>
            </w:pPr>
            <w:r>
              <w:rPr>
                <w:rFonts w:ascii="Arial" w:cs="Arial" w:eastAsia="Arial" w:hAnsi="Arial"/>
                <w:sz w:val="13"/>
                <w:szCs w:val="13"/>
                <w:color w:val="auto"/>
              </w:rPr>
              <w:t>2.35</w:t>
            </w:r>
          </w:p>
        </w:tc>
        <w:tc>
          <w:tcPr>
            <w:tcW w:w="140" w:type="dxa"/>
            <w:vAlign w:val="bottom"/>
          </w:tcPr>
          <w:p>
            <w:pPr>
              <w:spacing w:after="0"/>
              <w:rPr>
                <w:sz w:val="15"/>
                <w:szCs w:val="15"/>
                <w:color w:val="auto"/>
              </w:rPr>
            </w:pPr>
          </w:p>
        </w:tc>
      </w:tr>
      <w:tr>
        <w:trPr>
          <w:trHeight w:val="27"/>
        </w:trPr>
        <w:tc>
          <w:tcPr>
            <w:tcW w:w="144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r>
      <w:tr>
        <w:trPr>
          <w:trHeight w:val="221"/>
        </w:trPr>
        <w:tc>
          <w:tcPr>
            <w:tcW w:w="144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260" w:type="dxa"/>
            <w:vAlign w:val="bottom"/>
            <w:tcBorders>
              <w:bottom w:val="single" w:sz="8" w:color="CCEEFF"/>
            </w:tcBorders>
            <w:shd w:val="clear" w:color="auto" w:fill="CCEEFF"/>
          </w:tcPr>
          <w:p>
            <w:pPr>
              <w:jc w:val="right"/>
              <w:ind w:right="115"/>
              <w:spacing w:after="0"/>
              <w:rPr>
                <w:sz w:val="20"/>
                <w:szCs w:val="20"/>
                <w:color w:val="auto"/>
              </w:rPr>
            </w:pPr>
            <w:r>
              <w:rPr>
                <w:rFonts w:ascii="Arial" w:cs="Arial" w:eastAsia="Arial" w:hAnsi="Arial"/>
                <w:sz w:val="13"/>
                <w:szCs w:val="13"/>
                <w:color w:val="auto"/>
                <w:w w:val="82"/>
              </w:rPr>
              <w:t>$</w:t>
            </w: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3,700,000</w:t>
            </w:r>
          </w:p>
        </w:tc>
        <w:tc>
          <w:tcPr>
            <w:tcW w:w="100" w:type="dxa"/>
            <w:vAlign w:val="bottom"/>
            <w:tcBorders>
              <w:bottom w:val="single" w:sz="8" w:color="CCEEFF"/>
            </w:tcBorders>
            <w:shd w:val="clear" w:color="auto" w:fill="CCEEFF"/>
          </w:tcPr>
          <w:p>
            <w:pPr>
              <w:spacing w:after="0"/>
              <w:rPr>
                <w:sz w:val="18"/>
                <w:szCs w:val="18"/>
                <w:color w:val="auto"/>
              </w:rPr>
            </w:pPr>
          </w:p>
        </w:tc>
        <w:tc>
          <w:tcPr>
            <w:tcW w:w="1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1.25</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w w:val="86"/>
              </w:rPr>
              <w:t>%</w:t>
            </w:r>
          </w:p>
        </w:tc>
        <w:tc>
          <w:tcPr>
            <w:tcW w:w="100" w:type="dxa"/>
            <w:vAlign w:val="bottom"/>
            <w:tcBorders>
              <w:bottom w:val="single" w:sz="8" w:color="CCEEFF"/>
            </w:tcBorders>
            <w:shd w:val="clear" w:color="auto" w:fill="CCEEFF"/>
          </w:tcPr>
          <w:p>
            <w:pPr>
              <w:spacing w:after="0"/>
              <w:rPr>
                <w:sz w:val="18"/>
                <w:szCs w:val="18"/>
                <w:color w:val="auto"/>
              </w:rPr>
            </w:pPr>
          </w:p>
        </w:tc>
        <w:tc>
          <w:tcPr>
            <w:tcW w:w="240" w:type="dxa"/>
            <w:vAlign w:val="bottom"/>
            <w:tcBorders>
              <w:bottom w:val="single" w:sz="8" w:color="CCEEFF"/>
            </w:tcBorders>
            <w:shd w:val="clear" w:color="auto" w:fill="CCEEFF"/>
          </w:tcPr>
          <w:p>
            <w:pPr>
              <w:jc w:val="right"/>
              <w:ind w:right="95"/>
              <w:spacing w:after="0"/>
              <w:rPr>
                <w:sz w:val="20"/>
                <w:szCs w:val="20"/>
                <w:color w:val="auto"/>
              </w:rPr>
            </w:pPr>
            <w:r>
              <w:rPr>
                <w:rFonts w:ascii="Arial" w:cs="Arial" w:eastAsia="Arial" w:hAnsi="Arial"/>
                <w:sz w:val="13"/>
                <w:szCs w:val="13"/>
                <w:color w:val="auto"/>
                <w:w w:val="82"/>
              </w:rPr>
              <w:t>$</w:t>
            </w: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5,575,000</w:t>
            </w:r>
          </w:p>
        </w:tc>
        <w:tc>
          <w:tcPr>
            <w:tcW w:w="120" w:type="dxa"/>
            <w:vAlign w:val="bottom"/>
            <w:tcBorders>
              <w:bottom w:val="single" w:sz="8" w:color="CCEEFF"/>
            </w:tcBorders>
            <w:shd w:val="clear" w:color="auto" w:fill="CCEEFF"/>
          </w:tcPr>
          <w:p>
            <w:pPr>
              <w:spacing w:after="0"/>
              <w:rPr>
                <w:sz w:val="18"/>
                <w:szCs w:val="18"/>
                <w:color w:val="auto"/>
              </w:rPr>
            </w:pPr>
          </w:p>
        </w:tc>
        <w:tc>
          <w:tcPr>
            <w:tcW w:w="1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1.18</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w w:val="86"/>
              </w:rPr>
              <w:t>%</w:t>
            </w:r>
          </w:p>
        </w:tc>
      </w:tr>
      <w:tr>
        <w:trPr>
          <w:trHeight w:val="20"/>
        </w:trPr>
        <w:tc>
          <w:tcPr>
            <w:tcW w:w="14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5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7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5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7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r>
    </w:tbl>
    <w:p>
      <w:pPr>
        <w:spacing w:after="0" w:line="119" w:lineRule="exact"/>
        <w:rPr>
          <w:sz w:val="20"/>
          <w:szCs w:val="20"/>
          <w:color w:val="auto"/>
        </w:rPr>
      </w:pPr>
    </w:p>
    <w:p>
      <w:pPr>
        <w:ind w:left="1240" w:hanging="199"/>
        <w:spacing w:after="0"/>
        <w:tabs>
          <w:tab w:leader="none" w:pos="1240" w:val="left"/>
        </w:tabs>
        <w:numPr>
          <w:ilvl w:val="0"/>
          <w:numId w:val="4"/>
        </w:numPr>
        <w:rPr>
          <w:rFonts w:ascii="Arial" w:cs="Arial" w:eastAsia="Arial" w:hAnsi="Arial"/>
          <w:sz w:val="14"/>
          <w:szCs w:val="14"/>
          <w:color w:val="auto"/>
        </w:rPr>
      </w:pPr>
      <w:r>
        <w:rPr>
          <w:rFonts w:ascii="Arial" w:cs="Arial" w:eastAsia="Arial" w:hAnsi="Arial"/>
          <w:sz w:val="14"/>
          <w:szCs w:val="14"/>
          <w:color w:val="auto"/>
        </w:rPr>
        <w:t>For all interest rate derivatives, the Company receives discrete three-month LIBOR.</w:t>
      </w:r>
    </w:p>
    <w:p>
      <w:pPr>
        <w:spacing w:after="0" w:line="200" w:lineRule="exact"/>
        <w:rPr>
          <w:rFonts w:ascii="Arial" w:cs="Arial" w:eastAsia="Arial" w:hAnsi="Arial"/>
          <w:sz w:val="14"/>
          <w:szCs w:val="14"/>
          <w:color w:val="auto"/>
        </w:rPr>
      </w:pPr>
    </w:p>
    <w:p>
      <w:pPr>
        <w:spacing w:after="0" w:line="200" w:lineRule="exact"/>
        <w:rPr>
          <w:rFonts w:ascii="Arial" w:cs="Arial" w:eastAsia="Arial" w:hAnsi="Arial"/>
          <w:sz w:val="14"/>
          <w:szCs w:val="14"/>
          <w:color w:val="auto"/>
        </w:rPr>
      </w:pPr>
    </w:p>
    <w:p>
      <w:pPr>
        <w:spacing w:after="0" w:line="200" w:lineRule="exact"/>
        <w:rPr>
          <w:rFonts w:ascii="Arial" w:cs="Arial" w:eastAsia="Arial" w:hAnsi="Arial"/>
          <w:sz w:val="14"/>
          <w:szCs w:val="14"/>
          <w:color w:val="auto"/>
        </w:rPr>
      </w:pPr>
    </w:p>
    <w:p>
      <w:pPr>
        <w:spacing w:after="0" w:line="370" w:lineRule="exact"/>
        <w:rPr>
          <w:rFonts w:ascii="Arial" w:cs="Arial" w:eastAsia="Arial" w:hAnsi="Arial"/>
          <w:sz w:val="14"/>
          <w:szCs w:val="14"/>
          <w:color w:val="auto"/>
        </w:rPr>
      </w:pPr>
    </w:p>
    <w:p>
      <w:pPr>
        <w:ind w:left="5660"/>
        <w:spacing w:after="0"/>
        <w:rPr>
          <w:rFonts w:ascii="Arial" w:cs="Arial" w:eastAsia="Arial" w:hAnsi="Arial"/>
          <w:sz w:val="14"/>
          <w:szCs w:val="14"/>
          <w:color w:val="auto"/>
        </w:rPr>
      </w:pPr>
      <w:r>
        <w:rPr>
          <w:rFonts w:ascii="Arial" w:cs="Arial" w:eastAsia="Arial" w:hAnsi="Arial"/>
          <w:sz w:val="14"/>
          <w:szCs w:val="14"/>
          <w:color w:val="auto"/>
        </w:rPr>
        <w:t>15</w:t>
      </w:r>
    </w:p>
    <w:p>
      <w:pPr>
        <w:sectPr>
          <w:pgSz w:w="11900" w:h="16838" w:orient="portrait"/>
          <w:cols w:equalWidth="0" w:num="1">
            <w:col w:w="11460"/>
          </w:cols>
          <w:pgMar w:left="220" w:top="743" w:right="219" w:bottom="1440" w:gutter="0" w:footer="0" w:header="0"/>
        </w:sectPr>
      </w:pPr>
    </w:p>
    <w:bookmarkStart w:id="16" w:name="page17"/>
    <w:bookmarkEnd w:id="16"/>
    <w:p>
      <w:pPr>
        <w:spacing w:after="0"/>
        <w:rPr>
          <w:sz w:val="20"/>
          <w:szCs w:val="20"/>
          <w:color w:val="auto"/>
        </w:rPr>
      </w:pPr>
      <w:r>
        <w:rPr>
          <w:rFonts w:ascii="Arial" w:cs="Arial" w:eastAsia="Arial" w:hAnsi="Arial"/>
          <w:sz w:val="14"/>
          <w:szCs w:val="14"/>
          <w:b w:val="1"/>
          <w:bCs w:val="1"/>
          <w:i w:val="1"/>
          <w:iCs w:val="1"/>
          <w:color w:val="auto"/>
        </w:rPr>
        <w:t>Interest Rate Swap Options – Floor Income Hedges</w:t>
      </w:r>
    </w:p>
    <w:p>
      <w:pPr>
        <w:spacing w:after="0" w:line="141" w:lineRule="exact"/>
        <w:rPr>
          <w:sz w:val="20"/>
          <w:szCs w:val="20"/>
          <w:color w:val="auto"/>
        </w:rPr>
      </w:pPr>
    </w:p>
    <w:p>
      <w:pPr>
        <w:jc w:val="both"/>
        <w:spacing w:after="0" w:line="272" w:lineRule="auto"/>
        <w:rPr>
          <w:sz w:val="20"/>
          <w:szCs w:val="20"/>
          <w:color w:val="auto"/>
        </w:rPr>
      </w:pPr>
      <w:r>
        <w:rPr>
          <w:rFonts w:ascii="Arial" w:cs="Arial" w:eastAsia="Arial" w:hAnsi="Arial"/>
          <w:sz w:val="14"/>
          <w:szCs w:val="14"/>
          <w:color w:val="auto"/>
        </w:rPr>
        <w:t>During 2014 and 2018, the Company paid $9.1 million and $4.6 million, respectively, for interest rate swap options to economically hedge loans earning fixed rate floor income. The interest rate swap options give the Company the right, but not the obligation, to enter into interest rate swaps in which the Company would pay a fixed amount and receive discrete one-month LIBOR. The following table summarizes these derivative instruments as of March 31, 2019.</w:t>
      </w:r>
    </w:p>
    <w:p>
      <w:pPr>
        <w:spacing w:after="0" w:line="56" w:lineRule="exact"/>
        <w:rPr>
          <w:sz w:val="20"/>
          <w:szCs w:val="20"/>
          <w:color w:val="auto"/>
        </w:rPr>
      </w:pPr>
    </w:p>
    <w:tbl>
      <w:tblPr>
        <w:tblLayout w:type="fixed"/>
        <w:tblInd w:w="2320" w:type="dxa"/>
        <w:tblCellMar>
          <w:top w:w="0" w:type="dxa"/>
          <w:left w:w="0" w:type="dxa"/>
          <w:bottom w:w="0" w:type="dxa"/>
          <w:right w:w="0" w:type="dxa"/>
        </w:tblCellMar>
      </w:tblPr>
      <w:tr>
        <w:trPr>
          <w:trHeight w:val="162"/>
        </w:trPr>
        <w:tc>
          <w:tcPr>
            <w:tcW w:w="17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760" w:type="dxa"/>
            <w:vAlign w:val="bottom"/>
            <w:gridSpan w:val="2"/>
          </w:tcPr>
          <w:p>
            <w:pPr>
              <w:jc w:val="right"/>
              <w:ind w:right="55"/>
              <w:spacing w:after="0"/>
              <w:rPr>
                <w:sz w:val="20"/>
                <w:szCs w:val="20"/>
                <w:color w:val="auto"/>
              </w:rPr>
            </w:pPr>
            <w:r>
              <w:rPr>
                <w:rFonts w:ascii="Arial" w:cs="Arial" w:eastAsia="Arial" w:hAnsi="Arial"/>
                <w:sz w:val="13"/>
                <w:szCs w:val="13"/>
                <w:b w:val="1"/>
                <w:bCs w:val="1"/>
                <w:color w:val="auto"/>
                <w:w w:val="93"/>
              </w:rPr>
              <w:t>Weighted average fixed rate</w:t>
            </w:r>
          </w:p>
        </w:tc>
        <w:tc>
          <w:tcPr>
            <w:tcW w:w="80" w:type="dxa"/>
            <w:vAlign w:val="bottom"/>
          </w:tcPr>
          <w:p>
            <w:pPr>
              <w:spacing w:after="0"/>
              <w:rPr>
                <w:sz w:val="14"/>
                <w:szCs w:val="14"/>
                <w:color w:val="auto"/>
              </w:rPr>
            </w:pPr>
          </w:p>
        </w:tc>
        <w:tc>
          <w:tcPr>
            <w:tcW w:w="1760" w:type="dxa"/>
            <w:vAlign w:val="bottom"/>
          </w:tcPr>
          <w:p>
            <w:pPr>
              <w:spacing w:after="0"/>
              <w:rPr>
                <w:sz w:val="14"/>
                <w:szCs w:val="14"/>
                <w:color w:val="auto"/>
              </w:rPr>
            </w:pPr>
          </w:p>
        </w:tc>
      </w:tr>
      <w:tr>
        <w:trPr>
          <w:trHeight w:val="167"/>
        </w:trPr>
        <w:tc>
          <w:tcPr>
            <w:tcW w:w="182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88"/>
              </w:rPr>
              <w:t>If exercised effective date</w:t>
            </w:r>
          </w:p>
        </w:tc>
        <w:tc>
          <w:tcPr>
            <w:tcW w:w="140" w:type="dxa"/>
            <w:vAlign w:val="bottom"/>
          </w:tcPr>
          <w:p>
            <w:pPr>
              <w:spacing w:after="0"/>
              <w:rPr>
                <w:sz w:val="14"/>
                <w:szCs w:val="14"/>
                <w:color w:val="auto"/>
              </w:rPr>
            </w:pPr>
          </w:p>
        </w:tc>
        <w:tc>
          <w:tcPr>
            <w:tcW w:w="1280" w:type="dxa"/>
            <w:vAlign w:val="bottom"/>
            <w:gridSpan w:val="2"/>
          </w:tcPr>
          <w:p>
            <w:pPr>
              <w:ind w:left="60"/>
              <w:spacing w:after="0"/>
              <w:rPr>
                <w:sz w:val="20"/>
                <w:szCs w:val="20"/>
                <w:color w:val="auto"/>
              </w:rPr>
            </w:pPr>
            <w:r>
              <w:rPr>
                <w:rFonts w:ascii="Arial" w:cs="Arial" w:eastAsia="Arial" w:hAnsi="Arial"/>
                <w:sz w:val="13"/>
                <w:szCs w:val="13"/>
                <w:b w:val="1"/>
                <w:bCs w:val="1"/>
                <w:color w:val="auto"/>
              </w:rPr>
              <w:t>Notional amount</w:t>
            </w:r>
          </w:p>
        </w:tc>
        <w:tc>
          <w:tcPr>
            <w:tcW w:w="1600" w:type="dxa"/>
            <w:vAlign w:val="bottom"/>
          </w:tcPr>
          <w:p>
            <w:pPr>
              <w:jc w:val="right"/>
              <w:ind w:right="75"/>
              <w:spacing w:after="0"/>
              <w:rPr>
                <w:sz w:val="20"/>
                <w:szCs w:val="20"/>
                <w:color w:val="auto"/>
              </w:rPr>
            </w:pPr>
            <w:r>
              <w:rPr>
                <w:rFonts w:ascii="Arial" w:cs="Arial" w:eastAsia="Arial" w:hAnsi="Arial"/>
                <w:sz w:val="13"/>
                <w:szCs w:val="13"/>
                <w:b w:val="1"/>
                <w:bCs w:val="1"/>
                <w:color w:val="auto"/>
              </w:rPr>
              <w:t>paid by the Company</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760" w:type="dxa"/>
            <w:vAlign w:val="bottom"/>
          </w:tcPr>
          <w:p>
            <w:pPr>
              <w:jc w:val="center"/>
              <w:spacing w:after="0"/>
              <w:rPr>
                <w:sz w:val="20"/>
                <w:szCs w:val="20"/>
                <w:color w:val="auto"/>
              </w:rPr>
            </w:pPr>
            <w:r>
              <w:rPr>
                <w:rFonts w:ascii="Arial" w:cs="Arial" w:eastAsia="Arial" w:hAnsi="Arial"/>
                <w:sz w:val="13"/>
                <w:szCs w:val="13"/>
                <w:b w:val="1"/>
                <w:bCs w:val="1"/>
                <w:color w:val="auto"/>
                <w:w w:val="90"/>
              </w:rPr>
              <w:t>If exercised maturity date</w:t>
            </w:r>
          </w:p>
        </w:tc>
      </w:tr>
      <w:tr>
        <w:trPr>
          <w:trHeight w:val="27"/>
        </w:trPr>
        <w:tc>
          <w:tcPr>
            <w:tcW w:w="17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r>
      <w:tr>
        <w:trPr>
          <w:trHeight w:val="176"/>
        </w:trPr>
        <w:tc>
          <w:tcPr>
            <w:tcW w:w="1820" w:type="dxa"/>
            <w:vAlign w:val="bottom"/>
            <w:tcBorders>
              <w:bottom w:val="single" w:sz="8" w:color="CCEEFF"/>
            </w:tcBorders>
            <w:gridSpan w:val="2"/>
            <w:shd w:val="clear" w:color="auto" w:fill="CCEEFF"/>
          </w:tcPr>
          <w:p>
            <w:pPr>
              <w:jc w:val="center"/>
              <w:ind w:right="80"/>
              <w:spacing w:after="0"/>
              <w:rPr>
                <w:sz w:val="20"/>
                <w:szCs w:val="20"/>
                <w:color w:val="auto"/>
              </w:rPr>
            </w:pPr>
            <w:r>
              <w:rPr>
                <w:rFonts w:ascii="Arial" w:cs="Arial" w:eastAsia="Arial" w:hAnsi="Arial"/>
                <w:sz w:val="13"/>
                <w:szCs w:val="13"/>
                <w:color w:val="auto"/>
                <w:w w:val="90"/>
              </w:rPr>
              <w:t>August 21, 2019</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750,000</w:t>
            </w:r>
          </w:p>
        </w:tc>
        <w:tc>
          <w:tcPr>
            <w:tcW w:w="100" w:type="dxa"/>
            <w:vAlign w:val="bottom"/>
            <w:tcBorders>
              <w:bottom w:val="single" w:sz="8" w:color="CCEEFF"/>
            </w:tcBorders>
            <w:shd w:val="clear" w:color="auto" w:fill="CCEEFF"/>
          </w:tcPr>
          <w:p>
            <w:pPr>
              <w:spacing w:after="0"/>
              <w:rPr>
                <w:sz w:val="15"/>
                <w:szCs w:val="15"/>
                <w:color w:val="auto"/>
              </w:rPr>
            </w:pP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3.28</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80" w:type="dxa"/>
            <w:vAlign w:val="bottom"/>
            <w:tcBorders>
              <w:bottom w:val="single" w:sz="8" w:color="CCEEFF"/>
            </w:tcBorders>
            <w:shd w:val="clear" w:color="auto" w:fill="CCEEFF"/>
          </w:tcPr>
          <w:p>
            <w:pPr>
              <w:spacing w:after="0"/>
              <w:rPr>
                <w:sz w:val="15"/>
                <w:szCs w:val="15"/>
                <w:color w:val="auto"/>
              </w:rPr>
            </w:pPr>
          </w:p>
        </w:tc>
        <w:tc>
          <w:tcPr>
            <w:tcW w:w="17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90"/>
              </w:rPr>
              <w:t>August 21, 2024</w:t>
            </w:r>
          </w:p>
        </w:tc>
      </w:tr>
      <w:tr>
        <w:trPr>
          <w:trHeight w:val="178"/>
        </w:trPr>
        <w:tc>
          <w:tcPr>
            <w:tcW w:w="1820" w:type="dxa"/>
            <w:vAlign w:val="bottom"/>
            <w:gridSpan w:val="2"/>
          </w:tcPr>
          <w:p>
            <w:pPr>
              <w:jc w:val="center"/>
              <w:ind w:right="100"/>
              <w:spacing w:after="0"/>
              <w:rPr>
                <w:sz w:val="20"/>
                <w:szCs w:val="20"/>
                <w:color w:val="auto"/>
              </w:rPr>
            </w:pPr>
            <w:r>
              <w:rPr>
                <w:rFonts w:ascii="Arial" w:cs="Arial" w:eastAsia="Arial" w:hAnsi="Arial"/>
                <w:sz w:val="13"/>
                <w:szCs w:val="13"/>
                <w:color w:val="auto"/>
                <w:w w:val="88"/>
              </w:rPr>
              <w:t>September 25, 2019</w:t>
            </w:r>
          </w:p>
        </w:tc>
        <w:tc>
          <w:tcPr>
            <w:tcW w:w="140" w:type="dxa"/>
            <w:vAlign w:val="bottom"/>
          </w:tcPr>
          <w:p>
            <w:pPr>
              <w:spacing w:after="0"/>
              <w:rPr>
                <w:sz w:val="15"/>
                <w:szCs w:val="15"/>
                <w:color w:val="auto"/>
              </w:rPr>
            </w:pPr>
          </w:p>
        </w:tc>
        <w:tc>
          <w:tcPr>
            <w:tcW w:w="1180" w:type="dxa"/>
            <w:vAlign w:val="bottom"/>
          </w:tcPr>
          <w:p>
            <w:pPr>
              <w:jc w:val="right"/>
              <w:spacing w:after="0"/>
              <w:rPr>
                <w:sz w:val="20"/>
                <w:szCs w:val="20"/>
                <w:color w:val="auto"/>
              </w:rPr>
            </w:pPr>
            <w:r>
              <w:rPr>
                <w:rFonts w:ascii="Arial" w:cs="Arial" w:eastAsia="Arial" w:hAnsi="Arial"/>
                <w:sz w:val="13"/>
                <w:szCs w:val="13"/>
                <w:color w:val="auto"/>
              </w:rPr>
              <w:t>250,000</w:t>
            </w:r>
          </w:p>
        </w:tc>
        <w:tc>
          <w:tcPr>
            <w:tcW w:w="100" w:type="dxa"/>
            <w:vAlign w:val="bottom"/>
          </w:tcPr>
          <w:p>
            <w:pPr>
              <w:spacing w:after="0"/>
              <w:rPr>
                <w:sz w:val="15"/>
                <w:szCs w:val="15"/>
                <w:color w:val="auto"/>
              </w:rPr>
            </w:pPr>
          </w:p>
        </w:tc>
        <w:tc>
          <w:tcPr>
            <w:tcW w:w="1600" w:type="dxa"/>
            <w:vAlign w:val="bottom"/>
          </w:tcPr>
          <w:p>
            <w:pPr>
              <w:jc w:val="right"/>
              <w:spacing w:after="0"/>
              <w:rPr>
                <w:sz w:val="20"/>
                <w:szCs w:val="20"/>
                <w:color w:val="auto"/>
              </w:rPr>
            </w:pPr>
            <w:r>
              <w:rPr>
                <w:rFonts w:ascii="Arial" w:cs="Arial" w:eastAsia="Arial" w:hAnsi="Arial"/>
                <w:sz w:val="13"/>
                <w:szCs w:val="13"/>
                <w:color w:val="auto"/>
              </w:rPr>
              <w:t>3.00</w:t>
            </w: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760" w:type="dxa"/>
            <w:vAlign w:val="bottom"/>
          </w:tcPr>
          <w:p>
            <w:pPr>
              <w:jc w:val="center"/>
              <w:spacing w:after="0"/>
              <w:rPr>
                <w:sz w:val="20"/>
                <w:szCs w:val="20"/>
                <w:color w:val="auto"/>
              </w:rPr>
            </w:pPr>
            <w:r>
              <w:rPr>
                <w:rFonts w:ascii="Arial" w:cs="Arial" w:eastAsia="Arial" w:hAnsi="Arial"/>
                <w:sz w:val="13"/>
                <w:szCs w:val="13"/>
                <w:color w:val="auto"/>
                <w:w w:val="88"/>
              </w:rPr>
              <w:t>September 25, 2024</w:t>
            </w:r>
          </w:p>
        </w:tc>
      </w:tr>
      <w:tr>
        <w:trPr>
          <w:trHeight w:val="27"/>
        </w:trPr>
        <w:tc>
          <w:tcPr>
            <w:tcW w:w="1740" w:type="dxa"/>
            <w:vAlign w:val="bottom"/>
            <w:tcBorders>
              <w:bottom w:val="single" w:sz="8" w:color="CCEEFF"/>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760" w:type="dxa"/>
            <w:vAlign w:val="bottom"/>
            <w:tcBorders>
              <w:bottom w:val="single" w:sz="8" w:color="CCEEFF"/>
            </w:tcBorders>
          </w:tcPr>
          <w:p>
            <w:pPr>
              <w:spacing w:after="0"/>
              <w:rPr>
                <w:sz w:val="2"/>
                <w:szCs w:val="2"/>
                <w:color w:val="auto"/>
              </w:rPr>
            </w:pPr>
          </w:p>
        </w:tc>
      </w:tr>
      <w:tr>
        <w:trPr>
          <w:trHeight w:val="221"/>
        </w:trPr>
        <w:tc>
          <w:tcPr>
            <w:tcW w:w="174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1,000,000</w:t>
            </w:r>
          </w:p>
        </w:tc>
        <w:tc>
          <w:tcPr>
            <w:tcW w:w="100" w:type="dxa"/>
            <w:vAlign w:val="bottom"/>
            <w:tcBorders>
              <w:bottom w:val="single" w:sz="8" w:color="CCEEFF"/>
            </w:tcBorders>
            <w:shd w:val="clear" w:color="auto" w:fill="CCEEFF"/>
          </w:tcPr>
          <w:p>
            <w:pPr>
              <w:spacing w:after="0"/>
              <w:rPr>
                <w:sz w:val="18"/>
                <w:szCs w:val="18"/>
                <w:color w:val="auto"/>
              </w:rPr>
            </w:pP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3.21</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80" w:type="dxa"/>
            <w:vAlign w:val="bottom"/>
            <w:tcBorders>
              <w:bottom w:val="single" w:sz="8" w:color="CCEEFF"/>
            </w:tcBorders>
            <w:shd w:val="clear" w:color="auto" w:fill="CCEEFF"/>
          </w:tcPr>
          <w:p>
            <w:pPr>
              <w:spacing w:after="0"/>
              <w:rPr>
                <w:sz w:val="18"/>
                <w:szCs w:val="18"/>
                <w:color w:val="auto"/>
              </w:rPr>
            </w:pPr>
          </w:p>
        </w:tc>
        <w:tc>
          <w:tcPr>
            <w:tcW w:w="1760" w:type="dxa"/>
            <w:vAlign w:val="bottom"/>
            <w:tcBorders>
              <w:bottom w:val="single" w:sz="8" w:color="CCEEFF"/>
            </w:tcBorders>
            <w:shd w:val="clear" w:color="auto" w:fill="CCEEFF"/>
          </w:tcPr>
          <w:p>
            <w:pPr>
              <w:spacing w:after="0"/>
              <w:rPr>
                <w:sz w:val="18"/>
                <w:szCs w:val="18"/>
                <w:color w:val="auto"/>
              </w:rPr>
            </w:pPr>
          </w:p>
        </w:tc>
      </w:tr>
      <w:tr>
        <w:trPr>
          <w:trHeight w:val="20"/>
        </w:trPr>
        <w:tc>
          <w:tcPr>
            <w:tcW w:w="17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760" w:type="dxa"/>
            <w:vAlign w:val="bottom"/>
            <w:tcBorders>
              <w:top w:val="single" w:sz="8" w:color="CCEEFF"/>
            </w:tcBorders>
          </w:tcPr>
          <w:p>
            <w:pPr>
              <w:spacing w:after="0" w:line="20" w:lineRule="exact"/>
              <w:rPr>
                <w:sz w:val="1"/>
                <w:szCs w:val="1"/>
                <w:color w:val="auto"/>
              </w:rPr>
            </w:pPr>
          </w:p>
        </w:tc>
      </w:tr>
    </w:tbl>
    <w:p>
      <w:pPr>
        <w:spacing w:after="0" w:line="119" w:lineRule="exact"/>
        <w:rPr>
          <w:sz w:val="20"/>
          <w:szCs w:val="20"/>
          <w:color w:val="auto"/>
        </w:rPr>
      </w:pPr>
    </w:p>
    <w:p>
      <w:pPr>
        <w:spacing w:after="0"/>
        <w:rPr>
          <w:sz w:val="20"/>
          <w:szCs w:val="20"/>
          <w:color w:val="auto"/>
        </w:rPr>
      </w:pPr>
      <w:r>
        <w:rPr>
          <w:rFonts w:ascii="Arial" w:cs="Arial" w:eastAsia="Arial" w:hAnsi="Arial"/>
          <w:sz w:val="14"/>
          <w:szCs w:val="14"/>
          <w:b w:val="1"/>
          <w:bCs w:val="1"/>
          <w:i w:val="1"/>
          <w:iCs w:val="1"/>
          <w:color w:val="auto"/>
        </w:rPr>
        <w:t>Interest Rate Caps</w:t>
      </w:r>
    </w:p>
    <w:p>
      <w:pPr>
        <w:spacing w:after="0" w:line="141" w:lineRule="exact"/>
        <w:rPr>
          <w:sz w:val="20"/>
          <w:szCs w:val="20"/>
          <w:color w:val="auto"/>
        </w:rPr>
      </w:pPr>
    </w:p>
    <w:p>
      <w:pPr>
        <w:jc w:val="both"/>
        <w:spacing w:after="0" w:line="267" w:lineRule="auto"/>
        <w:rPr>
          <w:sz w:val="20"/>
          <w:szCs w:val="20"/>
          <w:color w:val="auto"/>
        </w:rPr>
      </w:pPr>
      <w:r>
        <w:rPr>
          <w:rFonts w:ascii="Arial" w:cs="Arial" w:eastAsia="Arial" w:hAnsi="Arial"/>
          <w:sz w:val="14"/>
          <w:szCs w:val="14"/>
          <w:color w:val="auto"/>
        </w:rPr>
        <w:t>During 2015, the Company paid $2.9 million for two interest rate cap contracts with a total notional amount of $275.0 million to mitigate a rise in interest rates and its impact on earnings related to its student loan portfolio earning a fixed rate. The first interest rate cap has a notional amount of $125.0 million and a one-month LIBOR strike rate of 2.50%, and the second interest rate cap has a notional amount of $150.0 million and a one-month LIBOR strike rate of 4.99%. In the event that the one-month LIBOR rate rises above the applicable strike rate, the Company would receive monthly payments related to the spread difference. Both interest rate cap contracts have a maturity date of July 15, 2020.</w:t>
      </w:r>
    </w:p>
    <w:p>
      <w:pPr>
        <w:spacing w:after="0" w:line="103" w:lineRule="exact"/>
        <w:rPr>
          <w:sz w:val="20"/>
          <w:szCs w:val="20"/>
          <w:color w:val="auto"/>
        </w:rPr>
      </w:pPr>
    </w:p>
    <w:p>
      <w:pPr>
        <w:spacing w:after="0"/>
        <w:rPr>
          <w:sz w:val="20"/>
          <w:szCs w:val="20"/>
          <w:color w:val="auto"/>
        </w:rPr>
      </w:pPr>
      <w:r>
        <w:rPr>
          <w:rFonts w:ascii="Arial" w:cs="Arial" w:eastAsia="Arial" w:hAnsi="Arial"/>
          <w:sz w:val="14"/>
          <w:szCs w:val="14"/>
          <w:b w:val="1"/>
          <w:bCs w:val="1"/>
          <w:i w:val="1"/>
          <w:iCs w:val="1"/>
          <w:color w:val="auto"/>
        </w:rPr>
        <w:t>Consolidated Financial Statement Impact Related to Derivatives</w:t>
      </w:r>
    </w:p>
    <w:p>
      <w:pPr>
        <w:spacing w:after="0" w:line="141" w:lineRule="exact"/>
        <w:rPr>
          <w:sz w:val="20"/>
          <w:szCs w:val="20"/>
          <w:color w:val="auto"/>
        </w:rPr>
      </w:pPr>
    </w:p>
    <w:p>
      <w:pPr>
        <w:spacing w:after="0"/>
        <w:rPr>
          <w:sz w:val="20"/>
          <w:szCs w:val="20"/>
          <w:color w:val="auto"/>
        </w:rPr>
      </w:pPr>
      <w:r>
        <w:rPr>
          <w:rFonts w:ascii="Arial" w:cs="Arial" w:eastAsia="Arial" w:hAnsi="Arial"/>
          <w:sz w:val="14"/>
          <w:szCs w:val="14"/>
          <w:i w:val="1"/>
          <w:iCs w:val="1"/>
          <w:u w:val="single" w:color="auto"/>
          <w:color w:val="auto"/>
        </w:rPr>
        <w:t>Balance Sheet</w:t>
      </w:r>
    </w:p>
    <w:p>
      <w:pPr>
        <w:spacing w:after="0" w:line="141" w:lineRule="exact"/>
        <w:rPr>
          <w:sz w:val="20"/>
          <w:szCs w:val="20"/>
          <w:color w:val="auto"/>
        </w:rPr>
      </w:pPr>
    </w:p>
    <w:p>
      <w:pPr>
        <w:jc w:val="both"/>
        <w:spacing w:after="0" w:line="272" w:lineRule="auto"/>
        <w:rPr>
          <w:sz w:val="20"/>
          <w:szCs w:val="20"/>
          <w:color w:val="auto"/>
        </w:rPr>
      </w:pPr>
      <w:r>
        <w:rPr>
          <w:rFonts w:ascii="Arial" w:cs="Arial" w:eastAsia="Arial" w:hAnsi="Arial"/>
          <w:sz w:val="14"/>
          <w:szCs w:val="14"/>
          <w:color w:val="auto"/>
        </w:rPr>
        <w:t>The following table summarizes the fair value of the Company’s derivatives as reflected in the consolidated balance sheets. There is no difference between the gross amounts of recognized assets presented in the consolidated balance sheets related to the Company's derivative portfolio and the net amount when excluding derivatives subject to enforceable master netting arrangements and cash collateral received.</w:t>
      </w:r>
    </w:p>
    <w:p>
      <w:pPr>
        <w:spacing w:after="0" w:line="56"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4020" w:type="dxa"/>
            <w:vAlign w:val="bottom"/>
          </w:tcPr>
          <w:p>
            <w:pPr>
              <w:spacing w:after="0"/>
              <w:rPr>
                <w:sz w:val="14"/>
                <w:szCs w:val="14"/>
                <w:color w:val="auto"/>
              </w:rPr>
            </w:pPr>
          </w:p>
        </w:tc>
        <w:tc>
          <w:tcPr>
            <w:tcW w:w="3600" w:type="dxa"/>
            <w:vAlign w:val="bottom"/>
            <w:gridSpan w:val="5"/>
          </w:tcPr>
          <w:p>
            <w:pPr>
              <w:ind w:left="940"/>
              <w:spacing w:after="0"/>
              <w:rPr>
                <w:sz w:val="20"/>
                <w:szCs w:val="20"/>
                <w:color w:val="auto"/>
              </w:rPr>
            </w:pPr>
            <w:r>
              <w:rPr>
                <w:rFonts w:ascii="Arial" w:cs="Arial" w:eastAsia="Arial" w:hAnsi="Arial"/>
                <w:sz w:val="13"/>
                <w:szCs w:val="13"/>
                <w:b w:val="1"/>
                <w:bCs w:val="1"/>
                <w:color w:val="auto"/>
              </w:rPr>
              <w:t>Fair value of asset derivatives</w:t>
            </w:r>
          </w:p>
        </w:tc>
        <w:tc>
          <w:tcPr>
            <w:tcW w:w="3540" w:type="dxa"/>
            <w:vAlign w:val="bottom"/>
            <w:gridSpan w:val="3"/>
          </w:tcPr>
          <w:p>
            <w:pPr>
              <w:ind w:left="880"/>
              <w:spacing w:after="0"/>
              <w:rPr>
                <w:sz w:val="20"/>
                <w:szCs w:val="20"/>
                <w:color w:val="auto"/>
              </w:rPr>
            </w:pPr>
            <w:r>
              <w:rPr>
                <w:rFonts w:ascii="Arial" w:cs="Arial" w:eastAsia="Arial" w:hAnsi="Arial"/>
                <w:sz w:val="13"/>
                <w:szCs w:val="13"/>
                <w:b w:val="1"/>
                <w:bCs w:val="1"/>
                <w:color w:val="auto"/>
              </w:rPr>
              <w:t>Fair value of liability derivatives</w:t>
            </w:r>
          </w:p>
        </w:tc>
      </w:tr>
      <w:tr>
        <w:trPr>
          <w:trHeight w:val="27"/>
        </w:trPr>
        <w:tc>
          <w:tcPr>
            <w:tcW w:w="4020" w:type="dxa"/>
            <w:vAlign w:val="bottom"/>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78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1760" w:type="dxa"/>
            <w:vAlign w:val="bottom"/>
            <w:tcBorders>
              <w:bottom w:val="single" w:sz="8" w:color="auto"/>
            </w:tcBorders>
            <w:gridSpan w:val="2"/>
          </w:tcPr>
          <w:p>
            <w:pPr>
              <w:spacing w:after="0"/>
              <w:rPr>
                <w:sz w:val="2"/>
                <w:szCs w:val="2"/>
                <w:color w:val="auto"/>
              </w:rPr>
            </w:pPr>
          </w:p>
        </w:tc>
        <w:tc>
          <w:tcPr>
            <w:tcW w:w="1780" w:type="dxa"/>
            <w:vAlign w:val="bottom"/>
            <w:tcBorders>
              <w:bottom w:val="single" w:sz="8" w:color="auto"/>
            </w:tcBorders>
          </w:tcPr>
          <w:p>
            <w:pPr>
              <w:spacing w:after="0"/>
              <w:rPr>
                <w:sz w:val="2"/>
                <w:szCs w:val="2"/>
                <w:color w:val="auto"/>
              </w:rPr>
            </w:pPr>
          </w:p>
        </w:tc>
      </w:tr>
      <w:tr>
        <w:trPr>
          <w:trHeight w:val="169"/>
        </w:trPr>
        <w:tc>
          <w:tcPr>
            <w:tcW w:w="4020" w:type="dxa"/>
            <w:vAlign w:val="bottom"/>
          </w:tcPr>
          <w:p>
            <w:pPr>
              <w:spacing w:after="0"/>
              <w:rPr>
                <w:sz w:val="14"/>
                <w:szCs w:val="14"/>
                <w:color w:val="auto"/>
              </w:rPr>
            </w:pPr>
          </w:p>
        </w:tc>
        <w:tc>
          <w:tcPr>
            <w:tcW w:w="1420" w:type="dxa"/>
            <w:vAlign w:val="bottom"/>
          </w:tcPr>
          <w:p>
            <w:pPr>
              <w:jc w:val="right"/>
              <w:spacing w:after="0"/>
              <w:rPr>
                <w:sz w:val="20"/>
                <w:szCs w:val="20"/>
                <w:color w:val="auto"/>
              </w:rPr>
            </w:pPr>
            <w:r>
              <w:rPr>
                <w:rFonts w:ascii="Arial" w:cs="Arial" w:eastAsia="Arial" w:hAnsi="Arial"/>
                <w:sz w:val="13"/>
                <w:szCs w:val="13"/>
                <w:b w:val="1"/>
                <w:bCs w:val="1"/>
                <w:color w:val="auto"/>
              </w:rPr>
              <w:t>As of March 31, 2019</w:t>
            </w: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60" w:type="dxa"/>
            <w:vAlign w:val="bottom"/>
            <w:gridSpan w:val="2"/>
          </w:tcPr>
          <w:p>
            <w:pPr>
              <w:ind w:left="200"/>
              <w:spacing w:after="0"/>
              <w:rPr>
                <w:sz w:val="20"/>
                <w:szCs w:val="20"/>
                <w:color w:val="auto"/>
              </w:rPr>
            </w:pPr>
            <w:r>
              <w:rPr>
                <w:rFonts w:ascii="Arial" w:cs="Arial" w:eastAsia="Arial" w:hAnsi="Arial"/>
                <w:sz w:val="13"/>
                <w:szCs w:val="13"/>
                <w:b w:val="1"/>
                <w:bCs w:val="1"/>
                <w:color w:val="auto"/>
              </w:rPr>
              <w:t>As of December 31, 2018</w:t>
            </w:r>
          </w:p>
        </w:tc>
        <w:tc>
          <w:tcPr>
            <w:tcW w:w="1760" w:type="dxa"/>
            <w:vAlign w:val="bottom"/>
            <w:gridSpan w:val="2"/>
          </w:tcPr>
          <w:p>
            <w:pPr>
              <w:ind w:left="240"/>
              <w:spacing w:after="0"/>
              <w:rPr>
                <w:sz w:val="20"/>
                <w:szCs w:val="20"/>
                <w:color w:val="auto"/>
              </w:rPr>
            </w:pPr>
            <w:r>
              <w:rPr>
                <w:rFonts w:ascii="Arial" w:cs="Arial" w:eastAsia="Arial" w:hAnsi="Arial"/>
                <w:sz w:val="13"/>
                <w:szCs w:val="13"/>
                <w:b w:val="1"/>
                <w:bCs w:val="1"/>
                <w:color w:val="auto"/>
              </w:rPr>
              <w:t>As of March 31, 2019</w:t>
            </w:r>
          </w:p>
        </w:tc>
        <w:tc>
          <w:tcPr>
            <w:tcW w:w="1780" w:type="dxa"/>
            <w:vAlign w:val="bottom"/>
          </w:tcPr>
          <w:p>
            <w:pPr>
              <w:ind w:left="200"/>
              <w:spacing w:after="0"/>
              <w:rPr>
                <w:sz w:val="20"/>
                <w:szCs w:val="20"/>
                <w:color w:val="auto"/>
              </w:rPr>
            </w:pPr>
            <w:r>
              <w:rPr>
                <w:rFonts w:ascii="Arial" w:cs="Arial" w:eastAsia="Arial" w:hAnsi="Arial"/>
                <w:sz w:val="13"/>
                <w:szCs w:val="13"/>
                <w:b w:val="1"/>
                <w:bCs w:val="1"/>
                <w:color w:val="auto"/>
              </w:rPr>
              <w:t>As of December 31, 2018</w:t>
            </w:r>
          </w:p>
        </w:tc>
      </w:tr>
      <w:tr>
        <w:trPr>
          <w:trHeight w:val="27"/>
        </w:trPr>
        <w:tc>
          <w:tcPr>
            <w:tcW w:w="4020" w:type="dxa"/>
            <w:vAlign w:val="bottom"/>
            <w:tcBorders>
              <w:bottom w:val="single" w:sz="8" w:color="CCEEFF"/>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7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780" w:type="dxa"/>
            <w:vAlign w:val="bottom"/>
            <w:tcBorders>
              <w:bottom w:val="single" w:sz="8" w:color="auto"/>
            </w:tcBorders>
          </w:tcPr>
          <w:p>
            <w:pPr>
              <w:spacing w:after="0"/>
              <w:rPr>
                <w:sz w:val="2"/>
                <w:szCs w:val="2"/>
                <w:color w:val="auto"/>
              </w:rPr>
            </w:pPr>
          </w:p>
        </w:tc>
      </w:tr>
      <w:tr>
        <w:trPr>
          <w:trHeight w:val="196"/>
        </w:trPr>
        <w:tc>
          <w:tcPr>
            <w:tcW w:w="4020" w:type="dxa"/>
            <w:vAlign w:val="bottom"/>
            <w:shd w:val="clear" w:color="auto" w:fill="CCEEFF"/>
          </w:tcPr>
          <w:p>
            <w:pPr>
              <w:ind w:left="20"/>
              <w:spacing w:after="0"/>
              <w:rPr>
                <w:sz w:val="20"/>
                <w:szCs w:val="20"/>
                <w:color w:val="auto"/>
              </w:rPr>
            </w:pPr>
            <w:r>
              <w:rPr>
                <w:rFonts w:ascii="Arial" w:cs="Arial" w:eastAsia="Arial" w:hAnsi="Arial"/>
                <w:sz w:val="13"/>
                <w:szCs w:val="13"/>
                <w:color w:val="auto"/>
              </w:rPr>
              <w:t>Interest rate swap options - floor income hedges</w:t>
            </w:r>
          </w:p>
        </w:tc>
        <w:tc>
          <w:tcPr>
            <w:tcW w:w="1420" w:type="dxa"/>
            <w:vAlign w:val="bottom"/>
            <w:shd w:val="clear" w:color="auto" w:fill="CCEEFF"/>
          </w:tcPr>
          <w:p>
            <w:pPr>
              <w:jc w:val="right"/>
              <w:ind w:right="1275"/>
              <w:spacing w:after="0"/>
              <w:rPr>
                <w:sz w:val="20"/>
                <w:szCs w:val="20"/>
                <w:color w:val="auto"/>
              </w:rPr>
            </w:pPr>
            <w:r>
              <w:rPr>
                <w:rFonts w:ascii="Arial" w:cs="Arial" w:eastAsia="Arial" w:hAnsi="Arial"/>
                <w:sz w:val="13"/>
                <w:szCs w:val="13"/>
                <w:color w:val="auto"/>
                <w:w w:val="82"/>
              </w:rPr>
              <w:t>$</w:t>
            </w:r>
          </w:p>
        </w:tc>
        <w:tc>
          <w:tcPr>
            <w:tcW w:w="2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90</w:t>
            </w:r>
          </w:p>
        </w:tc>
        <w:tc>
          <w:tcPr>
            <w:tcW w:w="80" w:type="dxa"/>
            <w:vAlign w:val="bottom"/>
            <w:shd w:val="clear" w:color="auto" w:fill="CCEEFF"/>
          </w:tcPr>
          <w:p>
            <w:pPr>
              <w:spacing w:after="0"/>
              <w:rPr>
                <w:sz w:val="17"/>
                <w:szCs w:val="17"/>
                <w:color w:val="auto"/>
              </w:rPr>
            </w:pPr>
          </w:p>
        </w:tc>
        <w:tc>
          <w:tcPr>
            <w:tcW w:w="17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1,465</w:t>
            </w:r>
          </w:p>
        </w:tc>
        <w:tc>
          <w:tcPr>
            <w:tcW w:w="80" w:type="dxa"/>
            <w:vAlign w:val="bottom"/>
            <w:shd w:val="clear" w:color="auto" w:fill="CCEEFF"/>
          </w:tcPr>
          <w:p>
            <w:pPr>
              <w:spacing w:after="0"/>
              <w:rPr>
                <w:sz w:val="17"/>
                <w:szCs w:val="17"/>
                <w:color w:val="auto"/>
              </w:rPr>
            </w:pPr>
          </w:p>
        </w:tc>
        <w:tc>
          <w:tcPr>
            <w:tcW w:w="1760" w:type="dxa"/>
            <w:vAlign w:val="bottom"/>
            <w:gridSpan w:val="2"/>
            <w:shd w:val="clear" w:color="auto" w:fill="CCEEFF"/>
          </w:tcPr>
          <w:p>
            <w:pPr>
              <w:ind w:left="1480"/>
              <w:spacing w:after="0"/>
              <w:rPr>
                <w:sz w:val="20"/>
                <w:szCs w:val="20"/>
                <w:color w:val="auto"/>
              </w:rPr>
            </w:pPr>
            <w:r>
              <w:rPr>
                <w:rFonts w:ascii="Arial" w:cs="Arial" w:eastAsia="Arial" w:hAnsi="Arial"/>
                <w:sz w:val="13"/>
                <w:szCs w:val="13"/>
                <w:color w:val="auto"/>
              </w:rPr>
              <w:t>—</w:t>
            </w:r>
          </w:p>
        </w:tc>
        <w:tc>
          <w:tcPr>
            <w:tcW w:w="1780" w:type="dxa"/>
            <w:vAlign w:val="bottom"/>
            <w:shd w:val="clear" w:color="auto" w:fill="CCEEFF"/>
          </w:tcPr>
          <w:p>
            <w:pPr>
              <w:ind w:left="1600"/>
              <w:spacing w:after="0"/>
              <w:rPr>
                <w:sz w:val="20"/>
                <w:szCs w:val="20"/>
                <w:color w:val="auto"/>
              </w:rPr>
            </w:pPr>
            <w:r>
              <w:rPr>
                <w:rFonts w:ascii="Arial" w:cs="Arial" w:eastAsia="Arial" w:hAnsi="Arial"/>
                <w:sz w:val="13"/>
                <w:szCs w:val="13"/>
                <w:color w:val="auto"/>
              </w:rPr>
              <w:t>—</w:t>
            </w:r>
          </w:p>
        </w:tc>
      </w:tr>
      <w:tr>
        <w:trPr>
          <w:trHeight w:val="178"/>
        </w:trPr>
        <w:tc>
          <w:tcPr>
            <w:tcW w:w="4020" w:type="dxa"/>
            <w:vAlign w:val="bottom"/>
          </w:tcPr>
          <w:p>
            <w:pPr>
              <w:ind w:left="20"/>
              <w:spacing w:after="0"/>
              <w:rPr>
                <w:sz w:val="20"/>
                <w:szCs w:val="20"/>
                <w:color w:val="auto"/>
              </w:rPr>
            </w:pPr>
            <w:r>
              <w:rPr>
                <w:rFonts w:ascii="Arial" w:cs="Arial" w:eastAsia="Arial" w:hAnsi="Arial"/>
                <w:sz w:val="13"/>
                <w:szCs w:val="13"/>
                <w:color w:val="auto"/>
              </w:rPr>
              <w:t>Interest rate caps</w:t>
            </w:r>
          </w:p>
        </w:tc>
        <w:tc>
          <w:tcPr>
            <w:tcW w:w="1420" w:type="dxa"/>
            <w:vAlign w:val="bottom"/>
          </w:tcPr>
          <w:p>
            <w:pPr>
              <w:spacing w:after="0"/>
              <w:rPr>
                <w:sz w:val="15"/>
                <w:szCs w:val="15"/>
                <w:color w:val="auto"/>
              </w:rPr>
            </w:pPr>
          </w:p>
        </w:tc>
        <w:tc>
          <w:tcPr>
            <w:tcW w:w="240" w:type="dxa"/>
            <w:vAlign w:val="bottom"/>
          </w:tcPr>
          <w:p>
            <w:pPr>
              <w:jc w:val="right"/>
              <w:spacing w:after="0"/>
              <w:rPr>
                <w:sz w:val="20"/>
                <w:szCs w:val="20"/>
                <w:color w:val="auto"/>
              </w:rPr>
            </w:pPr>
            <w:r>
              <w:rPr>
                <w:rFonts w:ascii="Arial" w:cs="Arial" w:eastAsia="Arial" w:hAnsi="Arial"/>
                <w:sz w:val="13"/>
                <w:szCs w:val="13"/>
                <w:color w:val="auto"/>
              </w:rPr>
              <w:t>78</w:t>
            </w:r>
          </w:p>
        </w:tc>
        <w:tc>
          <w:tcPr>
            <w:tcW w:w="80" w:type="dxa"/>
            <w:vAlign w:val="bottom"/>
          </w:tcPr>
          <w:p>
            <w:pPr>
              <w:spacing w:after="0"/>
              <w:rPr>
                <w:sz w:val="15"/>
                <w:szCs w:val="15"/>
                <w:color w:val="auto"/>
              </w:rPr>
            </w:pPr>
          </w:p>
        </w:tc>
        <w:tc>
          <w:tcPr>
            <w:tcW w:w="1780" w:type="dxa"/>
            <w:vAlign w:val="bottom"/>
          </w:tcPr>
          <w:p>
            <w:pPr>
              <w:jc w:val="right"/>
              <w:spacing w:after="0"/>
              <w:rPr>
                <w:sz w:val="20"/>
                <w:szCs w:val="20"/>
                <w:color w:val="auto"/>
              </w:rPr>
            </w:pPr>
            <w:r>
              <w:rPr>
                <w:rFonts w:ascii="Arial" w:cs="Arial" w:eastAsia="Arial" w:hAnsi="Arial"/>
                <w:sz w:val="13"/>
                <w:szCs w:val="13"/>
                <w:color w:val="auto"/>
              </w:rPr>
              <w:t>353</w:t>
            </w:r>
          </w:p>
        </w:tc>
        <w:tc>
          <w:tcPr>
            <w:tcW w:w="80" w:type="dxa"/>
            <w:vAlign w:val="bottom"/>
          </w:tcPr>
          <w:p>
            <w:pPr>
              <w:spacing w:after="0"/>
              <w:rPr>
                <w:sz w:val="15"/>
                <w:szCs w:val="15"/>
                <w:color w:val="auto"/>
              </w:rPr>
            </w:pPr>
          </w:p>
        </w:tc>
        <w:tc>
          <w:tcPr>
            <w:tcW w:w="1760" w:type="dxa"/>
            <w:vAlign w:val="bottom"/>
            <w:gridSpan w:val="2"/>
          </w:tcPr>
          <w:p>
            <w:pPr>
              <w:ind w:left="1480"/>
              <w:spacing w:after="0"/>
              <w:rPr>
                <w:sz w:val="20"/>
                <w:szCs w:val="20"/>
                <w:color w:val="auto"/>
              </w:rPr>
            </w:pPr>
            <w:r>
              <w:rPr>
                <w:rFonts w:ascii="Arial" w:cs="Arial" w:eastAsia="Arial" w:hAnsi="Arial"/>
                <w:sz w:val="13"/>
                <w:szCs w:val="13"/>
                <w:color w:val="auto"/>
              </w:rPr>
              <w:t>—</w:t>
            </w:r>
          </w:p>
        </w:tc>
        <w:tc>
          <w:tcPr>
            <w:tcW w:w="1780" w:type="dxa"/>
            <w:vAlign w:val="bottom"/>
          </w:tcPr>
          <w:p>
            <w:pPr>
              <w:ind w:left="1600"/>
              <w:spacing w:after="0"/>
              <w:rPr>
                <w:sz w:val="20"/>
                <w:szCs w:val="20"/>
                <w:color w:val="auto"/>
              </w:rPr>
            </w:pPr>
            <w:r>
              <w:rPr>
                <w:rFonts w:ascii="Arial" w:cs="Arial" w:eastAsia="Arial" w:hAnsi="Arial"/>
                <w:sz w:val="13"/>
                <w:szCs w:val="13"/>
                <w:color w:val="auto"/>
              </w:rPr>
              <w:t>—</w:t>
            </w:r>
          </w:p>
        </w:tc>
      </w:tr>
      <w:tr>
        <w:trPr>
          <w:trHeight w:val="27"/>
        </w:trPr>
        <w:tc>
          <w:tcPr>
            <w:tcW w:w="4020" w:type="dxa"/>
            <w:vAlign w:val="bottom"/>
            <w:tcBorders>
              <w:bottom w:val="single" w:sz="8" w:color="CCEEFF"/>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7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780" w:type="dxa"/>
            <w:vAlign w:val="bottom"/>
            <w:tcBorders>
              <w:bottom w:val="single" w:sz="8" w:color="auto"/>
            </w:tcBorders>
          </w:tcPr>
          <w:p>
            <w:pPr>
              <w:spacing w:after="0"/>
              <w:rPr>
                <w:sz w:val="2"/>
                <w:szCs w:val="2"/>
                <w:color w:val="auto"/>
              </w:rPr>
            </w:pPr>
          </w:p>
        </w:tc>
      </w:tr>
      <w:tr>
        <w:trPr>
          <w:trHeight w:val="213"/>
        </w:trPr>
        <w:tc>
          <w:tcPr>
            <w:tcW w:w="4020" w:type="dxa"/>
            <w:vAlign w:val="bottom"/>
            <w:shd w:val="clear" w:color="auto" w:fill="CCEEFF"/>
          </w:tcPr>
          <w:p>
            <w:pPr>
              <w:ind w:left="20"/>
              <w:spacing w:after="0"/>
              <w:rPr>
                <w:sz w:val="20"/>
                <w:szCs w:val="20"/>
                <w:color w:val="auto"/>
              </w:rPr>
            </w:pPr>
            <w:r>
              <w:rPr>
                <w:rFonts w:ascii="Arial" w:cs="Arial" w:eastAsia="Arial" w:hAnsi="Arial"/>
                <w:sz w:val="13"/>
                <w:szCs w:val="13"/>
                <w:color w:val="auto"/>
              </w:rPr>
              <w:t>Total</w:t>
            </w:r>
          </w:p>
        </w:tc>
        <w:tc>
          <w:tcPr>
            <w:tcW w:w="1420" w:type="dxa"/>
            <w:vAlign w:val="bottom"/>
            <w:shd w:val="clear" w:color="auto" w:fill="CCEEFF"/>
          </w:tcPr>
          <w:p>
            <w:pPr>
              <w:jc w:val="right"/>
              <w:ind w:right="1275"/>
              <w:spacing w:after="0"/>
              <w:rPr>
                <w:sz w:val="20"/>
                <w:szCs w:val="20"/>
                <w:color w:val="auto"/>
              </w:rPr>
            </w:pPr>
            <w:r>
              <w:rPr>
                <w:rFonts w:ascii="Arial" w:cs="Arial" w:eastAsia="Arial" w:hAnsi="Arial"/>
                <w:sz w:val="13"/>
                <w:szCs w:val="13"/>
                <w:color w:val="auto"/>
                <w:w w:val="82"/>
              </w:rPr>
              <w:t>$</w:t>
            </w:r>
          </w:p>
        </w:tc>
        <w:tc>
          <w:tcPr>
            <w:tcW w:w="240" w:type="dxa"/>
            <w:vAlign w:val="bottom"/>
            <w:shd w:val="clear" w:color="auto" w:fill="CCEEFF"/>
          </w:tcPr>
          <w:p>
            <w:pPr>
              <w:jc w:val="right"/>
              <w:spacing w:after="0"/>
              <w:rPr>
                <w:sz w:val="20"/>
                <w:szCs w:val="20"/>
                <w:color w:val="auto"/>
              </w:rPr>
            </w:pPr>
            <w:r>
              <w:rPr>
                <w:rFonts w:ascii="Arial" w:cs="Arial" w:eastAsia="Arial" w:hAnsi="Arial"/>
                <w:sz w:val="13"/>
                <w:szCs w:val="13"/>
                <w:color w:val="auto"/>
                <w:w w:val="73"/>
              </w:rPr>
              <w:t>168</w:t>
            </w:r>
          </w:p>
        </w:tc>
        <w:tc>
          <w:tcPr>
            <w:tcW w:w="80" w:type="dxa"/>
            <w:vAlign w:val="bottom"/>
            <w:shd w:val="clear" w:color="auto" w:fill="CCEEFF"/>
          </w:tcPr>
          <w:p>
            <w:pPr>
              <w:spacing w:after="0"/>
              <w:rPr>
                <w:sz w:val="18"/>
                <w:szCs w:val="18"/>
                <w:color w:val="auto"/>
              </w:rPr>
            </w:pPr>
          </w:p>
        </w:tc>
        <w:tc>
          <w:tcPr>
            <w:tcW w:w="17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1,818</w:t>
            </w:r>
          </w:p>
        </w:tc>
        <w:tc>
          <w:tcPr>
            <w:tcW w:w="80" w:type="dxa"/>
            <w:vAlign w:val="bottom"/>
            <w:shd w:val="clear" w:color="auto" w:fill="CCEEFF"/>
          </w:tcPr>
          <w:p>
            <w:pPr>
              <w:spacing w:after="0"/>
              <w:rPr>
                <w:sz w:val="18"/>
                <w:szCs w:val="18"/>
                <w:color w:val="auto"/>
              </w:rPr>
            </w:pPr>
          </w:p>
        </w:tc>
        <w:tc>
          <w:tcPr>
            <w:tcW w:w="1760" w:type="dxa"/>
            <w:vAlign w:val="bottom"/>
            <w:gridSpan w:val="2"/>
            <w:shd w:val="clear" w:color="auto" w:fill="CCEEFF"/>
          </w:tcPr>
          <w:p>
            <w:pPr>
              <w:ind w:left="1480"/>
              <w:spacing w:after="0"/>
              <w:rPr>
                <w:sz w:val="20"/>
                <w:szCs w:val="20"/>
                <w:color w:val="auto"/>
              </w:rPr>
            </w:pPr>
            <w:r>
              <w:rPr>
                <w:rFonts w:ascii="Arial" w:cs="Arial" w:eastAsia="Arial" w:hAnsi="Arial"/>
                <w:sz w:val="13"/>
                <w:szCs w:val="13"/>
                <w:color w:val="auto"/>
              </w:rPr>
              <w:t>—</w:t>
            </w:r>
          </w:p>
        </w:tc>
        <w:tc>
          <w:tcPr>
            <w:tcW w:w="1780" w:type="dxa"/>
            <w:vAlign w:val="bottom"/>
            <w:shd w:val="clear" w:color="auto" w:fill="CCEEFF"/>
          </w:tcPr>
          <w:p>
            <w:pPr>
              <w:ind w:left="1600"/>
              <w:spacing w:after="0"/>
              <w:rPr>
                <w:sz w:val="20"/>
                <w:szCs w:val="20"/>
                <w:color w:val="auto"/>
              </w:rPr>
            </w:pPr>
            <w:r>
              <w:rPr>
                <w:rFonts w:ascii="Arial" w:cs="Arial" w:eastAsia="Arial" w:hAnsi="Arial"/>
                <w:sz w:val="13"/>
                <w:szCs w:val="13"/>
                <w:color w:val="auto"/>
              </w:rPr>
              <w:t>—</w:t>
            </w:r>
          </w:p>
        </w:tc>
      </w:tr>
      <w:tr>
        <w:trPr>
          <w:trHeight w:val="20"/>
        </w:trPr>
        <w:tc>
          <w:tcPr>
            <w:tcW w:w="4020" w:type="dxa"/>
            <w:vAlign w:val="bottom"/>
            <w:tcBorders>
              <w:top w:val="single" w:sz="8" w:color="CCEEFF"/>
            </w:tcBorders>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7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780" w:type="dxa"/>
            <w:vAlign w:val="bottom"/>
            <w:tcBorders>
              <w:top w:val="single" w:sz="8" w:color="auto"/>
              <w:bottom w:val="single" w:sz="8" w:color="auto"/>
            </w:tcBorders>
          </w:tcPr>
          <w:p>
            <w:pPr>
              <w:spacing w:after="0" w:line="20" w:lineRule="exact"/>
              <w:rPr>
                <w:sz w:val="1"/>
                <w:szCs w:val="1"/>
                <w:color w:val="auto"/>
              </w:rPr>
            </w:pPr>
          </w:p>
        </w:tc>
      </w:tr>
    </w:tbl>
    <w:p>
      <w:pPr>
        <w:spacing w:after="0" w:line="162" w:lineRule="exact"/>
        <w:rPr>
          <w:sz w:val="20"/>
          <w:szCs w:val="20"/>
          <w:color w:val="auto"/>
        </w:rPr>
      </w:pPr>
    </w:p>
    <w:p>
      <w:pPr>
        <w:spacing w:after="0"/>
        <w:rPr>
          <w:sz w:val="20"/>
          <w:szCs w:val="20"/>
          <w:color w:val="auto"/>
        </w:rPr>
      </w:pPr>
      <w:r>
        <w:rPr>
          <w:rFonts w:ascii="Arial" w:cs="Arial" w:eastAsia="Arial" w:hAnsi="Arial"/>
          <w:sz w:val="14"/>
          <w:szCs w:val="14"/>
          <w:i w:val="1"/>
          <w:iCs w:val="1"/>
          <w:u w:val="single" w:color="auto"/>
          <w:color w:val="auto"/>
        </w:rPr>
        <w:t>Income Statement Impact</w:t>
      </w:r>
    </w:p>
    <w:p>
      <w:pPr>
        <w:spacing w:after="0" w:line="141" w:lineRule="exact"/>
        <w:rPr>
          <w:sz w:val="20"/>
          <w:szCs w:val="20"/>
          <w:color w:val="auto"/>
        </w:rPr>
      </w:pPr>
    </w:p>
    <w:p>
      <w:pPr>
        <w:spacing w:after="0"/>
        <w:rPr>
          <w:sz w:val="20"/>
          <w:szCs w:val="20"/>
          <w:color w:val="auto"/>
        </w:rPr>
      </w:pPr>
      <w:r>
        <w:rPr>
          <w:rFonts w:ascii="Arial" w:cs="Arial" w:eastAsia="Arial" w:hAnsi="Arial"/>
          <w:sz w:val="14"/>
          <w:szCs w:val="14"/>
          <w:color w:val="auto"/>
        </w:rPr>
        <w:t>The following table summarizes the components of "derivative market value adjustments and derivative settlements, net" included in the consolidated statements of income.</w:t>
      </w:r>
    </w:p>
    <w:p>
      <w:pPr>
        <w:spacing w:after="0" w:line="55" w:lineRule="exact"/>
        <w:rPr>
          <w:sz w:val="20"/>
          <w:szCs w:val="20"/>
          <w:color w:val="auto"/>
        </w:rPr>
      </w:pPr>
    </w:p>
    <w:tbl>
      <w:tblPr>
        <w:tblLayout w:type="fixed"/>
        <w:tblInd w:w="420" w:type="dxa"/>
        <w:tblCellMar>
          <w:top w:w="0" w:type="dxa"/>
          <w:left w:w="0" w:type="dxa"/>
          <w:bottom w:w="0" w:type="dxa"/>
          <w:right w:w="0" w:type="dxa"/>
        </w:tblCellMar>
      </w:tblPr>
      <w:tr>
        <w:trPr>
          <w:trHeight w:val="167"/>
        </w:trPr>
        <w:tc>
          <w:tcPr>
            <w:tcW w:w="7760" w:type="dxa"/>
            <w:vAlign w:val="bottom"/>
          </w:tcPr>
          <w:p>
            <w:pPr>
              <w:spacing w:after="0"/>
              <w:rPr>
                <w:sz w:val="14"/>
                <w:szCs w:val="14"/>
                <w:color w:val="auto"/>
              </w:rPr>
            </w:pPr>
          </w:p>
        </w:tc>
        <w:tc>
          <w:tcPr>
            <w:tcW w:w="2380" w:type="dxa"/>
            <w:vAlign w:val="bottom"/>
            <w:gridSpan w:val="4"/>
          </w:tcPr>
          <w:p>
            <w:pPr>
              <w:ind w:left="560"/>
              <w:spacing w:after="0"/>
              <w:rPr>
                <w:sz w:val="20"/>
                <w:szCs w:val="20"/>
                <w:color w:val="auto"/>
              </w:rPr>
            </w:pPr>
            <w:r>
              <w:rPr>
                <w:rFonts w:ascii="Arial" w:cs="Arial" w:eastAsia="Arial" w:hAnsi="Arial"/>
                <w:sz w:val="13"/>
                <w:szCs w:val="13"/>
                <w:b w:val="1"/>
                <w:bCs w:val="1"/>
                <w:color w:val="auto"/>
                <w:w w:val="94"/>
              </w:rPr>
              <w:t>Three months ended March 31,</w:t>
            </w:r>
          </w:p>
        </w:tc>
        <w:tc>
          <w:tcPr>
            <w:tcW w:w="500" w:type="dxa"/>
            <w:vAlign w:val="bottom"/>
          </w:tcPr>
          <w:p>
            <w:pPr>
              <w:spacing w:after="0"/>
              <w:rPr>
                <w:sz w:val="14"/>
                <w:szCs w:val="14"/>
                <w:color w:val="auto"/>
              </w:rPr>
            </w:pPr>
          </w:p>
        </w:tc>
      </w:tr>
      <w:tr>
        <w:trPr>
          <w:trHeight w:val="27"/>
        </w:trPr>
        <w:tc>
          <w:tcPr>
            <w:tcW w:w="7760" w:type="dxa"/>
            <w:vAlign w:val="bottom"/>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gridSpan w:val="3"/>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r>
      <w:tr>
        <w:trPr>
          <w:trHeight w:val="169"/>
        </w:trPr>
        <w:tc>
          <w:tcPr>
            <w:tcW w:w="7760" w:type="dxa"/>
            <w:vAlign w:val="bottom"/>
          </w:tcPr>
          <w:p>
            <w:pPr>
              <w:spacing w:after="0"/>
              <w:rPr>
                <w:sz w:val="14"/>
                <w:szCs w:val="14"/>
                <w:color w:val="auto"/>
              </w:rPr>
            </w:pPr>
          </w:p>
        </w:tc>
        <w:tc>
          <w:tcPr>
            <w:tcW w:w="880" w:type="dxa"/>
            <w:vAlign w:val="bottom"/>
          </w:tcPr>
          <w:p>
            <w:pPr>
              <w:ind w:left="580"/>
              <w:spacing w:after="0"/>
              <w:rPr>
                <w:sz w:val="20"/>
                <w:szCs w:val="20"/>
                <w:color w:val="auto"/>
              </w:rPr>
            </w:pPr>
            <w:r>
              <w:rPr>
                <w:rFonts w:ascii="Arial" w:cs="Arial" w:eastAsia="Arial" w:hAnsi="Arial"/>
                <w:sz w:val="13"/>
                <w:szCs w:val="13"/>
                <w:b w:val="1"/>
                <w:bCs w:val="1"/>
                <w:color w:val="auto"/>
                <w:w w:val="96"/>
              </w:rPr>
              <w:t>2019</w:t>
            </w:r>
          </w:p>
        </w:tc>
        <w:tc>
          <w:tcPr>
            <w:tcW w:w="1500" w:type="dxa"/>
            <w:vAlign w:val="bottom"/>
            <w:gridSpan w:val="3"/>
          </w:tcPr>
          <w:p>
            <w:pPr>
              <w:jc w:val="right"/>
              <w:ind w:right="80"/>
              <w:spacing w:after="0"/>
              <w:rPr>
                <w:sz w:val="20"/>
                <w:szCs w:val="20"/>
                <w:color w:val="auto"/>
              </w:rPr>
            </w:pPr>
            <w:r>
              <w:rPr>
                <w:rFonts w:ascii="Arial" w:cs="Arial" w:eastAsia="Arial" w:hAnsi="Arial"/>
                <w:sz w:val="13"/>
                <w:szCs w:val="13"/>
                <w:b w:val="1"/>
                <w:bCs w:val="1"/>
                <w:color w:val="auto"/>
              </w:rPr>
              <w:t>2018</w:t>
            </w:r>
          </w:p>
        </w:tc>
        <w:tc>
          <w:tcPr>
            <w:tcW w:w="500" w:type="dxa"/>
            <w:vAlign w:val="bottom"/>
          </w:tcPr>
          <w:p>
            <w:pPr>
              <w:spacing w:after="0"/>
              <w:rPr>
                <w:sz w:val="14"/>
                <w:szCs w:val="14"/>
                <w:color w:val="auto"/>
              </w:rPr>
            </w:pPr>
          </w:p>
        </w:tc>
      </w:tr>
      <w:tr>
        <w:trPr>
          <w:trHeight w:val="27"/>
        </w:trPr>
        <w:tc>
          <w:tcPr>
            <w:tcW w:w="7760" w:type="dxa"/>
            <w:vAlign w:val="bottom"/>
            <w:tcBorders>
              <w:bottom w:val="single" w:sz="8" w:color="CCEEFF"/>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r>
      <w:tr>
        <w:trPr>
          <w:trHeight w:val="176"/>
        </w:trPr>
        <w:tc>
          <w:tcPr>
            <w:tcW w:w="7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Settlements:</w:t>
            </w:r>
          </w:p>
        </w:tc>
        <w:tc>
          <w:tcPr>
            <w:tcW w:w="880" w:type="dxa"/>
            <w:vAlign w:val="bottom"/>
            <w:tcBorders>
              <w:bottom w:val="single" w:sz="8" w:color="CCEEFF"/>
            </w:tcBorders>
            <w:shd w:val="clear" w:color="auto" w:fill="CCEEFF"/>
          </w:tcPr>
          <w:p>
            <w:pPr>
              <w:spacing w:after="0"/>
              <w:rPr>
                <w:sz w:val="15"/>
                <w:szCs w:val="15"/>
                <w:color w:val="auto"/>
              </w:rPr>
            </w:pPr>
          </w:p>
        </w:tc>
        <w:tc>
          <w:tcPr>
            <w:tcW w:w="52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880" w:type="dxa"/>
            <w:vAlign w:val="bottom"/>
            <w:tcBorders>
              <w:bottom w:val="single" w:sz="8" w:color="CCEEFF"/>
            </w:tcBorders>
            <w:shd w:val="clear" w:color="auto" w:fill="CCEEFF"/>
          </w:tcPr>
          <w:p>
            <w:pPr>
              <w:spacing w:after="0"/>
              <w:rPr>
                <w:sz w:val="15"/>
                <w:szCs w:val="15"/>
                <w:color w:val="auto"/>
              </w:rPr>
            </w:pPr>
          </w:p>
        </w:tc>
        <w:tc>
          <w:tcPr>
            <w:tcW w:w="500" w:type="dxa"/>
            <w:vAlign w:val="bottom"/>
            <w:tcBorders>
              <w:bottom w:val="single" w:sz="8" w:color="CCEEFF"/>
            </w:tcBorders>
            <w:shd w:val="clear" w:color="auto" w:fill="CCEEFF"/>
          </w:tcPr>
          <w:p>
            <w:pPr>
              <w:spacing w:after="0"/>
              <w:rPr>
                <w:sz w:val="15"/>
                <w:szCs w:val="15"/>
                <w:color w:val="auto"/>
              </w:rPr>
            </w:pPr>
          </w:p>
        </w:tc>
      </w:tr>
      <w:tr>
        <w:trPr>
          <w:trHeight w:val="178"/>
        </w:trPr>
        <w:tc>
          <w:tcPr>
            <w:tcW w:w="7760" w:type="dxa"/>
            <w:vAlign w:val="bottom"/>
          </w:tcPr>
          <w:p>
            <w:pPr>
              <w:ind w:left="80"/>
              <w:spacing w:after="0"/>
              <w:rPr>
                <w:sz w:val="20"/>
                <w:szCs w:val="20"/>
                <w:color w:val="auto"/>
              </w:rPr>
            </w:pPr>
            <w:r>
              <w:rPr>
                <w:rFonts w:ascii="Arial" w:cs="Arial" w:eastAsia="Arial" w:hAnsi="Arial"/>
                <w:sz w:val="13"/>
                <w:szCs w:val="13"/>
                <w:color w:val="auto"/>
              </w:rPr>
              <w:t>1:3 basis swaps</w:t>
            </w:r>
          </w:p>
        </w:tc>
        <w:tc>
          <w:tcPr>
            <w:tcW w:w="880" w:type="dxa"/>
            <w:vAlign w:val="bottom"/>
          </w:tcPr>
          <w:p>
            <w:pPr>
              <w:jc w:val="right"/>
              <w:ind w:right="735"/>
              <w:spacing w:after="0"/>
              <w:rPr>
                <w:sz w:val="20"/>
                <w:szCs w:val="20"/>
                <w:color w:val="auto"/>
              </w:rPr>
            </w:pPr>
            <w:r>
              <w:rPr>
                <w:rFonts w:ascii="Arial" w:cs="Arial" w:eastAsia="Arial" w:hAnsi="Arial"/>
                <w:sz w:val="13"/>
                <w:szCs w:val="13"/>
                <w:color w:val="auto"/>
                <w:w w:val="82"/>
              </w:rPr>
              <w:t>$</w:t>
            </w:r>
          </w:p>
        </w:tc>
        <w:tc>
          <w:tcPr>
            <w:tcW w:w="520" w:type="dxa"/>
            <w:vAlign w:val="bottom"/>
          </w:tcPr>
          <w:p>
            <w:pPr>
              <w:jc w:val="right"/>
              <w:spacing w:after="0"/>
              <w:rPr>
                <w:sz w:val="20"/>
                <w:szCs w:val="20"/>
                <w:color w:val="auto"/>
              </w:rPr>
            </w:pPr>
            <w:r>
              <w:rPr>
                <w:rFonts w:ascii="Arial" w:cs="Arial" w:eastAsia="Arial" w:hAnsi="Arial"/>
                <w:sz w:val="13"/>
                <w:szCs w:val="13"/>
                <w:color w:val="auto"/>
              </w:rPr>
              <w:t>2,334</w:t>
            </w:r>
          </w:p>
        </w:tc>
        <w:tc>
          <w:tcPr>
            <w:tcW w:w="10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500" w:type="dxa"/>
            <w:vAlign w:val="bottom"/>
          </w:tcPr>
          <w:p>
            <w:pPr>
              <w:jc w:val="right"/>
              <w:spacing w:after="0"/>
              <w:rPr>
                <w:sz w:val="20"/>
                <w:szCs w:val="20"/>
                <w:color w:val="auto"/>
              </w:rPr>
            </w:pPr>
            <w:r>
              <w:rPr>
                <w:rFonts w:ascii="Arial" w:cs="Arial" w:eastAsia="Arial" w:hAnsi="Arial"/>
                <w:sz w:val="13"/>
                <w:szCs w:val="13"/>
                <w:color w:val="auto"/>
              </w:rPr>
              <w:t>(1,664)</w:t>
            </w:r>
          </w:p>
        </w:tc>
      </w:tr>
      <w:tr>
        <w:trPr>
          <w:trHeight w:val="27"/>
        </w:trPr>
        <w:tc>
          <w:tcPr>
            <w:tcW w:w="7760" w:type="dxa"/>
            <w:vAlign w:val="bottom"/>
          </w:tcPr>
          <w:p>
            <w:pPr>
              <w:spacing w:after="0"/>
              <w:rPr>
                <w:sz w:val="2"/>
                <w:szCs w:val="2"/>
                <w:color w:val="auto"/>
              </w:rPr>
            </w:pPr>
          </w:p>
        </w:tc>
        <w:tc>
          <w:tcPr>
            <w:tcW w:w="880" w:type="dxa"/>
            <w:vAlign w:val="bottom"/>
          </w:tcPr>
          <w:p>
            <w:pPr>
              <w:spacing w:after="0"/>
              <w:rPr>
                <w:sz w:val="2"/>
                <w:szCs w:val="2"/>
                <w:color w:val="auto"/>
              </w:rPr>
            </w:pPr>
          </w:p>
        </w:tc>
        <w:tc>
          <w:tcPr>
            <w:tcW w:w="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880" w:type="dxa"/>
            <w:vAlign w:val="bottom"/>
          </w:tcPr>
          <w:p>
            <w:pPr>
              <w:spacing w:after="0"/>
              <w:rPr>
                <w:sz w:val="2"/>
                <w:szCs w:val="2"/>
                <w:color w:val="auto"/>
              </w:rPr>
            </w:pPr>
          </w:p>
        </w:tc>
        <w:tc>
          <w:tcPr>
            <w:tcW w:w="500" w:type="dxa"/>
            <w:vAlign w:val="bottom"/>
          </w:tcPr>
          <w:p>
            <w:pPr>
              <w:spacing w:after="0"/>
              <w:rPr>
                <w:sz w:val="2"/>
                <w:szCs w:val="2"/>
                <w:color w:val="auto"/>
              </w:rPr>
            </w:pPr>
          </w:p>
        </w:tc>
      </w:tr>
      <w:tr>
        <w:trPr>
          <w:trHeight w:val="185"/>
        </w:trPr>
        <w:tc>
          <w:tcPr>
            <w:tcW w:w="7760" w:type="dxa"/>
            <w:vAlign w:val="bottom"/>
            <w:tcBorders>
              <w:bottom w:val="single" w:sz="8" w:color="CCEEFF"/>
            </w:tcBorders>
            <w:shd w:val="clear" w:color="auto" w:fill="CCEEFF"/>
          </w:tcPr>
          <w:p>
            <w:pPr>
              <w:ind w:left="80"/>
              <w:spacing w:after="0"/>
              <w:rPr>
                <w:sz w:val="20"/>
                <w:szCs w:val="20"/>
                <w:color w:val="auto"/>
              </w:rPr>
            </w:pPr>
            <w:r>
              <w:rPr>
                <w:rFonts w:ascii="Arial" w:cs="Arial" w:eastAsia="Arial" w:hAnsi="Arial"/>
                <w:sz w:val="13"/>
                <w:szCs w:val="13"/>
                <w:color w:val="auto"/>
              </w:rPr>
              <w:t>Interest rate swaps - floor income hedges</w:t>
            </w:r>
          </w:p>
        </w:tc>
        <w:tc>
          <w:tcPr>
            <w:tcW w:w="880" w:type="dxa"/>
            <w:vAlign w:val="bottom"/>
            <w:tcBorders>
              <w:bottom w:val="single" w:sz="8" w:color="CCEEFF"/>
            </w:tcBorders>
            <w:shd w:val="clear" w:color="auto" w:fill="CCEEFF"/>
          </w:tcPr>
          <w:p>
            <w:pPr>
              <w:spacing w:after="0"/>
              <w:rPr>
                <w:sz w:val="16"/>
                <w:szCs w:val="16"/>
                <w:color w:val="auto"/>
              </w:rPr>
            </w:pPr>
          </w:p>
        </w:tc>
        <w:tc>
          <w:tcPr>
            <w:tcW w:w="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16,701</w:t>
            </w:r>
          </w:p>
        </w:tc>
        <w:tc>
          <w:tcPr>
            <w:tcW w:w="100" w:type="dxa"/>
            <w:vAlign w:val="bottom"/>
            <w:tcBorders>
              <w:bottom w:val="single" w:sz="8" w:color="CCEEFF"/>
            </w:tcBorders>
            <w:shd w:val="clear" w:color="auto" w:fill="CCEEFF"/>
          </w:tcPr>
          <w:p>
            <w:pPr>
              <w:spacing w:after="0"/>
              <w:rPr>
                <w:sz w:val="16"/>
                <w:szCs w:val="16"/>
                <w:color w:val="auto"/>
              </w:rPr>
            </w:pPr>
          </w:p>
        </w:tc>
        <w:tc>
          <w:tcPr>
            <w:tcW w:w="880" w:type="dxa"/>
            <w:vAlign w:val="bottom"/>
            <w:tcBorders>
              <w:bottom w:val="single" w:sz="8" w:color="CCEEFF"/>
            </w:tcBorders>
            <w:shd w:val="clear" w:color="auto" w:fill="CCEEFF"/>
          </w:tcPr>
          <w:p>
            <w:pPr>
              <w:spacing w:after="0"/>
              <w:rPr>
                <w:sz w:val="16"/>
                <w:szCs w:val="16"/>
                <w:color w:val="auto"/>
              </w:rPr>
            </w:pPr>
          </w:p>
        </w:tc>
        <w:tc>
          <w:tcPr>
            <w:tcW w:w="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8,590</w:t>
            </w:r>
          </w:p>
        </w:tc>
      </w:tr>
      <w:tr>
        <w:trPr>
          <w:trHeight w:val="178"/>
        </w:trPr>
        <w:tc>
          <w:tcPr>
            <w:tcW w:w="7760" w:type="dxa"/>
            <w:vAlign w:val="bottom"/>
          </w:tcPr>
          <w:p>
            <w:pPr>
              <w:ind w:left="80"/>
              <w:spacing w:after="0"/>
              <w:rPr>
                <w:sz w:val="20"/>
                <w:szCs w:val="20"/>
                <w:color w:val="auto"/>
              </w:rPr>
            </w:pPr>
            <w:r>
              <w:rPr>
                <w:rFonts w:ascii="Arial" w:cs="Arial" w:eastAsia="Arial" w:hAnsi="Arial"/>
                <w:sz w:val="13"/>
                <w:szCs w:val="13"/>
                <w:color w:val="auto"/>
              </w:rPr>
              <w:t>Interest rate swaps - hybrid debt hedges</w:t>
            </w:r>
          </w:p>
        </w:tc>
        <w:tc>
          <w:tcPr>
            <w:tcW w:w="880" w:type="dxa"/>
            <w:vAlign w:val="bottom"/>
          </w:tcPr>
          <w:p>
            <w:pPr>
              <w:spacing w:after="0"/>
              <w:rPr>
                <w:sz w:val="15"/>
                <w:szCs w:val="15"/>
                <w:color w:val="auto"/>
              </w:rPr>
            </w:pPr>
          </w:p>
        </w:tc>
        <w:tc>
          <w:tcPr>
            <w:tcW w:w="1500" w:type="dxa"/>
            <w:vAlign w:val="bottom"/>
            <w:gridSpan w:val="3"/>
          </w:tcPr>
          <w:p>
            <w:pPr>
              <w:jc w:val="right"/>
              <w:ind w:right="1020"/>
              <w:spacing w:after="0"/>
              <w:rPr>
                <w:sz w:val="20"/>
                <w:szCs w:val="20"/>
                <w:color w:val="auto"/>
              </w:rPr>
            </w:pPr>
            <w:r>
              <w:rPr>
                <w:rFonts w:ascii="Arial" w:cs="Arial" w:eastAsia="Arial" w:hAnsi="Arial"/>
                <w:sz w:val="13"/>
                <w:szCs w:val="13"/>
                <w:color w:val="auto"/>
              </w:rPr>
              <w:t>—</w:t>
            </w:r>
          </w:p>
        </w:tc>
        <w:tc>
          <w:tcPr>
            <w:tcW w:w="500" w:type="dxa"/>
            <w:vAlign w:val="bottom"/>
          </w:tcPr>
          <w:p>
            <w:pPr>
              <w:jc w:val="right"/>
              <w:spacing w:after="0"/>
              <w:rPr>
                <w:sz w:val="20"/>
                <w:szCs w:val="20"/>
                <w:color w:val="auto"/>
              </w:rPr>
            </w:pPr>
            <w:r>
              <w:rPr>
                <w:rFonts w:ascii="Arial" w:cs="Arial" w:eastAsia="Arial" w:hAnsi="Arial"/>
                <w:sz w:val="13"/>
                <w:szCs w:val="13"/>
                <w:color w:val="auto"/>
              </w:rPr>
              <w:t>(160)</w:t>
            </w:r>
          </w:p>
        </w:tc>
      </w:tr>
      <w:tr>
        <w:trPr>
          <w:trHeight w:val="27"/>
        </w:trPr>
        <w:tc>
          <w:tcPr>
            <w:tcW w:w="7760" w:type="dxa"/>
            <w:vAlign w:val="bottom"/>
            <w:tcBorders>
              <w:bottom w:val="single" w:sz="8" w:color="CCEEFF"/>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r>
      <w:tr>
        <w:trPr>
          <w:trHeight w:val="196"/>
        </w:trPr>
        <w:tc>
          <w:tcPr>
            <w:tcW w:w="776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3"/>
                <w:szCs w:val="13"/>
                <w:color w:val="auto"/>
              </w:rPr>
              <w:t>Total settlements - income</w:t>
            </w:r>
          </w:p>
        </w:tc>
        <w:tc>
          <w:tcPr>
            <w:tcW w:w="880" w:type="dxa"/>
            <w:vAlign w:val="bottom"/>
            <w:tcBorders>
              <w:bottom w:val="single" w:sz="8" w:color="CCEEFF"/>
            </w:tcBorders>
            <w:shd w:val="clear" w:color="auto" w:fill="CCEEFF"/>
          </w:tcPr>
          <w:p>
            <w:pPr>
              <w:spacing w:after="0"/>
              <w:rPr>
                <w:sz w:val="17"/>
                <w:szCs w:val="17"/>
                <w:color w:val="auto"/>
              </w:rPr>
            </w:pPr>
          </w:p>
        </w:tc>
        <w:tc>
          <w:tcPr>
            <w:tcW w:w="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19,035</w:t>
            </w:r>
          </w:p>
        </w:tc>
        <w:tc>
          <w:tcPr>
            <w:tcW w:w="100" w:type="dxa"/>
            <w:vAlign w:val="bottom"/>
            <w:tcBorders>
              <w:bottom w:val="single" w:sz="8" w:color="CCEEFF"/>
            </w:tcBorders>
            <w:shd w:val="clear" w:color="auto" w:fill="CCEEFF"/>
          </w:tcPr>
          <w:p>
            <w:pPr>
              <w:spacing w:after="0"/>
              <w:rPr>
                <w:sz w:val="17"/>
                <w:szCs w:val="17"/>
                <w:color w:val="auto"/>
              </w:rPr>
            </w:pPr>
          </w:p>
        </w:tc>
        <w:tc>
          <w:tcPr>
            <w:tcW w:w="880" w:type="dxa"/>
            <w:vAlign w:val="bottom"/>
            <w:tcBorders>
              <w:bottom w:val="single" w:sz="8" w:color="CCEEFF"/>
            </w:tcBorders>
            <w:shd w:val="clear" w:color="auto" w:fill="CCEEFF"/>
          </w:tcPr>
          <w:p>
            <w:pPr>
              <w:spacing w:after="0"/>
              <w:rPr>
                <w:sz w:val="17"/>
                <w:szCs w:val="17"/>
                <w:color w:val="auto"/>
              </w:rPr>
            </w:pPr>
          </w:p>
        </w:tc>
        <w:tc>
          <w:tcPr>
            <w:tcW w:w="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6,766</w:t>
            </w:r>
          </w:p>
        </w:tc>
      </w:tr>
      <w:tr>
        <w:trPr>
          <w:trHeight w:val="169"/>
        </w:trPr>
        <w:tc>
          <w:tcPr>
            <w:tcW w:w="7760" w:type="dxa"/>
            <w:vAlign w:val="bottom"/>
          </w:tcPr>
          <w:p>
            <w:pPr>
              <w:ind w:left="20"/>
              <w:spacing w:after="0"/>
              <w:rPr>
                <w:sz w:val="20"/>
                <w:szCs w:val="20"/>
                <w:color w:val="auto"/>
              </w:rPr>
            </w:pPr>
            <w:r>
              <w:rPr>
                <w:rFonts w:ascii="Arial" w:cs="Arial" w:eastAsia="Arial" w:hAnsi="Arial"/>
                <w:sz w:val="13"/>
                <w:szCs w:val="13"/>
                <w:color w:val="auto"/>
              </w:rPr>
              <w:t>Change in fair value:</w:t>
            </w:r>
          </w:p>
        </w:tc>
        <w:tc>
          <w:tcPr>
            <w:tcW w:w="880" w:type="dxa"/>
            <w:vAlign w:val="bottom"/>
            <w:tcBorders>
              <w:top w:val="single" w:sz="8" w:color="auto"/>
            </w:tcBorders>
          </w:tcPr>
          <w:p>
            <w:pPr>
              <w:spacing w:after="0"/>
              <w:rPr>
                <w:sz w:val="14"/>
                <w:szCs w:val="14"/>
                <w:color w:val="auto"/>
              </w:rPr>
            </w:pPr>
          </w:p>
        </w:tc>
        <w:tc>
          <w:tcPr>
            <w:tcW w:w="52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880" w:type="dxa"/>
            <w:vAlign w:val="bottom"/>
            <w:tcBorders>
              <w:top w:val="single" w:sz="8" w:color="auto"/>
            </w:tcBorders>
          </w:tcPr>
          <w:p>
            <w:pPr>
              <w:spacing w:after="0"/>
              <w:rPr>
                <w:sz w:val="14"/>
                <w:szCs w:val="14"/>
                <w:color w:val="auto"/>
              </w:rPr>
            </w:pPr>
          </w:p>
        </w:tc>
        <w:tc>
          <w:tcPr>
            <w:tcW w:w="500" w:type="dxa"/>
            <w:vAlign w:val="bottom"/>
            <w:tcBorders>
              <w:top w:val="single" w:sz="8" w:color="auto"/>
            </w:tcBorders>
          </w:tcPr>
          <w:p>
            <w:pPr>
              <w:spacing w:after="0"/>
              <w:rPr>
                <w:sz w:val="14"/>
                <w:szCs w:val="14"/>
                <w:color w:val="auto"/>
              </w:rPr>
            </w:pPr>
          </w:p>
        </w:tc>
      </w:tr>
      <w:tr>
        <w:trPr>
          <w:trHeight w:val="27"/>
        </w:trPr>
        <w:tc>
          <w:tcPr>
            <w:tcW w:w="7760" w:type="dxa"/>
            <w:vAlign w:val="bottom"/>
          </w:tcPr>
          <w:p>
            <w:pPr>
              <w:spacing w:after="0"/>
              <w:rPr>
                <w:sz w:val="2"/>
                <w:szCs w:val="2"/>
                <w:color w:val="auto"/>
              </w:rPr>
            </w:pPr>
          </w:p>
        </w:tc>
        <w:tc>
          <w:tcPr>
            <w:tcW w:w="880" w:type="dxa"/>
            <w:vAlign w:val="bottom"/>
          </w:tcPr>
          <w:p>
            <w:pPr>
              <w:spacing w:after="0"/>
              <w:rPr>
                <w:sz w:val="2"/>
                <w:szCs w:val="2"/>
                <w:color w:val="auto"/>
              </w:rPr>
            </w:pPr>
          </w:p>
        </w:tc>
        <w:tc>
          <w:tcPr>
            <w:tcW w:w="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880" w:type="dxa"/>
            <w:vAlign w:val="bottom"/>
          </w:tcPr>
          <w:p>
            <w:pPr>
              <w:spacing w:after="0"/>
              <w:rPr>
                <w:sz w:val="2"/>
                <w:szCs w:val="2"/>
                <w:color w:val="auto"/>
              </w:rPr>
            </w:pPr>
          </w:p>
        </w:tc>
        <w:tc>
          <w:tcPr>
            <w:tcW w:w="500" w:type="dxa"/>
            <w:vAlign w:val="bottom"/>
          </w:tcPr>
          <w:p>
            <w:pPr>
              <w:spacing w:after="0"/>
              <w:rPr>
                <w:sz w:val="2"/>
                <w:szCs w:val="2"/>
                <w:color w:val="auto"/>
              </w:rPr>
            </w:pPr>
          </w:p>
        </w:tc>
      </w:tr>
      <w:tr>
        <w:trPr>
          <w:trHeight w:val="185"/>
        </w:trPr>
        <w:tc>
          <w:tcPr>
            <w:tcW w:w="7760" w:type="dxa"/>
            <w:vAlign w:val="bottom"/>
            <w:tcBorders>
              <w:bottom w:val="single" w:sz="8" w:color="CCEEFF"/>
            </w:tcBorders>
            <w:shd w:val="clear" w:color="auto" w:fill="CCEEFF"/>
          </w:tcPr>
          <w:p>
            <w:pPr>
              <w:ind w:left="80"/>
              <w:spacing w:after="0"/>
              <w:rPr>
                <w:sz w:val="20"/>
                <w:szCs w:val="20"/>
                <w:color w:val="auto"/>
              </w:rPr>
            </w:pPr>
            <w:r>
              <w:rPr>
                <w:rFonts w:ascii="Arial" w:cs="Arial" w:eastAsia="Arial" w:hAnsi="Arial"/>
                <w:sz w:val="13"/>
                <w:szCs w:val="13"/>
                <w:color w:val="auto"/>
              </w:rPr>
              <w:t>1:3 basis swaps</w:t>
            </w:r>
          </w:p>
        </w:tc>
        <w:tc>
          <w:tcPr>
            <w:tcW w:w="880" w:type="dxa"/>
            <w:vAlign w:val="bottom"/>
            <w:tcBorders>
              <w:bottom w:val="single" w:sz="8" w:color="CCEEFF"/>
            </w:tcBorders>
            <w:shd w:val="clear" w:color="auto" w:fill="CCEEFF"/>
          </w:tcPr>
          <w:p>
            <w:pPr>
              <w:spacing w:after="0"/>
              <w:rPr>
                <w:sz w:val="16"/>
                <w:szCs w:val="16"/>
                <w:color w:val="auto"/>
              </w:rPr>
            </w:pPr>
          </w:p>
        </w:tc>
        <w:tc>
          <w:tcPr>
            <w:tcW w:w="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(2,212)</w:t>
            </w:r>
          </w:p>
        </w:tc>
        <w:tc>
          <w:tcPr>
            <w:tcW w:w="100" w:type="dxa"/>
            <w:vAlign w:val="bottom"/>
            <w:tcBorders>
              <w:bottom w:val="single" w:sz="8" w:color="CCEEFF"/>
            </w:tcBorders>
            <w:shd w:val="clear" w:color="auto" w:fill="CCEEFF"/>
          </w:tcPr>
          <w:p>
            <w:pPr>
              <w:spacing w:after="0"/>
              <w:rPr>
                <w:sz w:val="16"/>
                <w:szCs w:val="16"/>
                <w:color w:val="auto"/>
              </w:rPr>
            </w:pPr>
          </w:p>
        </w:tc>
        <w:tc>
          <w:tcPr>
            <w:tcW w:w="880" w:type="dxa"/>
            <w:vAlign w:val="bottom"/>
            <w:tcBorders>
              <w:bottom w:val="single" w:sz="8" w:color="CCEEFF"/>
            </w:tcBorders>
            <w:shd w:val="clear" w:color="auto" w:fill="CCEEFF"/>
          </w:tcPr>
          <w:p>
            <w:pPr>
              <w:spacing w:after="0"/>
              <w:rPr>
                <w:sz w:val="16"/>
                <w:szCs w:val="16"/>
                <w:color w:val="auto"/>
              </w:rPr>
            </w:pPr>
          </w:p>
        </w:tc>
        <w:tc>
          <w:tcPr>
            <w:tcW w:w="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13,297</w:t>
            </w:r>
          </w:p>
        </w:tc>
      </w:tr>
      <w:tr>
        <w:trPr>
          <w:trHeight w:val="178"/>
        </w:trPr>
        <w:tc>
          <w:tcPr>
            <w:tcW w:w="7760" w:type="dxa"/>
            <w:vAlign w:val="bottom"/>
          </w:tcPr>
          <w:p>
            <w:pPr>
              <w:ind w:left="80"/>
              <w:spacing w:after="0"/>
              <w:rPr>
                <w:sz w:val="20"/>
                <w:szCs w:val="20"/>
                <w:color w:val="auto"/>
              </w:rPr>
            </w:pPr>
            <w:r>
              <w:rPr>
                <w:rFonts w:ascii="Arial" w:cs="Arial" w:eastAsia="Arial" w:hAnsi="Arial"/>
                <w:sz w:val="13"/>
                <w:szCs w:val="13"/>
                <w:color w:val="auto"/>
              </w:rPr>
              <w:t>Interest rate swaps - floor income hedges</w:t>
            </w:r>
          </w:p>
        </w:tc>
        <w:tc>
          <w:tcPr>
            <w:tcW w:w="880" w:type="dxa"/>
            <w:vAlign w:val="bottom"/>
          </w:tcPr>
          <w:p>
            <w:pPr>
              <w:spacing w:after="0"/>
              <w:rPr>
                <w:sz w:val="15"/>
                <w:szCs w:val="15"/>
                <w:color w:val="auto"/>
              </w:rPr>
            </w:pPr>
          </w:p>
        </w:tc>
        <w:tc>
          <w:tcPr>
            <w:tcW w:w="520" w:type="dxa"/>
            <w:vAlign w:val="bottom"/>
          </w:tcPr>
          <w:p>
            <w:pPr>
              <w:jc w:val="right"/>
              <w:spacing w:after="0"/>
              <w:rPr>
                <w:sz w:val="20"/>
                <w:szCs w:val="20"/>
                <w:color w:val="auto"/>
              </w:rPr>
            </w:pPr>
            <w:r>
              <w:rPr>
                <w:rFonts w:ascii="Arial" w:cs="Arial" w:eastAsia="Arial" w:hAnsi="Arial"/>
                <w:sz w:val="13"/>
                <w:szCs w:val="13"/>
                <w:color w:val="auto"/>
                <w:w w:val="99"/>
              </w:rPr>
              <w:t>(26,712)</w:t>
            </w:r>
          </w:p>
        </w:tc>
        <w:tc>
          <w:tcPr>
            <w:tcW w:w="10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500" w:type="dxa"/>
            <w:vAlign w:val="bottom"/>
          </w:tcPr>
          <w:p>
            <w:pPr>
              <w:jc w:val="right"/>
              <w:spacing w:after="0"/>
              <w:rPr>
                <w:sz w:val="20"/>
                <w:szCs w:val="20"/>
                <w:color w:val="auto"/>
              </w:rPr>
            </w:pPr>
            <w:r>
              <w:rPr>
                <w:rFonts w:ascii="Arial" w:cs="Arial" w:eastAsia="Arial" w:hAnsi="Arial"/>
                <w:sz w:val="13"/>
                <w:szCs w:val="13"/>
                <w:color w:val="auto"/>
              </w:rPr>
              <w:t>44,201</w:t>
            </w:r>
          </w:p>
        </w:tc>
      </w:tr>
      <w:tr>
        <w:trPr>
          <w:trHeight w:val="27"/>
        </w:trPr>
        <w:tc>
          <w:tcPr>
            <w:tcW w:w="7760" w:type="dxa"/>
            <w:vAlign w:val="bottom"/>
          </w:tcPr>
          <w:p>
            <w:pPr>
              <w:spacing w:after="0"/>
              <w:rPr>
                <w:sz w:val="2"/>
                <w:szCs w:val="2"/>
                <w:color w:val="auto"/>
              </w:rPr>
            </w:pPr>
          </w:p>
        </w:tc>
        <w:tc>
          <w:tcPr>
            <w:tcW w:w="880" w:type="dxa"/>
            <w:vAlign w:val="bottom"/>
          </w:tcPr>
          <w:p>
            <w:pPr>
              <w:spacing w:after="0"/>
              <w:rPr>
                <w:sz w:val="2"/>
                <w:szCs w:val="2"/>
                <w:color w:val="auto"/>
              </w:rPr>
            </w:pPr>
          </w:p>
        </w:tc>
        <w:tc>
          <w:tcPr>
            <w:tcW w:w="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880" w:type="dxa"/>
            <w:vAlign w:val="bottom"/>
          </w:tcPr>
          <w:p>
            <w:pPr>
              <w:spacing w:after="0"/>
              <w:rPr>
                <w:sz w:val="2"/>
                <w:szCs w:val="2"/>
                <w:color w:val="auto"/>
              </w:rPr>
            </w:pPr>
          </w:p>
        </w:tc>
        <w:tc>
          <w:tcPr>
            <w:tcW w:w="500" w:type="dxa"/>
            <w:vAlign w:val="bottom"/>
          </w:tcPr>
          <w:p>
            <w:pPr>
              <w:spacing w:after="0"/>
              <w:rPr>
                <w:sz w:val="2"/>
                <w:szCs w:val="2"/>
                <w:color w:val="auto"/>
              </w:rPr>
            </w:pPr>
          </w:p>
        </w:tc>
      </w:tr>
      <w:tr>
        <w:trPr>
          <w:trHeight w:val="185"/>
        </w:trPr>
        <w:tc>
          <w:tcPr>
            <w:tcW w:w="7760" w:type="dxa"/>
            <w:vAlign w:val="bottom"/>
            <w:tcBorders>
              <w:bottom w:val="single" w:sz="8" w:color="CCEEFF"/>
            </w:tcBorders>
            <w:shd w:val="clear" w:color="auto" w:fill="CCEEFF"/>
          </w:tcPr>
          <w:p>
            <w:pPr>
              <w:ind w:left="80"/>
              <w:spacing w:after="0"/>
              <w:rPr>
                <w:sz w:val="20"/>
                <w:szCs w:val="20"/>
                <w:color w:val="auto"/>
              </w:rPr>
            </w:pPr>
            <w:r>
              <w:rPr>
                <w:rFonts w:ascii="Arial" w:cs="Arial" w:eastAsia="Arial" w:hAnsi="Arial"/>
                <w:sz w:val="13"/>
                <w:szCs w:val="13"/>
                <w:color w:val="auto"/>
              </w:rPr>
              <w:t>Interest rate swap options - floor income hedges</w:t>
            </w:r>
          </w:p>
        </w:tc>
        <w:tc>
          <w:tcPr>
            <w:tcW w:w="880" w:type="dxa"/>
            <w:vAlign w:val="bottom"/>
            <w:tcBorders>
              <w:bottom w:val="single" w:sz="8" w:color="CCEEFF"/>
            </w:tcBorders>
            <w:shd w:val="clear" w:color="auto" w:fill="CCEEFF"/>
          </w:tcPr>
          <w:p>
            <w:pPr>
              <w:spacing w:after="0"/>
              <w:rPr>
                <w:sz w:val="16"/>
                <w:szCs w:val="16"/>
                <w:color w:val="auto"/>
              </w:rPr>
            </w:pPr>
          </w:p>
        </w:tc>
        <w:tc>
          <w:tcPr>
            <w:tcW w:w="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(1,376)</w:t>
            </w:r>
          </w:p>
        </w:tc>
        <w:tc>
          <w:tcPr>
            <w:tcW w:w="100" w:type="dxa"/>
            <w:vAlign w:val="bottom"/>
            <w:tcBorders>
              <w:bottom w:val="single" w:sz="8" w:color="CCEEFF"/>
            </w:tcBorders>
            <w:shd w:val="clear" w:color="auto" w:fill="CCEEFF"/>
          </w:tcPr>
          <w:p>
            <w:pPr>
              <w:spacing w:after="0"/>
              <w:rPr>
                <w:sz w:val="16"/>
                <w:szCs w:val="16"/>
                <w:color w:val="auto"/>
              </w:rPr>
            </w:pPr>
          </w:p>
        </w:tc>
        <w:tc>
          <w:tcPr>
            <w:tcW w:w="880" w:type="dxa"/>
            <w:vAlign w:val="bottom"/>
            <w:tcBorders>
              <w:bottom w:val="single" w:sz="8" w:color="CCEEFF"/>
            </w:tcBorders>
            <w:shd w:val="clear" w:color="auto" w:fill="CCEEFF"/>
          </w:tcPr>
          <w:p>
            <w:pPr>
              <w:spacing w:after="0"/>
              <w:rPr>
                <w:sz w:val="16"/>
                <w:szCs w:val="16"/>
                <w:color w:val="auto"/>
              </w:rPr>
            </w:pPr>
          </w:p>
        </w:tc>
        <w:tc>
          <w:tcPr>
            <w:tcW w:w="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747</w:t>
            </w:r>
          </w:p>
        </w:tc>
      </w:tr>
      <w:tr>
        <w:trPr>
          <w:trHeight w:val="178"/>
        </w:trPr>
        <w:tc>
          <w:tcPr>
            <w:tcW w:w="7760" w:type="dxa"/>
            <w:vAlign w:val="bottom"/>
          </w:tcPr>
          <w:p>
            <w:pPr>
              <w:ind w:left="80"/>
              <w:spacing w:after="0"/>
              <w:rPr>
                <w:sz w:val="20"/>
                <w:szCs w:val="20"/>
                <w:color w:val="auto"/>
              </w:rPr>
            </w:pPr>
            <w:r>
              <w:rPr>
                <w:rFonts w:ascii="Arial" w:cs="Arial" w:eastAsia="Arial" w:hAnsi="Arial"/>
                <w:sz w:val="13"/>
                <w:szCs w:val="13"/>
                <w:color w:val="auto"/>
              </w:rPr>
              <w:t>Interest rate caps</w:t>
            </w:r>
          </w:p>
        </w:tc>
        <w:tc>
          <w:tcPr>
            <w:tcW w:w="880" w:type="dxa"/>
            <w:vAlign w:val="bottom"/>
          </w:tcPr>
          <w:p>
            <w:pPr>
              <w:spacing w:after="0"/>
              <w:rPr>
                <w:sz w:val="15"/>
                <w:szCs w:val="15"/>
                <w:color w:val="auto"/>
              </w:rPr>
            </w:pPr>
          </w:p>
        </w:tc>
        <w:tc>
          <w:tcPr>
            <w:tcW w:w="520" w:type="dxa"/>
            <w:vAlign w:val="bottom"/>
          </w:tcPr>
          <w:p>
            <w:pPr>
              <w:jc w:val="right"/>
              <w:spacing w:after="0"/>
              <w:rPr>
                <w:sz w:val="20"/>
                <w:szCs w:val="20"/>
                <w:color w:val="auto"/>
              </w:rPr>
            </w:pPr>
            <w:r>
              <w:rPr>
                <w:rFonts w:ascii="Arial" w:cs="Arial" w:eastAsia="Arial" w:hAnsi="Arial"/>
                <w:sz w:val="13"/>
                <w:szCs w:val="13"/>
                <w:color w:val="auto"/>
              </w:rPr>
              <w:t>(274)</w:t>
            </w:r>
          </w:p>
        </w:tc>
        <w:tc>
          <w:tcPr>
            <w:tcW w:w="10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500" w:type="dxa"/>
            <w:vAlign w:val="bottom"/>
          </w:tcPr>
          <w:p>
            <w:pPr>
              <w:jc w:val="right"/>
              <w:spacing w:after="0"/>
              <w:rPr>
                <w:sz w:val="20"/>
                <w:szCs w:val="20"/>
                <w:color w:val="auto"/>
              </w:rPr>
            </w:pPr>
            <w:r>
              <w:rPr>
                <w:rFonts w:ascii="Arial" w:cs="Arial" w:eastAsia="Arial" w:hAnsi="Arial"/>
                <w:sz w:val="13"/>
                <w:szCs w:val="13"/>
                <w:color w:val="auto"/>
              </w:rPr>
              <w:t>326</w:t>
            </w:r>
          </w:p>
        </w:tc>
      </w:tr>
      <w:tr>
        <w:trPr>
          <w:trHeight w:val="27"/>
        </w:trPr>
        <w:tc>
          <w:tcPr>
            <w:tcW w:w="7760" w:type="dxa"/>
            <w:vAlign w:val="bottom"/>
          </w:tcPr>
          <w:p>
            <w:pPr>
              <w:spacing w:after="0"/>
              <w:rPr>
                <w:sz w:val="2"/>
                <w:szCs w:val="2"/>
                <w:color w:val="auto"/>
              </w:rPr>
            </w:pPr>
          </w:p>
        </w:tc>
        <w:tc>
          <w:tcPr>
            <w:tcW w:w="880" w:type="dxa"/>
            <w:vAlign w:val="bottom"/>
          </w:tcPr>
          <w:p>
            <w:pPr>
              <w:spacing w:after="0"/>
              <w:rPr>
                <w:sz w:val="2"/>
                <w:szCs w:val="2"/>
                <w:color w:val="auto"/>
              </w:rPr>
            </w:pPr>
          </w:p>
        </w:tc>
        <w:tc>
          <w:tcPr>
            <w:tcW w:w="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880" w:type="dxa"/>
            <w:vAlign w:val="bottom"/>
          </w:tcPr>
          <w:p>
            <w:pPr>
              <w:spacing w:after="0"/>
              <w:rPr>
                <w:sz w:val="2"/>
                <w:szCs w:val="2"/>
                <w:color w:val="auto"/>
              </w:rPr>
            </w:pPr>
          </w:p>
        </w:tc>
        <w:tc>
          <w:tcPr>
            <w:tcW w:w="500" w:type="dxa"/>
            <w:vAlign w:val="bottom"/>
          </w:tcPr>
          <w:p>
            <w:pPr>
              <w:spacing w:after="0"/>
              <w:rPr>
                <w:sz w:val="2"/>
                <w:szCs w:val="2"/>
                <w:color w:val="auto"/>
              </w:rPr>
            </w:pPr>
          </w:p>
        </w:tc>
      </w:tr>
      <w:tr>
        <w:trPr>
          <w:trHeight w:val="205"/>
        </w:trPr>
        <w:tc>
          <w:tcPr>
            <w:tcW w:w="7760" w:type="dxa"/>
            <w:vAlign w:val="bottom"/>
            <w:tcBorders>
              <w:bottom w:val="single" w:sz="8" w:color="CCEEFF"/>
            </w:tcBorders>
            <w:shd w:val="clear" w:color="auto" w:fill="CCEEFF"/>
          </w:tcPr>
          <w:p>
            <w:pPr>
              <w:ind w:left="80"/>
              <w:spacing w:after="0"/>
              <w:rPr>
                <w:sz w:val="20"/>
                <w:szCs w:val="20"/>
                <w:color w:val="auto"/>
              </w:rPr>
            </w:pPr>
            <w:r>
              <w:rPr>
                <w:rFonts w:ascii="Arial" w:cs="Arial" w:eastAsia="Arial" w:hAnsi="Arial"/>
                <w:sz w:val="13"/>
                <w:szCs w:val="13"/>
                <w:color w:val="auto"/>
              </w:rPr>
              <w:t>Interest rate swaps - hybrid debt hedges</w:t>
            </w:r>
          </w:p>
        </w:tc>
        <w:tc>
          <w:tcPr>
            <w:tcW w:w="880" w:type="dxa"/>
            <w:vAlign w:val="bottom"/>
            <w:tcBorders>
              <w:bottom w:val="single" w:sz="8" w:color="CCEEFF"/>
            </w:tcBorders>
            <w:shd w:val="clear" w:color="auto" w:fill="CCEEFF"/>
          </w:tcPr>
          <w:p>
            <w:pPr>
              <w:spacing w:after="0"/>
              <w:rPr>
                <w:sz w:val="17"/>
                <w:szCs w:val="17"/>
                <w:color w:val="auto"/>
              </w:rPr>
            </w:pPr>
          </w:p>
        </w:tc>
        <w:tc>
          <w:tcPr>
            <w:tcW w:w="1500" w:type="dxa"/>
            <w:vAlign w:val="bottom"/>
            <w:tcBorders>
              <w:bottom w:val="single" w:sz="8" w:color="CCEEFF"/>
            </w:tcBorders>
            <w:gridSpan w:val="3"/>
            <w:shd w:val="clear" w:color="auto" w:fill="CCEEFF"/>
          </w:tcPr>
          <w:p>
            <w:pPr>
              <w:jc w:val="right"/>
              <w:ind w:right="1020"/>
              <w:spacing w:after="0"/>
              <w:rPr>
                <w:sz w:val="20"/>
                <w:szCs w:val="20"/>
                <w:color w:val="auto"/>
              </w:rPr>
            </w:pPr>
            <w:r>
              <w:rPr>
                <w:rFonts w:ascii="Arial" w:cs="Arial" w:eastAsia="Arial" w:hAnsi="Arial"/>
                <w:sz w:val="13"/>
                <w:szCs w:val="13"/>
                <w:color w:val="auto"/>
              </w:rPr>
              <w:t>—</w:t>
            </w:r>
          </w:p>
        </w:tc>
        <w:tc>
          <w:tcPr>
            <w:tcW w:w="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1,462</w:t>
            </w:r>
          </w:p>
        </w:tc>
      </w:tr>
      <w:tr>
        <w:trPr>
          <w:trHeight w:val="193"/>
        </w:trPr>
        <w:tc>
          <w:tcPr>
            <w:tcW w:w="7760" w:type="dxa"/>
            <w:vAlign w:val="bottom"/>
            <w:tcBorders>
              <w:bottom w:val="single" w:sz="8" w:color="CCEEFF"/>
            </w:tcBorders>
          </w:tcPr>
          <w:p>
            <w:pPr>
              <w:ind w:left="280"/>
              <w:spacing w:after="0"/>
              <w:rPr>
                <w:sz w:val="20"/>
                <w:szCs w:val="20"/>
                <w:color w:val="auto"/>
              </w:rPr>
            </w:pPr>
            <w:r>
              <w:rPr>
                <w:rFonts w:ascii="Arial" w:cs="Arial" w:eastAsia="Arial" w:hAnsi="Arial"/>
                <w:sz w:val="13"/>
                <w:szCs w:val="13"/>
                <w:color w:val="auto"/>
              </w:rPr>
              <w:t>Total change in fair value - (expense) income</w:t>
            </w:r>
          </w:p>
        </w:tc>
        <w:tc>
          <w:tcPr>
            <w:tcW w:w="880" w:type="dxa"/>
            <w:vAlign w:val="bottom"/>
            <w:tcBorders>
              <w:top w:val="single" w:sz="8" w:color="auto"/>
              <w:bottom w:val="single" w:sz="8" w:color="auto"/>
            </w:tcBorders>
          </w:tcPr>
          <w:p>
            <w:pPr>
              <w:spacing w:after="0"/>
              <w:rPr>
                <w:sz w:val="16"/>
                <w:szCs w:val="16"/>
                <w:color w:val="auto"/>
              </w:rPr>
            </w:pP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99"/>
              </w:rPr>
              <w:t>(30,574)</w:t>
            </w:r>
          </w:p>
        </w:tc>
        <w:tc>
          <w:tcPr>
            <w:tcW w:w="100" w:type="dxa"/>
            <w:vAlign w:val="bottom"/>
            <w:tcBorders>
              <w:bottom w:val="single" w:sz="8" w:color="CCEEFF"/>
            </w:tcBorders>
          </w:tcPr>
          <w:p>
            <w:pPr>
              <w:spacing w:after="0"/>
              <w:rPr>
                <w:sz w:val="16"/>
                <w:szCs w:val="16"/>
                <w:color w:val="auto"/>
              </w:rPr>
            </w:pPr>
          </w:p>
        </w:tc>
        <w:tc>
          <w:tcPr>
            <w:tcW w:w="880" w:type="dxa"/>
            <w:vAlign w:val="bottom"/>
            <w:tcBorders>
              <w:top w:val="single" w:sz="8" w:color="auto"/>
              <w:bottom w:val="single" w:sz="8" w:color="auto"/>
            </w:tcBorders>
          </w:tcPr>
          <w:p>
            <w:pPr>
              <w:spacing w:after="0"/>
              <w:rPr>
                <w:sz w:val="16"/>
                <w:szCs w:val="16"/>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60,033</w:t>
            </w:r>
          </w:p>
        </w:tc>
      </w:tr>
      <w:tr>
        <w:trPr>
          <w:trHeight w:val="223"/>
        </w:trPr>
        <w:tc>
          <w:tcPr>
            <w:tcW w:w="7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Derivative market value adjustments and derivative settlements, net - (expense) income</w:t>
            </w:r>
          </w:p>
        </w:tc>
        <w:tc>
          <w:tcPr>
            <w:tcW w:w="880" w:type="dxa"/>
            <w:vAlign w:val="bottom"/>
            <w:tcBorders>
              <w:bottom w:val="single" w:sz="8" w:color="CCEEFF"/>
            </w:tcBorders>
            <w:shd w:val="clear" w:color="auto" w:fill="CCEEFF"/>
          </w:tcPr>
          <w:p>
            <w:pPr>
              <w:jc w:val="right"/>
              <w:ind w:right="735"/>
              <w:spacing w:after="0"/>
              <w:rPr>
                <w:sz w:val="20"/>
                <w:szCs w:val="20"/>
                <w:color w:val="auto"/>
              </w:rPr>
            </w:pPr>
            <w:r>
              <w:rPr>
                <w:rFonts w:ascii="Arial" w:cs="Arial" w:eastAsia="Arial" w:hAnsi="Arial"/>
                <w:sz w:val="13"/>
                <w:szCs w:val="13"/>
                <w:color w:val="auto"/>
                <w:w w:val="82"/>
              </w:rPr>
              <w:t>$</w:t>
            </w:r>
          </w:p>
        </w:tc>
        <w:tc>
          <w:tcPr>
            <w:tcW w:w="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w w:val="99"/>
              </w:rPr>
              <w:t>(11,539)</w:t>
            </w:r>
          </w:p>
        </w:tc>
        <w:tc>
          <w:tcPr>
            <w:tcW w:w="100" w:type="dxa"/>
            <w:vAlign w:val="bottom"/>
            <w:tcBorders>
              <w:bottom w:val="single" w:sz="8" w:color="CCEEFF"/>
            </w:tcBorders>
            <w:shd w:val="clear" w:color="auto" w:fill="CCEEFF"/>
          </w:tcPr>
          <w:p>
            <w:pPr>
              <w:spacing w:after="0"/>
              <w:rPr>
                <w:sz w:val="18"/>
                <w:szCs w:val="18"/>
                <w:color w:val="auto"/>
              </w:rPr>
            </w:pPr>
          </w:p>
        </w:tc>
        <w:tc>
          <w:tcPr>
            <w:tcW w:w="880" w:type="dxa"/>
            <w:vAlign w:val="bottom"/>
            <w:tcBorders>
              <w:bottom w:val="single" w:sz="8" w:color="CCEEFF"/>
            </w:tcBorders>
            <w:shd w:val="clear" w:color="auto" w:fill="CCEEFF"/>
          </w:tcPr>
          <w:p>
            <w:pPr>
              <w:spacing w:after="0"/>
              <w:rPr>
                <w:sz w:val="18"/>
                <w:szCs w:val="18"/>
                <w:color w:val="auto"/>
              </w:rPr>
            </w:pPr>
          </w:p>
        </w:tc>
        <w:tc>
          <w:tcPr>
            <w:tcW w:w="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66,799</w:t>
            </w:r>
          </w:p>
        </w:tc>
      </w:tr>
      <w:tr>
        <w:trPr>
          <w:trHeight w:val="20"/>
        </w:trPr>
        <w:tc>
          <w:tcPr>
            <w:tcW w:w="7760" w:type="dxa"/>
            <w:vAlign w:val="bottom"/>
            <w:tcBorders>
              <w:top w:val="single" w:sz="8" w:color="CCEEFF"/>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16</w:t>
      </w:r>
    </w:p>
    <w:p>
      <w:pPr>
        <w:sectPr>
          <w:pgSz w:w="11900" w:h="16838" w:orient="portrait"/>
          <w:cols w:equalWidth="0" w:num="1">
            <w:col w:w="11460"/>
          </w:cols>
          <w:pgMar w:left="220" w:top="1260" w:right="219" w:bottom="1440" w:gutter="0" w:footer="0" w:header="0"/>
        </w:sectPr>
      </w:pPr>
    </w:p>
    <w:bookmarkStart w:id="17" w:name="page18"/>
    <w:bookmarkEnd w:id="17"/>
    <w:p>
      <w:pPr>
        <w:spacing w:after="0"/>
        <w:rPr>
          <w:sz w:val="20"/>
          <w:szCs w:val="20"/>
          <w:color w:val="auto"/>
        </w:rPr>
      </w:pPr>
      <w:r>
        <w:rPr>
          <w:rFonts w:ascii="Arial" w:cs="Arial" w:eastAsia="Arial" w:hAnsi="Arial"/>
          <w:sz w:val="14"/>
          <w:szCs w:val="14"/>
          <w:b w:val="1"/>
          <w:bCs w:val="1"/>
          <w:color w:val="auto"/>
        </w:rPr>
        <w:t>5. Investments and Notes Receivable</w:t>
      </w:r>
    </w:p>
    <w:p>
      <w:pPr>
        <w:spacing w:after="0" w:line="145" w:lineRule="exact"/>
        <w:rPr>
          <w:sz w:val="20"/>
          <w:szCs w:val="20"/>
          <w:color w:val="auto"/>
        </w:rPr>
      </w:pPr>
    </w:p>
    <w:p>
      <w:pPr>
        <w:spacing w:after="0"/>
        <w:rPr>
          <w:sz w:val="20"/>
          <w:szCs w:val="20"/>
          <w:color w:val="auto"/>
        </w:rPr>
      </w:pPr>
      <w:r>
        <w:rPr>
          <w:rFonts w:ascii="Arial" w:cs="Arial" w:eastAsia="Arial" w:hAnsi="Arial"/>
          <w:sz w:val="14"/>
          <w:szCs w:val="14"/>
          <w:color w:val="auto"/>
        </w:rPr>
        <w:t>A summary of the Company's investments and notes receivable follows:</w:t>
      </w:r>
    </w:p>
    <w:p>
      <w:pPr>
        <w:spacing w:after="0" w:line="98" w:lineRule="exact"/>
        <w:rPr>
          <w:sz w:val="20"/>
          <w:szCs w:val="20"/>
          <w:color w:val="auto"/>
        </w:rPr>
      </w:pPr>
    </w:p>
    <w:tbl>
      <w:tblPr>
        <w:tblLayout w:type="fixed"/>
        <w:tblInd w:w="40" w:type="dxa"/>
        <w:tblCellMar>
          <w:top w:w="0" w:type="dxa"/>
          <w:left w:w="0" w:type="dxa"/>
          <w:bottom w:w="0" w:type="dxa"/>
          <w:right w:w="0" w:type="dxa"/>
        </w:tblCellMar>
      </w:tblPr>
      <w:tr>
        <w:trPr>
          <w:trHeight w:val="167"/>
        </w:trPr>
        <w:tc>
          <w:tcPr>
            <w:tcW w:w="27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180" w:type="dxa"/>
            <w:vAlign w:val="bottom"/>
            <w:gridSpan w:val="4"/>
          </w:tcPr>
          <w:p>
            <w:pPr>
              <w:ind w:left="380"/>
              <w:spacing w:after="0"/>
              <w:rPr>
                <w:sz w:val="20"/>
                <w:szCs w:val="20"/>
                <w:color w:val="auto"/>
              </w:rPr>
            </w:pPr>
            <w:r>
              <w:rPr>
                <w:rFonts w:ascii="Arial" w:cs="Arial" w:eastAsia="Arial" w:hAnsi="Arial"/>
                <w:sz w:val="13"/>
                <w:szCs w:val="13"/>
                <w:b w:val="1"/>
                <w:bCs w:val="1"/>
                <w:color w:val="auto"/>
              </w:rPr>
              <w:t>As of March 31, 2019</w:t>
            </w:r>
          </w:p>
        </w:tc>
        <w:tc>
          <w:tcPr>
            <w:tcW w:w="9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180" w:type="dxa"/>
            <w:vAlign w:val="bottom"/>
            <w:gridSpan w:val="4"/>
          </w:tcPr>
          <w:p>
            <w:pPr>
              <w:ind w:left="300"/>
              <w:spacing w:after="0"/>
              <w:rPr>
                <w:sz w:val="20"/>
                <w:szCs w:val="20"/>
                <w:color w:val="auto"/>
              </w:rPr>
            </w:pPr>
            <w:r>
              <w:rPr>
                <w:rFonts w:ascii="Arial" w:cs="Arial" w:eastAsia="Arial" w:hAnsi="Arial"/>
                <w:sz w:val="13"/>
                <w:szCs w:val="13"/>
                <w:b w:val="1"/>
                <w:bCs w:val="1"/>
                <w:color w:val="auto"/>
              </w:rPr>
              <w:t>As of December 31, 2018</w:t>
            </w:r>
          </w:p>
        </w:tc>
        <w:tc>
          <w:tcPr>
            <w:tcW w:w="9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7"/>
        </w:trPr>
        <w:tc>
          <w:tcPr>
            <w:tcW w:w="27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gridSpan w:val="2"/>
          </w:tcPr>
          <w:p>
            <w:pPr>
              <w:spacing w:after="0"/>
              <w:rPr>
                <w:sz w:val="2"/>
                <w:szCs w:val="2"/>
                <w:color w:val="auto"/>
              </w:rPr>
            </w:pPr>
          </w:p>
        </w:tc>
        <w:tc>
          <w:tcPr>
            <w:tcW w:w="1100" w:type="dxa"/>
            <w:vAlign w:val="bottom"/>
            <w:tcBorders>
              <w:bottom w:val="single" w:sz="8" w:color="auto"/>
            </w:tcBorders>
            <w:gridSpan w:val="2"/>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gridSpan w:val="2"/>
          </w:tcPr>
          <w:p>
            <w:pPr>
              <w:spacing w:after="0"/>
              <w:rPr>
                <w:sz w:val="2"/>
                <w:szCs w:val="2"/>
                <w:color w:val="auto"/>
              </w:rPr>
            </w:pPr>
          </w:p>
        </w:tc>
        <w:tc>
          <w:tcPr>
            <w:tcW w:w="1100" w:type="dxa"/>
            <w:vAlign w:val="bottom"/>
            <w:tcBorders>
              <w:bottom w:val="single" w:sz="8" w:color="auto"/>
            </w:tcBorders>
            <w:gridSpan w:val="2"/>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27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08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89"/>
              </w:rPr>
              <w:t>Gross unrealized</w:t>
            </w:r>
          </w:p>
        </w:tc>
        <w:tc>
          <w:tcPr>
            <w:tcW w:w="110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87"/>
              </w:rPr>
              <w:t>Gross unrealized</w:t>
            </w:r>
          </w:p>
        </w:tc>
        <w:tc>
          <w:tcPr>
            <w:tcW w:w="9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8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89"/>
              </w:rPr>
              <w:t>Gross unrealized</w:t>
            </w:r>
          </w:p>
        </w:tc>
        <w:tc>
          <w:tcPr>
            <w:tcW w:w="1100" w:type="dxa"/>
            <w:vAlign w:val="bottom"/>
            <w:gridSpan w:val="2"/>
          </w:tcPr>
          <w:p>
            <w:pPr>
              <w:jc w:val="center"/>
              <w:ind w:right="80"/>
              <w:spacing w:after="0"/>
              <w:rPr>
                <w:sz w:val="20"/>
                <w:szCs w:val="20"/>
                <w:color w:val="auto"/>
              </w:rPr>
            </w:pPr>
            <w:r>
              <w:rPr>
                <w:rFonts w:ascii="Arial" w:cs="Arial" w:eastAsia="Arial" w:hAnsi="Arial"/>
                <w:sz w:val="13"/>
                <w:szCs w:val="13"/>
                <w:b w:val="1"/>
                <w:bCs w:val="1"/>
                <w:color w:val="auto"/>
                <w:w w:val="89"/>
              </w:rPr>
              <w:t>Gross unrealized</w:t>
            </w:r>
          </w:p>
        </w:tc>
        <w:tc>
          <w:tcPr>
            <w:tcW w:w="9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67"/>
        </w:trPr>
        <w:tc>
          <w:tcPr>
            <w:tcW w:w="27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40" w:type="dxa"/>
            <w:vAlign w:val="bottom"/>
            <w:gridSpan w:val="2"/>
          </w:tcPr>
          <w:p>
            <w:pPr>
              <w:ind w:left="20"/>
              <w:spacing w:after="0"/>
              <w:rPr>
                <w:sz w:val="20"/>
                <w:szCs w:val="20"/>
                <w:color w:val="auto"/>
              </w:rPr>
            </w:pPr>
            <w:r>
              <w:rPr>
                <w:rFonts w:ascii="Arial" w:cs="Arial" w:eastAsia="Arial" w:hAnsi="Arial"/>
                <w:sz w:val="13"/>
                <w:szCs w:val="13"/>
                <w:b w:val="1"/>
                <w:bCs w:val="1"/>
                <w:color w:val="auto"/>
              </w:rPr>
              <w:t>Amortized cost</w:t>
            </w:r>
          </w:p>
        </w:tc>
        <w:tc>
          <w:tcPr>
            <w:tcW w:w="1080" w:type="dxa"/>
            <w:vAlign w:val="bottom"/>
            <w:gridSpan w:val="2"/>
          </w:tcPr>
          <w:p>
            <w:pPr>
              <w:jc w:val="center"/>
              <w:ind w:right="80"/>
              <w:spacing w:after="0"/>
              <w:rPr>
                <w:sz w:val="20"/>
                <w:szCs w:val="20"/>
                <w:color w:val="auto"/>
              </w:rPr>
            </w:pPr>
            <w:r>
              <w:rPr>
                <w:rFonts w:ascii="Arial" w:cs="Arial" w:eastAsia="Arial" w:hAnsi="Arial"/>
                <w:sz w:val="13"/>
                <w:szCs w:val="13"/>
                <w:b w:val="1"/>
                <w:bCs w:val="1"/>
                <w:color w:val="auto"/>
                <w:w w:val="82"/>
              </w:rPr>
              <w:t>gains</w:t>
            </w:r>
          </w:p>
        </w:tc>
        <w:tc>
          <w:tcPr>
            <w:tcW w:w="110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78"/>
              </w:rPr>
              <w:t>losses</w:t>
            </w:r>
          </w:p>
        </w:tc>
        <w:tc>
          <w:tcPr>
            <w:tcW w:w="900" w:type="dxa"/>
            <w:vAlign w:val="bottom"/>
          </w:tcPr>
          <w:p>
            <w:pPr>
              <w:jc w:val="right"/>
              <w:ind w:right="115"/>
              <w:spacing w:after="0"/>
              <w:rPr>
                <w:sz w:val="20"/>
                <w:szCs w:val="20"/>
                <w:color w:val="auto"/>
              </w:rPr>
            </w:pPr>
            <w:r>
              <w:rPr>
                <w:rFonts w:ascii="Arial" w:cs="Arial" w:eastAsia="Arial" w:hAnsi="Arial"/>
                <w:sz w:val="13"/>
                <w:szCs w:val="13"/>
                <w:b w:val="1"/>
                <w:bCs w:val="1"/>
                <w:color w:val="auto"/>
              </w:rPr>
              <w:t>Fair value</w:t>
            </w:r>
          </w:p>
        </w:tc>
        <w:tc>
          <w:tcPr>
            <w:tcW w:w="200" w:type="dxa"/>
            <w:vAlign w:val="bottom"/>
          </w:tcPr>
          <w:p>
            <w:pPr>
              <w:spacing w:after="0"/>
              <w:rPr>
                <w:sz w:val="14"/>
                <w:szCs w:val="14"/>
                <w:color w:val="auto"/>
              </w:rPr>
            </w:pPr>
          </w:p>
        </w:tc>
        <w:tc>
          <w:tcPr>
            <w:tcW w:w="1120" w:type="dxa"/>
            <w:vAlign w:val="bottom"/>
            <w:gridSpan w:val="2"/>
          </w:tcPr>
          <w:p>
            <w:pPr>
              <w:ind w:left="80"/>
              <w:spacing w:after="0"/>
              <w:rPr>
                <w:sz w:val="20"/>
                <w:szCs w:val="20"/>
                <w:color w:val="auto"/>
              </w:rPr>
            </w:pPr>
            <w:r>
              <w:rPr>
                <w:rFonts w:ascii="Arial" w:cs="Arial" w:eastAsia="Arial" w:hAnsi="Arial"/>
                <w:sz w:val="13"/>
                <w:szCs w:val="13"/>
                <w:b w:val="1"/>
                <w:bCs w:val="1"/>
                <w:color w:val="auto"/>
              </w:rPr>
              <w:t>Amortized cost</w:t>
            </w:r>
          </w:p>
        </w:tc>
        <w:tc>
          <w:tcPr>
            <w:tcW w:w="108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88"/>
              </w:rPr>
              <w:t>gains</w:t>
            </w:r>
          </w:p>
        </w:tc>
        <w:tc>
          <w:tcPr>
            <w:tcW w:w="1100" w:type="dxa"/>
            <w:vAlign w:val="bottom"/>
            <w:gridSpan w:val="2"/>
          </w:tcPr>
          <w:p>
            <w:pPr>
              <w:jc w:val="center"/>
              <w:ind w:right="80"/>
              <w:spacing w:after="0"/>
              <w:rPr>
                <w:sz w:val="20"/>
                <w:szCs w:val="20"/>
                <w:color w:val="auto"/>
              </w:rPr>
            </w:pPr>
            <w:r>
              <w:rPr>
                <w:rFonts w:ascii="Arial" w:cs="Arial" w:eastAsia="Arial" w:hAnsi="Arial"/>
                <w:sz w:val="13"/>
                <w:szCs w:val="13"/>
                <w:b w:val="1"/>
                <w:bCs w:val="1"/>
                <w:color w:val="auto"/>
                <w:w w:val="74"/>
              </w:rPr>
              <w:t>losses</w:t>
            </w:r>
          </w:p>
        </w:tc>
        <w:tc>
          <w:tcPr>
            <w:tcW w:w="920" w:type="dxa"/>
            <w:vAlign w:val="bottom"/>
          </w:tcPr>
          <w:p>
            <w:pPr>
              <w:jc w:val="right"/>
              <w:ind w:right="115"/>
              <w:spacing w:after="0"/>
              <w:rPr>
                <w:sz w:val="20"/>
                <w:szCs w:val="20"/>
                <w:color w:val="auto"/>
              </w:rPr>
            </w:pPr>
            <w:r>
              <w:rPr>
                <w:rFonts w:ascii="Arial" w:cs="Arial" w:eastAsia="Arial" w:hAnsi="Arial"/>
                <w:sz w:val="13"/>
                <w:szCs w:val="13"/>
                <w:b w:val="1"/>
                <w:bCs w:val="1"/>
                <w:color w:val="auto"/>
              </w:rPr>
              <w:t>Fair value</w:t>
            </w:r>
          </w:p>
        </w:tc>
        <w:tc>
          <w:tcPr>
            <w:tcW w:w="0" w:type="dxa"/>
            <w:vAlign w:val="bottom"/>
          </w:tcPr>
          <w:p>
            <w:pPr>
              <w:spacing w:after="0"/>
              <w:rPr>
                <w:sz w:val="1"/>
                <w:szCs w:val="1"/>
                <w:color w:val="auto"/>
              </w:rPr>
            </w:pPr>
          </w:p>
        </w:tc>
      </w:tr>
      <w:tr>
        <w:trPr>
          <w:trHeight w:val="27"/>
        </w:trPr>
        <w:tc>
          <w:tcPr>
            <w:tcW w:w="2760" w:type="dxa"/>
            <w:vAlign w:val="bottom"/>
            <w:tcBorders>
              <w:bottom w:val="single" w:sz="8" w:color="CCEEFF"/>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65"/>
        </w:trPr>
        <w:tc>
          <w:tcPr>
            <w:tcW w:w="2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b w:val="1"/>
                <w:bCs w:val="1"/>
                <w:color w:val="auto"/>
              </w:rPr>
              <w:t>Investments (at fair value):</w:t>
            </w:r>
          </w:p>
        </w:tc>
        <w:tc>
          <w:tcPr>
            <w:tcW w:w="80" w:type="dxa"/>
            <w:vAlign w:val="bottom"/>
            <w:tcBorders>
              <w:bottom w:val="single" w:sz="8" w:color="CCEEFF"/>
            </w:tcBorders>
            <w:shd w:val="clear" w:color="auto" w:fill="CCEEFF"/>
          </w:tcPr>
          <w:p>
            <w:pPr>
              <w:spacing w:after="0"/>
              <w:rPr>
                <w:sz w:val="14"/>
                <w:szCs w:val="14"/>
                <w:color w:val="auto"/>
              </w:rPr>
            </w:pPr>
          </w:p>
        </w:tc>
        <w:tc>
          <w:tcPr>
            <w:tcW w:w="960" w:type="dxa"/>
            <w:vAlign w:val="bottom"/>
            <w:tcBorders>
              <w:bottom w:val="single" w:sz="8" w:color="CCEEFF"/>
            </w:tcBorders>
            <w:shd w:val="clear" w:color="auto" w:fill="CCEEFF"/>
          </w:tcPr>
          <w:p>
            <w:pPr>
              <w:spacing w:after="0"/>
              <w:rPr>
                <w:sz w:val="14"/>
                <w:szCs w:val="14"/>
                <w:color w:val="auto"/>
              </w:rPr>
            </w:pPr>
          </w:p>
        </w:tc>
        <w:tc>
          <w:tcPr>
            <w:tcW w:w="80" w:type="dxa"/>
            <w:vAlign w:val="bottom"/>
            <w:tcBorders>
              <w:bottom w:val="single" w:sz="8" w:color="CCEEFF"/>
            </w:tcBorders>
            <w:shd w:val="clear" w:color="auto" w:fill="CCEEFF"/>
          </w:tcPr>
          <w:p>
            <w:pPr>
              <w:spacing w:after="0"/>
              <w:rPr>
                <w:sz w:val="14"/>
                <w:szCs w:val="14"/>
                <w:color w:val="auto"/>
              </w:rPr>
            </w:pPr>
          </w:p>
        </w:tc>
        <w:tc>
          <w:tcPr>
            <w:tcW w:w="1000" w:type="dxa"/>
            <w:vAlign w:val="bottom"/>
            <w:tcBorders>
              <w:bottom w:val="single" w:sz="8" w:color="CCEEFF"/>
            </w:tcBorders>
            <w:shd w:val="clear" w:color="auto" w:fill="CCEEFF"/>
          </w:tcPr>
          <w:p>
            <w:pPr>
              <w:spacing w:after="0"/>
              <w:rPr>
                <w:sz w:val="14"/>
                <w:szCs w:val="14"/>
                <w:color w:val="auto"/>
              </w:rPr>
            </w:pPr>
          </w:p>
        </w:tc>
        <w:tc>
          <w:tcPr>
            <w:tcW w:w="80" w:type="dxa"/>
            <w:vAlign w:val="bottom"/>
            <w:tcBorders>
              <w:bottom w:val="single" w:sz="8" w:color="CCEEFF"/>
            </w:tcBorders>
            <w:shd w:val="clear" w:color="auto" w:fill="CCEEFF"/>
          </w:tcPr>
          <w:p>
            <w:pPr>
              <w:spacing w:after="0"/>
              <w:rPr>
                <w:sz w:val="14"/>
                <w:szCs w:val="14"/>
                <w:color w:val="auto"/>
              </w:rPr>
            </w:pPr>
          </w:p>
        </w:tc>
        <w:tc>
          <w:tcPr>
            <w:tcW w:w="1000" w:type="dxa"/>
            <w:vAlign w:val="bottom"/>
            <w:tcBorders>
              <w:bottom w:val="single" w:sz="8" w:color="CCEEFF"/>
            </w:tcBorders>
            <w:shd w:val="clear" w:color="auto" w:fill="CCEEFF"/>
          </w:tcPr>
          <w:p>
            <w:pPr>
              <w:spacing w:after="0"/>
              <w:rPr>
                <w:sz w:val="14"/>
                <w:szCs w:val="14"/>
                <w:color w:val="auto"/>
              </w:rPr>
            </w:pPr>
          </w:p>
        </w:tc>
        <w:tc>
          <w:tcPr>
            <w:tcW w:w="100" w:type="dxa"/>
            <w:vAlign w:val="bottom"/>
            <w:tcBorders>
              <w:bottom w:val="single" w:sz="8" w:color="CCEEFF"/>
            </w:tcBorders>
            <w:shd w:val="clear" w:color="auto" w:fill="CCEEFF"/>
          </w:tcPr>
          <w:p>
            <w:pPr>
              <w:spacing w:after="0"/>
              <w:rPr>
                <w:sz w:val="14"/>
                <w:szCs w:val="14"/>
                <w:color w:val="auto"/>
              </w:rPr>
            </w:pPr>
          </w:p>
        </w:tc>
        <w:tc>
          <w:tcPr>
            <w:tcW w:w="900" w:type="dxa"/>
            <w:vAlign w:val="bottom"/>
            <w:tcBorders>
              <w:bottom w:val="single" w:sz="8" w:color="CCEEFF"/>
            </w:tcBorders>
            <w:shd w:val="clear" w:color="auto" w:fill="CCEEFF"/>
          </w:tcPr>
          <w:p>
            <w:pPr>
              <w:spacing w:after="0"/>
              <w:rPr>
                <w:sz w:val="14"/>
                <w:szCs w:val="14"/>
                <w:color w:val="auto"/>
              </w:rPr>
            </w:pPr>
          </w:p>
        </w:tc>
        <w:tc>
          <w:tcPr>
            <w:tcW w:w="200" w:type="dxa"/>
            <w:vAlign w:val="bottom"/>
            <w:tcBorders>
              <w:bottom w:val="single" w:sz="8" w:color="CCEEFF"/>
            </w:tcBorders>
            <w:shd w:val="clear" w:color="auto" w:fill="CCEEFF"/>
          </w:tcPr>
          <w:p>
            <w:pPr>
              <w:spacing w:after="0"/>
              <w:rPr>
                <w:sz w:val="14"/>
                <w:szCs w:val="14"/>
                <w:color w:val="auto"/>
              </w:rPr>
            </w:pPr>
          </w:p>
        </w:tc>
        <w:tc>
          <w:tcPr>
            <w:tcW w:w="1020" w:type="dxa"/>
            <w:vAlign w:val="bottom"/>
            <w:tcBorders>
              <w:bottom w:val="single" w:sz="8" w:color="CCEEFF"/>
            </w:tcBorders>
            <w:shd w:val="clear" w:color="auto" w:fill="CCEEFF"/>
          </w:tcPr>
          <w:p>
            <w:pPr>
              <w:spacing w:after="0"/>
              <w:rPr>
                <w:sz w:val="14"/>
                <w:szCs w:val="14"/>
                <w:color w:val="auto"/>
              </w:rPr>
            </w:pPr>
          </w:p>
        </w:tc>
        <w:tc>
          <w:tcPr>
            <w:tcW w:w="100" w:type="dxa"/>
            <w:vAlign w:val="bottom"/>
            <w:tcBorders>
              <w:bottom w:val="single" w:sz="8" w:color="CCEEFF"/>
            </w:tcBorders>
            <w:shd w:val="clear" w:color="auto" w:fill="CCEEFF"/>
          </w:tcPr>
          <w:p>
            <w:pPr>
              <w:spacing w:after="0"/>
              <w:rPr>
                <w:sz w:val="14"/>
                <w:szCs w:val="14"/>
                <w:color w:val="auto"/>
              </w:rPr>
            </w:pPr>
          </w:p>
        </w:tc>
        <w:tc>
          <w:tcPr>
            <w:tcW w:w="1000" w:type="dxa"/>
            <w:vAlign w:val="bottom"/>
            <w:tcBorders>
              <w:bottom w:val="single" w:sz="8" w:color="CCEEFF"/>
            </w:tcBorders>
            <w:shd w:val="clear" w:color="auto" w:fill="CCEEFF"/>
          </w:tcPr>
          <w:p>
            <w:pPr>
              <w:spacing w:after="0"/>
              <w:rPr>
                <w:sz w:val="14"/>
                <w:szCs w:val="14"/>
                <w:color w:val="auto"/>
              </w:rPr>
            </w:pPr>
          </w:p>
        </w:tc>
        <w:tc>
          <w:tcPr>
            <w:tcW w:w="80" w:type="dxa"/>
            <w:vAlign w:val="bottom"/>
            <w:tcBorders>
              <w:bottom w:val="single" w:sz="8" w:color="CCEEFF"/>
            </w:tcBorders>
            <w:shd w:val="clear" w:color="auto" w:fill="CCEEFF"/>
          </w:tcPr>
          <w:p>
            <w:pPr>
              <w:spacing w:after="0"/>
              <w:rPr>
                <w:sz w:val="14"/>
                <w:szCs w:val="14"/>
                <w:color w:val="auto"/>
              </w:rPr>
            </w:pPr>
          </w:p>
        </w:tc>
        <w:tc>
          <w:tcPr>
            <w:tcW w:w="1020" w:type="dxa"/>
            <w:vAlign w:val="bottom"/>
            <w:tcBorders>
              <w:bottom w:val="single" w:sz="8" w:color="CCEEFF"/>
            </w:tcBorders>
            <w:shd w:val="clear" w:color="auto" w:fill="CCEEFF"/>
          </w:tcPr>
          <w:p>
            <w:pPr>
              <w:spacing w:after="0"/>
              <w:rPr>
                <w:sz w:val="14"/>
                <w:szCs w:val="14"/>
                <w:color w:val="auto"/>
              </w:rPr>
            </w:pPr>
          </w:p>
        </w:tc>
        <w:tc>
          <w:tcPr>
            <w:tcW w:w="80" w:type="dxa"/>
            <w:vAlign w:val="bottom"/>
            <w:tcBorders>
              <w:bottom w:val="single" w:sz="8" w:color="CCEEFF"/>
            </w:tcBorders>
            <w:shd w:val="clear" w:color="auto" w:fill="CCEEFF"/>
          </w:tcPr>
          <w:p>
            <w:pPr>
              <w:spacing w:after="0"/>
              <w:rPr>
                <w:sz w:val="14"/>
                <w:szCs w:val="14"/>
                <w:color w:val="auto"/>
              </w:rPr>
            </w:pPr>
          </w:p>
        </w:tc>
        <w:tc>
          <w:tcPr>
            <w:tcW w:w="920" w:type="dxa"/>
            <w:vAlign w:val="bottom"/>
            <w:tcBorders>
              <w:bottom w:val="single" w:sz="8" w:color="CCEEFF"/>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760" w:type="dxa"/>
            <w:vAlign w:val="bottom"/>
          </w:tcPr>
          <w:p>
            <w:pPr>
              <w:ind w:left="100"/>
              <w:spacing w:after="0" w:line="134" w:lineRule="exact"/>
              <w:rPr>
                <w:sz w:val="20"/>
                <w:szCs w:val="20"/>
                <w:color w:val="auto"/>
              </w:rPr>
            </w:pPr>
            <w:r>
              <w:rPr>
                <w:rFonts w:ascii="Arial" w:cs="Arial" w:eastAsia="Arial" w:hAnsi="Arial"/>
                <w:sz w:val="13"/>
                <w:szCs w:val="13"/>
                <w:color w:val="auto"/>
              </w:rPr>
              <w:t>Student loan asset-backed and other debt</w:t>
            </w:r>
          </w:p>
        </w:tc>
        <w:tc>
          <w:tcPr>
            <w:tcW w:w="80" w:type="dxa"/>
            <w:vAlign w:val="bottom"/>
            <w:vMerge w:val="restart"/>
          </w:tcPr>
          <w:p>
            <w:pPr>
              <w:jc w:val="right"/>
              <w:spacing w:after="0"/>
              <w:rPr>
                <w:sz w:val="20"/>
                <w:szCs w:val="20"/>
                <w:color w:val="auto"/>
              </w:rPr>
            </w:pPr>
            <w:r>
              <w:rPr>
                <w:rFonts w:ascii="Arial" w:cs="Arial" w:eastAsia="Arial" w:hAnsi="Arial"/>
                <w:sz w:val="13"/>
                <w:szCs w:val="13"/>
                <w:color w:val="auto"/>
                <w:w w:val="82"/>
              </w:rPr>
              <w:t>$</w:t>
            </w:r>
          </w:p>
        </w:tc>
        <w:tc>
          <w:tcPr>
            <w:tcW w:w="960" w:type="dxa"/>
            <w:vAlign w:val="bottom"/>
            <w:vMerge w:val="restart"/>
          </w:tcPr>
          <w:p>
            <w:pPr>
              <w:jc w:val="right"/>
              <w:spacing w:after="0"/>
              <w:rPr>
                <w:sz w:val="20"/>
                <w:szCs w:val="20"/>
                <w:color w:val="auto"/>
              </w:rPr>
            </w:pPr>
            <w:r>
              <w:rPr>
                <w:rFonts w:ascii="Arial" w:cs="Arial" w:eastAsia="Arial" w:hAnsi="Arial"/>
                <w:sz w:val="13"/>
                <w:szCs w:val="13"/>
                <w:color w:val="auto"/>
              </w:rPr>
              <w:t>47,994</w:t>
            </w:r>
          </w:p>
        </w:tc>
        <w:tc>
          <w:tcPr>
            <w:tcW w:w="80" w:type="dxa"/>
            <w:vAlign w:val="bottom"/>
          </w:tcPr>
          <w:p>
            <w:pPr>
              <w:spacing w:after="0"/>
              <w:rPr>
                <w:sz w:val="11"/>
                <w:szCs w:val="11"/>
                <w:color w:val="auto"/>
              </w:rPr>
            </w:pPr>
          </w:p>
        </w:tc>
        <w:tc>
          <w:tcPr>
            <w:tcW w:w="1000" w:type="dxa"/>
            <w:vAlign w:val="bottom"/>
            <w:vMerge w:val="restart"/>
          </w:tcPr>
          <w:p>
            <w:pPr>
              <w:jc w:val="right"/>
              <w:spacing w:after="0"/>
              <w:rPr>
                <w:sz w:val="20"/>
                <w:szCs w:val="20"/>
                <w:color w:val="auto"/>
              </w:rPr>
            </w:pPr>
            <w:r>
              <w:rPr>
                <w:rFonts w:ascii="Arial" w:cs="Arial" w:eastAsia="Arial" w:hAnsi="Arial"/>
                <w:sz w:val="13"/>
                <w:szCs w:val="13"/>
                <w:color w:val="auto"/>
              </w:rPr>
              <w:t>4,673</w:t>
            </w:r>
          </w:p>
        </w:tc>
        <w:tc>
          <w:tcPr>
            <w:tcW w:w="80" w:type="dxa"/>
            <w:vAlign w:val="bottom"/>
          </w:tcPr>
          <w:p>
            <w:pPr>
              <w:spacing w:after="0"/>
              <w:rPr>
                <w:sz w:val="11"/>
                <w:szCs w:val="11"/>
                <w:color w:val="auto"/>
              </w:rPr>
            </w:pPr>
          </w:p>
        </w:tc>
        <w:tc>
          <w:tcPr>
            <w:tcW w:w="1100" w:type="dxa"/>
            <w:vAlign w:val="bottom"/>
            <w:gridSpan w:val="2"/>
            <w:vMerge w:val="restart"/>
          </w:tcPr>
          <w:p>
            <w:pPr>
              <w:ind w:left="820"/>
              <w:spacing w:after="0"/>
              <w:rPr>
                <w:sz w:val="20"/>
                <w:szCs w:val="20"/>
                <w:color w:val="auto"/>
              </w:rPr>
            </w:pPr>
            <w:r>
              <w:rPr>
                <w:rFonts w:ascii="Arial" w:cs="Arial" w:eastAsia="Arial" w:hAnsi="Arial"/>
                <w:sz w:val="13"/>
                <w:szCs w:val="13"/>
                <w:color w:val="auto"/>
              </w:rPr>
              <w:t>—</w:t>
            </w:r>
          </w:p>
        </w:tc>
        <w:tc>
          <w:tcPr>
            <w:tcW w:w="900" w:type="dxa"/>
            <w:vAlign w:val="bottom"/>
            <w:vMerge w:val="restart"/>
          </w:tcPr>
          <w:p>
            <w:pPr>
              <w:jc w:val="right"/>
              <w:spacing w:after="0"/>
              <w:rPr>
                <w:sz w:val="20"/>
                <w:szCs w:val="20"/>
                <w:color w:val="auto"/>
              </w:rPr>
            </w:pPr>
            <w:r>
              <w:rPr>
                <w:rFonts w:ascii="Arial" w:cs="Arial" w:eastAsia="Arial" w:hAnsi="Arial"/>
                <w:sz w:val="13"/>
                <w:szCs w:val="13"/>
                <w:color w:val="auto"/>
              </w:rPr>
              <w:t>52,667</w:t>
            </w:r>
          </w:p>
        </w:tc>
        <w:tc>
          <w:tcPr>
            <w:tcW w:w="1220" w:type="dxa"/>
            <w:vAlign w:val="bottom"/>
            <w:gridSpan w:val="2"/>
            <w:vMerge w:val="restart"/>
          </w:tcPr>
          <w:p>
            <w:pPr>
              <w:jc w:val="right"/>
              <w:spacing w:after="0"/>
              <w:rPr>
                <w:sz w:val="20"/>
                <w:szCs w:val="20"/>
                <w:color w:val="auto"/>
              </w:rPr>
            </w:pPr>
            <w:r>
              <w:rPr>
                <w:rFonts w:ascii="Arial" w:cs="Arial" w:eastAsia="Arial" w:hAnsi="Arial"/>
                <w:sz w:val="13"/>
                <w:szCs w:val="13"/>
                <w:color w:val="auto"/>
              </w:rPr>
              <w:t>47,931</w:t>
            </w:r>
          </w:p>
        </w:tc>
        <w:tc>
          <w:tcPr>
            <w:tcW w:w="100" w:type="dxa"/>
            <w:vAlign w:val="bottom"/>
          </w:tcPr>
          <w:p>
            <w:pPr>
              <w:spacing w:after="0"/>
              <w:rPr>
                <w:sz w:val="11"/>
                <w:szCs w:val="11"/>
                <w:color w:val="auto"/>
              </w:rPr>
            </w:pPr>
          </w:p>
        </w:tc>
        <w:tc>
          <w:tcPr>
            <w:tcW w:w="1000" w:type="dxa"/>
            <w:vAlign w:val="bottom"/>
            <w:vMerge w:val="restart"/>
          </w:tcPr>
          <w:p>
            <w:pPr>
              <w:jc w:val="right"/>
              <w:spacing w:after="0"/>
              <w:rPr>
                <w:sz w:val="20"/>
                <w:szCs w:val="20"/>
                <w:color w:val="auto"/>
              </w:rPr>
            </w:pPr>
            <w:r>
              <w:rPr>
                <w:rFonts w:ascii="Arial" w:cs="Arial" w:eastAsia="Arial" w:hAnsi="Arial"/>
                <w:sz w:val="13"/>
                <w:szCs w:val="13"/>
                <w:color w:val="auto"/>
              </w:rPr>
              <w:t>5,109</w:t>
            </w:r>
          </w:p>
        </w:tc>
        <w:tc>
          <w:tcPr>
            <w:tcW w:w="80" w:type="dxa"/>
            <w:vAlign w:val="bottom"/>
          </w:tcPr>
          <w:p>
            <w:pPr>
              <w:spacing w:after="0"/>
              <w:rPr>
                <w:sz w:val="11"/>
                <w:szCs w:val="11"/>
                <w:color w:val="auto"/>
              </w:rPr>
            </w:pPr>
          </w:p>
        </w:tc>
        <w:tc>
          <w:tcPr>
            <w:tcW w:w="1100" w:type="dxa"/>
            <w:vAlign w:val="bottom"/>
            <w:gridSpan w:val="2"/>
            <w:vMerge w:val="restart"/>
          </w:tcPr>
          <w:p>
            <w:pPr>
              <w:ind w:left="840"/>
              <w:spacing w:after="0"/>
              <w:rPr>
                <w:sz w:val="20"/>
                <w:szCs w:val="20"/>
                <w:color w:val="auto"/>
              </w:rPr>
            </w:pPr>
            <w:r>
              <w:rPr>
                <w:rFonts w:ascii="Arial" w:cs="Arial" w:eastAsia="Arial" w:hAnsi="Arial"/>
                <w:sz w:val="13"/>
                <w:szCs w:val="13"/>
                <w:color w:val="auto"/>
              </w:rPr>
              <w:t>—</w:t>
            </w:r>
          </w:p>
        </w:tc>
        <w:tc>
          <w:tcPr>
            <w:tcW w:w="920" w:type="dxa"/>
            <w:vAlign w:val="bottom"/>
            <w:vMerge w:val="restart"/>
          </w:tcPr>
          <w:p>
            <w:pPr>
              <w:jc w:val="right"/>
              <w:spacing w:after="0"/>
              <w:rPr>
                <w:sz w:val="20"/>
                <w:szCs w:val="20"/>
                <w:color w:val="auto"/>
              </w:rPr>
            </w:pPr>
            <w:r>
              <w:rPr>
                <w:rFonts w:ascii="Arial" w:cs="Arial" w:eastAsia="Arial" w:hAnsi="Arial"/>
                <w:sz w:val="13"/>
                <w:szCs w:val="13"/>
                <w:color w:val="auto"/>
              </w:rPr>
              <w:t>53,040</w:t>
            </w:r>
          </w:p>
        </w:tc>
        <w:tc>
          <w:tcPr>
            <w:tcW w:w="0" w:type="dxa"/>
            <w:vAlign w:val="bottom"/>
          </w:tcPr>
          <w:p>
            <w:pPr>
              <w:spacing w:after="0"/>
              <w:rPr>
                <w:sz w:val="1"/>
                <w:szCs w:val="1"/>
                <w:color w:val="auto"/>
              </w:rPr>
            </w:pPr>
          </w:p>
        </w:tc>
      </w:tr>
      <w:tr>
        <w:trPr>
          <w:trHeight w:val="166"/>
        </w:trPr>
        <w:tc>
          <w:tcPr>
            <w:tcW w:w="2760" w:type="dxa"/>
            <w:vAlign w:val="bottom"/>
          </w:tcPr>
          <w:p>
            <w:pPr>
              <w:ind w:left="220"/>
              <w:spacing w:after="0"/>
              <w:rPr>
                <w:sz w:val="20"/>
                <w:szCs w:val="20"/>
                <w:color w:val="auto"/>
              </w:rPr>
            </w:pPr>
            <w:r>
              <w:rPr>
                <w:rFonts w:ascii="Arial" w:cs="Arial" w:eastAsia="Arial" w:hAnsi="Arial"/>
                <w:sz w:val="13"/>
                <w:szCs w:val="13"/>
                <w:color w:val="auto"/>
              </w:rPr>
              <w:t>securities - available-for-sale</w:t>
            </w:r>
          </w:p>
        </w:tc>
        <w:tc>
          <w:tcPr>
            <w:tcW w:w="80" w:type="dxa"/>
            <w:vAlign w:val="bottom"/>
            <w:vMerge w:val="continue"/>
          </w:tcPr>
          <w:p>
            <w:pPr>
              <w:spacing w:after="0"/>
              <w:rPr>
                <w:sz w:val="14"/>
                <w:szCs w:val="14"/>
                <w:color w:val="auto"/>
              </w:rPr>
            </w:pPr>
          </w:p>
        </w:tc>
        <w:tc>
          <w:tcPr>
            <w:tcW w:w="960" w:type="dxa"/>
            <w:vAlign w:val="bottom"/>
            <w:vMerge w:val="continue"/>
          </w:tcPr>
          <w:p>
            <w:pPr>
              <w:spacing w:after="0"/>
              <w:rPr>
                <w:sz w:val="14"/>
                <w:szCs w:val="14"/>
                <w:color w:val="auto"/>
              </w:rPr>
            </w:pPr>
          </w:p>
        </w:tc>
        <w:tc>
          <w:tcPr>
            <w:tcW w:w="80" w:type="dxa"/>
            <w:vAlign w:val="bottom"/>
          </w:tcPr>
          <w:p>
            <w:pPr>
              <w:spacing w:after="0"/>
              <w:rPr>
                <w:sz w:val="14"/>
                <w:szCs w:val="14"/>
                <w:color w:val="auto"/>
              </w:rPr>
            </w:pPr>
          </w:p>
        </w:tc>
        <w:tc>
          <w:tcPr>
            <w:tcW w:w="1000" w:type="dxa"/>
            <w:vAlign w:val="bottom"/>
            <w:vMerge w:val="continue"/>
          </w:tcPr>
          <w:p>
            <w:pPr>
              <w:spacing w:after="0"/>
              <w:rPr>
                <w:sz w:val="14"/>
                <w:szCs w:val="14"/>
                <w:color w:val="auto"/>
              </w:rPr>
            </w:pPr>
          </w:p>
        </w:tc>
        <w:tc>
          <w:tcPr>
            <w:tcW w:w="80" w:type="dxa"/>
            <w:vAlign w:val="bottom"/>
          </w:tcPr>
          <w:p>
            <w:pPr>
              <w:spacing w:after="0"/>
              <w:rPr>
                <w:sz w:val="14"/>
                <w:szCs w:val="14"/>
                <w:color w:val="auto"/>
              </w:rPr>
            </w:pPr>
          </w:p>
        </w:tc>
        <w:tc>
          <w:tcPr>
            <w:tcW w:w="1100" w:type="dxa"/>
            <w:vAlign w:val="bottom"/>
            <w:gridSpan w:val="2"/>
            <w:vMerge w:val="continue"/>
          </w:tcPr>
          <w:p>
            <w:pPr>
              <w:spacing w:after="0"/>
              <w:rPr>
                <w:sz w:val="14"/>
                <w:szCs w:val="14"/>
                <w:color w:val="auto"/>
              </w:rPr>
            </w:pPr>
          </w:p>
        </w:tc>
        <w:tc>
          <w:tcPr>
            <w:tcW w:w="900" w:type="dxa"/>
            <w:vAlign w:val="bottom"/>
            <w:vMerge w:val="continue"/>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1000" w:type="dxa"/>
            <w:vAlign w:val="bottom"/>
            <w:vMerge w:val="continue"/>
          </w:tcPr>
          <w:p>
            <w:pPr>
              <w:spacing w:after="0"/>
              <w:rPr>
                <w:sz w:val="14"/>
                <w:szCs w:val="14"/>
                <w:color w:val="auto"/>
              </w:rPr>
            </w:pPr>
          </w:p>
        </w:tc>
        <w:tc>
          <w:tcPr>
            <w:tcW w:w="80" w:type="dxa"/>
            <w:vAlign w:val="bottom"/>
          </w:tcPr>
          <w:p>
            <w:pPr>
              <w:spacing w:after="0"/>
              <w:rPr>
                <w:sz w:val="14"/>
                <w:szCs w:val="14"/>
                <w:color w:val="auto"/>
              </w:rPr>
            </w:pPr>
          </w:p>
        </w:tc>
        <w:tc>
          <w:tcPr>
            <w:tcW w:w="1100" w:type="dxa"/>
            <w:vAlign w:val="bottom"/>
            <w:gridSpan w:val="2"/>
            <w:vMerge w:val="continue"/>
          </w:tcPr>
          <w:p>
            <w:pPr>
              <w:spacing w:after="0"/>
              <w:rPr>
                <w:sz w:val="14"/>
                <w:szCs w:val="14"/>
                <w:color w:val="auto"/>
              </w:rPr>
            </w:pPr>
          </w:p>
        </w:tc>
        <w:tc>
          <w:tcPr>
            <w:tcW w:w="9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07"/>
        </w:trPr>
        <w:tc>
          <w:tcPr>
            <w:tcW w:w="276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3"/>
                <w:szCs w:val="13"/>
                <w:color w:val="auto"/>
              </w:rPr>
              <w:t>Equity securities</w:t>
            </w:r>
          </w:p>
        </w:tc>
        <w:tc>
          <w:tcPr>
            <w:tcW w:w="80" w:type="dxa"/>
            <w:vAlign w:val="bottom"/>
            <w:tcBorders>
              <w:bottom w:val="single" w:sz="8" w:color="CCEEFF"/>
            </w:tcBorders>
            <w:shd w:val="clear" w:color="auto" w:fill="CCEEFF"/>
          </w:tcPr>
          <w:p>
            <w:pPr>
              <w:spacing w:after="0"/>
              <w:rPr>
                <w:sz w:val="18"/>
                <w:szCs w:val="18"/>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13,405</w:t>
            </w:r>
          </w:p>
        </w:tc>
        <w:tc>
          <w:tcPr>
            <w:tcW w:w="80" w:type="dxa"/>
            <w:vAlign w:val="bottom"/>
            <w:tcBorders>
              <w:bottom w:val="single" w:sz="8" w:color="CCEEFF"/>
            </w:tcBorders>
            <w:shd w:val="clear" w:color="auto" w:fill="CCEEFF"/>
          </w:tcPr>
          <w:p>
            <w:pPr>
              <w:spacing w:after="0"/>
              <w:rPr>
                <w:sz w:val="18"/>
                <w:szCs w:val="18"/>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6,002</w:t>
            </w:r>
          </w:p>
        </w:tc>
        <w:tc>
          <w:tcPr>
            <w:tcW w:w="80" w:type="dxa"/>
            <w:vAlign w:val="bottom"/>
            <w:tcBorders>
              <w:bottom w:val="single" w:sz="8" w:color="CCEEFF"/>
            </w:tcBorders>
            <w:shd w:val="clear" w:color="auto" w:fill="CCEEFF"/>
          </w:tcPr>
          <w:p>
            <w:pPr>
              <w:spacing w:after="0"/>
              <w:rPr>
                <w:sz w:val="18"/>
                <w:szCs w:val="18"/>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(1,037)</w:t>
            </w:r>
          </w:p>
        </w:tc>
        <w:tc>
          <w:tcPr>
            <w:tcW w:w="100" w:type="dxa"/>
            <w:vAlign w:val="bottom"/>
            <w:tcBorders>
              <w:bottom w:val="single" w:sz="8" w:color="CCEEFF"/>
            </w:tcBorders>
            <w:shd w:val="clear" w:color="auto" w:fill="CCEEFF"/>
          </w:tcPr>
          <w:p>
            <w:pPr>
              <w:spacing w:after="0"/>
              <w:rPr>
                <w:sz w:val="18"/>
                <w:szCs w:val="18"/>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18,370</w:t>
            </w:r>
          </w:p>
        </w:tc>
        <w:tc>
          <w:tcPr>
            <w:tcW w:w="122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3"/>
                <w:szCs w:val="13"/>
                <w:color w:val="auto"/>
              </w:rPr>
              <w:t>12,909</w:t>
            </w:r>
          </w:p>
        </w:tc>
        <w:tc>
          <w:tcPr>
            <w:tcW w:w="100" w:type="dxa"/>
            <w:vAlign w:val="bottom"/>
            <w:tcBorders>
              <w:bottom w:val="single" w:sz="8" w:color="CCEEFF"/>
            </w:tcBorders>
            <w:shd w:val="clear" w:color="auto" w:fill="CCEEFF"/>
          </w:tcPr>
          <w:p>
            <w:pPr>
              <w:spacing w:after="0"/>
              <w:rPr>
                <w:sz w:val="18"/>
                <w:szCs w:val="18"/>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5,145</w:t>
            </w:r>
          </w:p>
        </w:tc>
        <w:tc>
          <w:tcPr>
            <w:tcW w:w="80" w:type="dxa"/>
            <w:vAlign w:val="bottom"/>
            <w:tcBorders>
              <w:bottom w:val="single" w:sz="8" w:color="CCEEFF"/>
            </w:tcBorders>
            <w:shd w:val="clear" w:color="auto" w:fill="CCEEFF"/>
          </w:tcPr>
          <w:p>
            <w:pPr>
              <w:spacing w:after="0"/>
              <w:rPr>
                <w:sz w:val="18"/>
                <w:szCs w:val="18"/>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(407)</w:t>
            </w:r>
          </w:p>
        </w:tc>
        <w:tc>
          <w:tcPr>
            <w:tcW w:w="80" w:type="dxa"/>
            <w:vAlign w:val="bottom"/>
            <w:tcBorders>
              <w:bottom w:val="single" w:sz="8" w:color="CCEEFF"/>
            </w:tcBorders>
            <w:shd w:val="clear" w:color="auto" w:fill="CCEEFF"/>
          </w:tcPr>
          <w:p>
            <w:pPr>
              <w:spacing w:after="0"/>
              <w:rPr>
                <w:sz w:val="18"/>
                <w:szCs w:val="18"/>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17,647</w:t>
            </w:r>
          </w:p>
        </w:tc>
        <w:tc>
          <w:tcPr>
            <w:tcW w:w="0" w:type="dxa"/>
            <w:vAlign w:val="bottom"/>
          </w:tcPr>
          <w:p>
            <w:pPr>
              <w:spacing w:after="0"/>
              <w:rPr>
                <w:sz w:val="1"/>
                <w:szCs w:val="1"/>
                <w:color w:val="auto"/>
              </w:rPr>
            </w:pPr>
          </w:p>
        </w:tc>
      </w:tr>
      <w:tr>
        <w:trPr>
          <w:trHeight w:val="193"/>
        </w:trPr>
        <w:tc>
          <w:tcPr>
            <w:tcW w:w="2760" w:type="dxa"/>
            <w:vAlign w:val="bottom"/>
          </w:tcPr>
          <w:p>
            <w:pPr>
              <w:ind w:left="180"/>
              <w:spacing w:after="0"/>
              <w:rPr>
                <w:sz w:val="20"/>
                <w:szCs w:val="20"/>
                <w:color w:val="auto"/>
              </w:rPr>
            </w:pPr>
            <w:r>
              <w:rPr>
                <w:rFonts w:ascii="Arial" w:cs="Arial" w:eastAsia="Arial" w:hAnsi="Arial"/>
                <w:sz w:val="13"/>
                <w:szCs w:val="13"/>
                <w:color w:val="auto"/>
              </w:rPr>
              <w:t>Total investments (at fair value)</w:t>
            </w: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61,399</w:t>
            </w:r>
          </w:p>
        </w:tc>
        <w:tc>
          <w:tcPr>
            <w:tcW w:w="80" w:type="dxa"/>
            <w:vAlign w:val="bottom"/>
          </w:tcPr>
          <w:p>
            <w:pPr>
              <w:spacing w:after="0"/>
              <w:rPr>
                <w:sz w:val="16"/>
                <w:szCs w:val="16"/>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10,675</w:t>
            </w:r>
          </w:p>
        </w:tc>
        <w:tc>
          <w:tcPr>
            <w:tcW w:w="80" w:type="dxa"/>
            <w:vAlign w:val="bottom"/>
          </w:tcPr>
          <w:p>
            <w:pPr>
              <w:spacing w:after="0"/>
              <w:rPr>
                <w:sz w:val="16"/>
                <w:szCs w:val="16"/>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(1,037)</w:t>
            </w:r>
          </w:p>
        </w:tc>
        <w:tc>
          <w:tcPr>
            <w:tcW w:w="100" w:type="dxa"/>
            <w:vAlign w:val="bottom"/>
          </w:tcPr>
          <w:p>
            <w:pPr>
              <w:spacing w:after="0"/>
              <w:rPr>
                <w:sz w:val="16"/>
                <w:szCs w:val="16"/>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71,037</w:t>
            </w:r>
          </w:p>
        </w:tc>
        <w:tc>
          <w:tcPr>
            <w:tcW w:w="200" w:type="dxa"/>
            <w:vAlign w:val="bottom"/>
          </w:tcPr>
          <w:p>
            <w:pPr>
              <w:spacing w:after="0"/>
              <w:rPr>
                <w:sz w:val="16"/>
                <w:szCs w:val="16"/>
                <w:color w:val="auto"/>
              </w:rPr>
            </w:pP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60,840</w:t>
            </w:r>
          </w:p>
        </w:tc>
        <w:tc>
          <w:tcPr>
            <w:tcW w:w="100" w:type="dxa"/>
            <w:vAlign w:val="bottom"/>
          </w:tcPr>
          <w:p>
            <w:pPr>
              <w:spacing w:after="0"/>
              <w:rPr>
                <w:sz w:val="16"/>
                <w:szCs w:val="16"/>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10,254</w:t>
            </w:r>
          </w:p>
        </w:tc>
        <w:tc>
          <w:tcPr>
            <w:tcW w:w="80" w:type="dxa"/>
            <w:vAlign w:val="bottom"/>
          </w:tcPr>
          <w:p>
            <w:pPr>
              <w:spacing w:after="0"/>
              <w:rPr>
                <w:sz w:val="16"/>
                <w:szCs w:val="16"/>
                <w:color w:val="auto"/>
              </w:rPr>
            </w:pP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(407)</w:t>
            </w:r>
          </w:p>
        </w:tc>
        <w:tc>
          <w:tcPr>
            <w:tcW w:w="80" w:type="dxa"/>
            <w:vAlign w:val="bottom"/>
          </w:tcPr>
          <w:p>
            <w:pPr>
              <w:spacing w:after="0"/>
              <w:rPr>
                <w:sz w:val="16"/>
                <w:szCs w:val="16"/>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70,687</w:t>
            </w:r>
          </w:p>
        </w:tc>
        <w:tc>
          <w:tcPr>
            <w:tcW w:w="0" w:type="dxa"/>
            <w:vAlign w:val="bottom"/>
          </w:tcPr>
          <w:p>
            <w:pPr>
              <w:spacing w:after="0"/>
              <w:rPr>
                <w:sz w:val="1"/>
                <w:szCs w:val="1"/>
                <w:color w:val="auto"/>
              </w:rPr>
            </w:pPr>
          </w:p>
        </w:tc>
      </w:tr>
      <w:tr>
        <w:trPr>
          <w:trHeight w:val="20"/>
        </w:trPr>
        <w:tc>
          <w:tcPr>
            <w:tcW w:w="276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CCEEFF"/>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3"/>
        </w:trPr>
        <w:tc>
          <w:tcPr>
            <w:tcW w:w="276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96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100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100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900" w:type="dxa"/>
            <w:vAlign w:val="bottom"/>
            <w:shd w:val="clear" w:color="auto" w:fill="CCEEFF"/>
          </w:tcPr>
          <w:p>
            <w:pPr>
              <w:spacing w:after="0"/>
              <w:rPr>
                <w:sz w:val="7"/>
                <w:szCs w:val="7"/>
                <w:color w:val="auto"/>
              </w:rPr>
            </w:pPr>
          </w:p>
        </w:tc>
        <w:tc>
          <w:tcPr>
            <w:tcW w:w="200" w:type="dxa"/>
            <w:vAlign w:val="bottom"/>
            <w:shd w:val="clear" w:color="auto" w:fill="CCEEFF"/>
          </w:tcPr>
          <w:p>
            <w:pPr>
              <w:spacing w:after="0"/>
              <w:rPr>
                <w:sz w:val="7"/>
                <w:szCs w:val="7"/>
                <w:color w:val="auto"/>
              </w:rPr>
            </w:pPr>
          </w:p>
        </w:tc>
        <w:tc>
          <w:tcPr>
            <w:tcW w:w="102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100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102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920" w:type="dxa"/>
            <w:vAlign w:val="bottom"/>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173"/>
        </w:trPr>
        <w:tc>
          <w:tcPr>
            <w:tcW w:w="2760" w:type="dxa"/>
            <w:vAlign w:val="bottom"/>
          </w:tcPr>
          <w:p>
            <w:pPr>
              <w:ind w:left="20"/>
              <w:spacing w:after="0"/>
              <w:rPr>
                <w:sz w:val="20"/>
                <w:szCs w:val="20"/>
                <w:color w:val="auto"/>
              </w:rPr>
            </w:pPr>
            <w:r>
              <w:rPr>
                <w:rFonts w:ascii="Arial" w:cs="Arial" w:eastAsia="Arial" w:hAnsi="Arial"/>
                <w:sz w:val="13"/>
                <w:szCs w:val="13"/>
                <w:b w:val="1"/>
                <w:bCs w:val="1"/>
                <w:color w:val="auto"/>
                <w:w w:val="97"/>
              </w:rPr>
              <w:t>Other Investments and Notes Receivable (not</w:t>
            </w:r>
          </w:p>
        </w:tc>
        <w:tc>
          <w:tcPr>
            <w:tcW w:w="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67"/>
        </w:trPr>
        <w:tc>
          <w:tcPr>
            <w:tcW w:w="2760" w:type="dxa"/>
            <w:vAlign w:val="bottom"/>
          </w:tcPr>
          <w:p>
            <w:pPr>
              <w:ind w:left="20"/>
              <w:spacing w:after="0"/>
              <w:rPr>
                <w:sz w:val="20"/>
                <w:szCs w:val="20"/>
                <w:color w:val="auto"/>
              </w:rPr>
            </w:pPr>
            <w:r>
              <w:rPr>
                <w:rFonts w:ascii="Arial" w:cs="Arial" w:eastAsia="Arial" w:hAnsi="Arial"/>
                <w:sz w:val="13"/>
                <w:szCs w:val="13"/>
                <w:b w:val="1"/>
                <w:bCs w:val="1"/>
                <w:color w:val="auto"/>
              </w:rPr>
              <w:t>measured at fair value):</w:t>
            </w:r>
          </w:p>
        </w:tc>
        <w:tc>
          <w:tcPr>
            <w:tcW w:w="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7"/>
        </w:trPr>
        <w:tc>
          <w:tcPr>
            <w:tcW w:w="2760" w:type="dxa"/>
            <w:vAlign w:val="bottom"/>
          </w:tcPr>
          <w:p>
            <w:pPr>
              <w:spacing w:after="0"/>
              <w:rPr>
                <w:sz w:val="2"/>
                <w:szCs w:val="2"/>
                <w:color w:val="auto"/>
              </w:rPr>
            </w:pPr>
          </w:p>
        </w:tc>
        <w:tc>
          <w:tcPr>
            <w:tcW w:w="80" w:type="dxa"/>
            <w:vAlign w:val="bottom"/>
          </w:tcPr>
          <w:p>
            <w:pPr>
              <w:spacing w:after="0"/>
              <w:rPr>
                <w:sz w:val="2"/>
                <w:szCs w:val="2"/>
                <w:color w:val="auto"/>
              </w:rPr>
            </w:pPr>
          </w:p>
        </w:tc>
        <w:tc>
          <w:tcPr>
            <w:tcW w:w="96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80" w:type="dxa"/>
            <w:vAlign w:val="bottom"/>
          </w:tcPr>
          <w:p>
            <w:pPr>
              <w:spacing w:after="0"/>
              <w:rPr>
                <w:sz w:val="2"/>
                <w:szCs w:val="2"/>
                <w:color w:val="auto"/>
              </w:rPr>
            </w:pPr>
          </w:p>
        </w:tc>
        <w:tc>
          <w:tcPr>
            <w:tcW w:w="9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5"/>
        </w:trPr>
        <w:tc>
          <w:tcPr>
            <w:tcW w:w="2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Venture capital and funds:</w:t>
            </w:r>
          </w:p>
        </w:tc>
        <w:tc>
          <w:tcPr>
            <w:tcW w:w="80" w:type="dxa"/>
            <w:vAlign w:val="bottom"/>
            <w:tcBorders>
              <w:bottom w:val="single" w:sz="8" w:color="CCEEFF"/>
            </w:tcBorders>
            <w:shd w:val="clear" w:color="auto" w:fill="CCEEFF"/>
          </w:tcPr>
          <w:p>
            <w:pPr>
              <w:spacing w:after="0"/>
              <w:rPr>
                <w:sz w:val="16"/>
                <w:szCs w:val="16"/>
                <w:color w:val="auto"/>
              </w:rPr>
            </w:pPr>
          </w:p>
        </w:tc>
        <w:tc>
          <w:tcPr>
            <w:tcW w:w="960" w:type="dxa"/>
            <w:vAlign w:val="bottom"/>
            <w:tcBorders>
              <w:bottom w:val="single" w:sz="8" w:color="CCEEFF"/>
            </w:tcBorders>
            <w:shd w:val="clear" w:color="auto" w:fill="CCEEFF"/>
          </w:tcPr>
          <w:p>
            <w:pPr>
              <w:spacing w:after="0"/>
              <w:rPr>
                <w:sz w:val="16"/>
                <w:szCs w:val="16"/>
                <w:color w:val="auto"/>
              </w:rPr>
            </w:pPr>
          </w:p>
        </w:tc>
        <w:tc>
          <w:tcPr>
            <w:tcW w:w="80" w:type="dxa"/>
            <w:vAlign w:val="bottom"/>
            <w:tcBorders>
              <w:bottom w:val="single" w:sz="8" w:color="CCEEFF"/>
            </w:tcBorders>
            <w:shd w:val="clear" w:color="auto" w:fill="CCEEFF"/>
          </w:tcPr>
          <w:p>
            <w:pPr>
              <w:spacing w:after="0"/>
              <w:rPr>
                <w:sz w:val="16"/>
                <w:szCs w:val="16"/>
                <w:color w:val="auto"/>
              </w:rPr>
            </w:pPr>
          </w:p>
        </w:tc>
        <w:tc>
          <w:tcPr>
            <w:tcW w:w="1000" w:type="dxa"/>
            <w:vAlign w:val="bottom"/>
            <w:tcBorders>
              <w:bottom w:val="single" w:sz="8" w:color="CCEEFF"/>
            </w:tcBorders>
            <w:shd w:val="clear" w:color="auto" w:fill="CCEEFF"/>
          </w:tcPr>
          <w:p>
            <w:pPr>
              <w:spacing w:after="0"/>
              <w:rPr>
                <w:sz w:val="16"/>
                <w:szCs w:val="16"/>
                <w:color w:val="auto"/>
              </w:rPr>
            </w:pPr>
          </w:p>
        </w:tc>
        <w:tc>
          <w:tcPr>
            <w:tcW w:w="80" w:type="dxa"/>
            <w:vAlign w:val="bottom"/>
            <w:tcBorders>
              <w:bottom w:val="single" w:sz="8" w:color="CCEEFF"/>
            </w:tcBorders>
            <w:shd w:val="clear" w:color="auto" w:fill="CCEEFF"/>
          </w:tcPr>
          <w:p>
            <w:pPr>
              <w:spacing w:after="0"/>
              <w:rPr>
                <w:sz w:val="16"/>
                <w:szCs w:val="16"/>
                <w:color w:val="auto"/>
              </w:rPr>
            </w:pPr>
          </w:p>
        </w:tc>
        <w:tc>
          <w:tcPr>
            <w:tcW w:w="100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900" w:type="dxa"/>
            <w:vAlign w:val="bottom"/>
            <w:tcBorders>
              <w:bottom w:val="single" w:sz="8" w:color="CCEEFF"/>
            </w:tcBorders>
            <w:shd w:val="clear" w:color="auto" w:fill="CCEEFF"/>
          </w:tcPr>
          <w:p>
            <w:pPr>
              <w:spacing w:after="0"/>
              <w:rPr>
                <w:sz w:val="16"/>
                <w:szCs w:val="16"/>
                <w:color w:val="auto"/>
              </w:rPr>
            </w:pPr>
          </w:p>
        </w:tc>
        <w:tc>
          <w:tcPr>
            <w:tcW w:w="200" w:type="dxa"/>
            <w:vAlign w:val="bottom"/>
            <w:tcBorders>
              <w:bottom w:val="single" w:sz="8" w:color="CCEEFF"/>
            </w:tcBorders>
            <w:shd w:val="clear" w:color="auto" w:fill="CCEEFF"/>
          </w:tcPr>
          <w:p>
            <w:pPr>
              <w:spacing w:after="0"/>
              <w:rPr>
                <w:sz w:val="16"/>
                <w:szCs w:val="16"/>
                <w:color w:val="auto"/>
              </w:rPr>
            </w:pPr>
          </w:p>
        </w:tc>
        <w:tc>
          <w:tcPr>
            <w:tcW w:w="102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1000" w:type="dxa"/>
            <w:vAlign w:val="bottom"/>
            <w:tcBorders>
              <w:bottom w:val="single" w:sz="8" w:color="CCEEFF"/>
            </w:tcBorders>
            <w:shd w:val="clear" w:color="auto" w:fill="CCEEFF"/>
          </w:tcPr>
          <w:p>
            <w:pPr>
              <w:spacing w:after="0"/>
              <w:rPr>
                <w:sz w:val="16"/>
                <w:szCs w:val="16"/>
                <w:color w:val="auto"/>
              </w:rPr>
            </w:pPr>
          </w:p>
        </w:tc>
        <w:tc>
          <w:tcPr>
            <w:tcW w:w="80" w:type="dxa"/>
            <w:vAlign w:val="bottom"/>
            <w:tcBorders>
              <w:bottom w:val="single" w:sz="8" w:color="CCEEFF"/>
            </w:tcBorders>
            <w:shd w:val="clear" w:color="auto" w:fill="CCEEFF"/>
          </w:tcPr>
          <w:p>
            <w:pPr>
              <w:spacing w:after="0"/>
              <w:rPr>
                <w:sz w:val="16"/>
                <w:szCs w:val="16"/>
                <w:color w:val="auto"/>
              </w:rPr>
            </w:pPr>
          </w:p>
        </w:tc>
        <w:tc>
          <w:tcPr>
            <w:tcW w:w="1020" w:type="dxa"/>
            <w:vAlign w:val="bottom"/>
            <w:tcBorders>
              <w:bottom w:val="single" w:sz="8" w:color="CCEEFF"/>
            </w:tcBorders>
            <w:shd w:val="clear" w:color="auto" w:fill="CCEEFF"/>
          </w:tcPr>
          <w:p>
            <w:pPr>
              <w:spacing w:after="0"/>
              <w:rPr>
                <w:sz w:val="16"/>
                <w:szCs w:val="16"/>
                <w:color w:val="auto"/>
              </w:rPr>
            </w:pPr>
          </w:p>
        </w:tc>
        <w:tc>
          <w:tcPr>
            <w:tcW w:w="80" w:type="dxa"/>
            <w:vAlign w:val="bottom"/>
            <w:tcBorders>
              <w:bottom w:val="single" w:sz="8" w:color="CCEEFF"/>
            </w:tcBorders>
            <w:shd w:val="clear" w:color="auto" w:fill="CCEEFF"/>
          </w:tcPr>
          <w:p>
            <w:pPr>
              <w:spacing w:after="0"/>
              <w:rPr>
                <w:sz w:val="16"/>
                <w:szCs w:val="16"/>
                <w:color w:val="auto"/>
              </w:rPr>
            </w:pPr>
          </w:p>
        </w:tc>
        <w:tc>
          <w:tcPr>
            <w:tcW w:w="920" w:type="dxa"/>
            <w:vAlign w:val="bottom"/>
            <w:tcBorders>
              <w:bottom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02"/>
        </w:trPr>
        <w:tc>
          <w:tcPr>
            <w:tcW w:w="2760" w:type="dxa"/>
            <w:vAlign w:val="bottom"/>
          </w:tcPr>
          <w:p>
            <w:pPr>
              <w:ind w:left="140"/>
              <w:spacing w:after="0"/>
              <w:rPr>
                <w:sz w:val="20"/>
                <w:szCs w:val="20"/>
                <w:color w:val="auto"/>
              </w:rPr>
            </w:pPr>
            <w:r>
              <w:rPr>
                <w:rFonts w:ascii="Arial" w:cs="Arial" w:eastAsia="Arial" w:hAnsi="Arial"/>
                <w:sz w:val="13"/>
                <w:szCs w:val="13"/>
                <w:color w:val="auto"/>
              </w:rPr>
              <w:t>Measurement alternative</w:t>
            </w:r>
          </w:p>
        </w:tc>
        <w:tc>
          <w:tcPr>
            <w:tcW w:w="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3"/>
                <w:szCs w:val="13"/>
                <w:color w:val="auto"/>
              </w:rPr>
              <w:t>71,129</w:t>
            </w:r>
          </w:p>
        </w:tc>
        <w:tc>
          <w:tcPr>
            <w:tcW w:w="2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3"/>
                <w:szCs w:val="13"/>
                <w:color w:val="auto"/>
              </w:rPr>
              <w:t>70,939</w:t>
            </w:r>
          </w:p>
        </w:tc>
        <w:tc>
          <w:tcPr>
            <w:tcW w:w="0" w:type="dxa"/>
            <w:vAlign w:val="bottom"/>
          </w:tcPr>
          <w:p>
            <w:pPr>
              <w:spacing w:after="0"/>
              <w:rPr>
                <w:sz w:val="1"/>
                <w:szCs w:val="1"/>
                <w:color w:val="auto"/>
              </w:rPr>
            </w:pPr>
          </w:p>
        </w:tc>
      </w:tr>
      <w:tr>
        <w:trPr>
          <w:trHeight w:val="207"/>
        </w:trPr>
        <w:tc>
          <w:tcPr>
            <w:tcW w:w="2760" w:type="dxa"/>
            <w:vAlign w:val="bottom"/>
            <w:shd w:val="clear" w:color="auto" w:fill="CCEEFF"/>
          </w:tcPr>
          <w:p>
            <w:pPr>
              <w:ind w:left="140"/>
              <w:spacing w:after="0"/>
              <w:rPr>
                <w:sz w:val="20"/>
                <w:szCs w:val="20"/>
                <w:color w:val="auto"/>
              </w:rPr>
            </w:pPr>
            <w:r>
              <w:rPr>
                <w:rFonts w:ascii="Arial" w:cs="Arial" w:eastAsia="Arial" w:hAnsi="Arial"/>
                <w:sz w:val="13"/>
                <w:szCs w:val="13"/>
                <w:color w:val="auto"/>
              </w:rPr>
              <w:t>Equity method</w:t>
            </w:r>
          </w:p>
        </w:tc>
        <w:tc>
          <w:tcPr>
            <w:tcW w:w="8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15,714</w:t>
            </w:r>
          </w:p>
        </w:tc>
        <w:tc>
          <w:tcPr>
            <w:tcW w:w="2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19,230</w:t>
            </w:r>
          </w:p>
        </w:tc>
        <w:tc>
          <w:tcPr>
            <w:tcW w:w="0" w:type="dxa"/>
            <w:vAlign w:val="bottom"/>
          </w:tcPr>
          <w:p>
            <w:pPr>
              <w:spacing w:after="0"/>
              <w:rPr>
                <w:sz w:val="1"/>
                <w:szCs w:val="1"/>
                <w:color w:val="auto"/>
              </w:rPr>
            </w:pPr>
          </w:p>
        </w:tc>
      </w:tr>
      <w:tr>
        <w:trPr>
          <w:trHeight w:val="202"/>
        </w:trPr>
        <w:tc>
          <w:tcPr>
            <w:tcW w:w="2760" w:type="dxa"/>
            <w:vAlign w:val="bottom"/>
            <w:tcBorders>
              <w:bottom w:val="single" w:sz="8" w:color="CCEEFF"/>
            </w:tcBorders>
          </w:tcPr>
          <w:p>
            <w:pPr>
              <w:ind w:left="140"/>
              <w:spacing w:after="0"/>
              <w:rPr>
                <w:sz w:val="20"/>
                <w:szCs w:val="20"/>
                <w:color w:val="auto"/>
              </w:rPr>
            </w:pPr>
            <w:r>
              <w:rPr>
                <w:rFonts w:ascii="Arial" w:cs="Arial" w:eastAsia="Arial" w:hAnsi="Arial"/>
                <w:sz w:val="13"/>
                <w:szCs w:val="13"/>
                <w:color w:val="auto"/>
              </w:rPr>
              <w:t>Other</w:t>
            </w:r>
          </w:p>
        </w:tc>
        <w:tc>
          <w:tcPr>
            <w:tcW w:w="80" w:type="dxa"/>
            <w:vAlign w:val="bottom"/>
            <w:tcBorders>
              <w:bottom w:val="single" w:sz="8" w:color="CCEEFF"/>
            </w:tcBorders>
          </w:tcPr>
          <w:p>
            <w:pPr>
              <w:spacing w:after="0"/>
              <w:rPr>
                <w:sz w:val="17"/>
                <w:szCs w:val="17"/>
                <w:color w:val="auto"/>
              </w:rPr>
            </w:pPr>
          </w:p>
        </w:tc>
        <w:tc>
          <w:tcPr>
            <w:tcW w:w="960" w:type="dxa"/>
            <w:vAlign w:val="bottom"/>
            <w:tcBorders>
              <w:bottom w:val="single" w:sz="8" w:color="CCEEFF"/>
            </w:tcBorders>
          </w:tcPr>
          <w:p>
            <w:pPr>
              <w:spacing w:after="0"/>
              <w:rPr>
                <w:sz w:val="17"/>
                <w:szCs w:val="17"/>
                <w:color w:val="auto"/>
              </w:rPr>
            </w:pPr>
          </w:p>
        </w:tc>
        <w:tc>
          <w:tcPr>
            <w:tcW w:w="80" w:type="dxa"/>
            <w:vAlign w:val="bottom"/>
            <w:tcBorders>
              <w:bottom w:val="single" w:sz="8" w:color="CCEEFF"/>
            </w:tcBorders>
          </w:tcPr>
          <w:p>
            <w:pPr>
              <w:spacing w:after="0"/>
              <w:rPr>
                <w:sz w:val="17"/>
                <w:szCs w:val="17"/>
                <w:color w:val="auto"/>
              </w:rPr>
            </w:pPr>
          </w:p>
        </w:tc>
        <w:tc>
          <w:tcPr>
            <w:tcW w:w="1000" w:type="dxa"/>
            <w:vAlign w:val="bottom"/>
            <w:tcBorders>
              <w:bottom w:val="single" w:sz="8" w:color="CCEEFF"/>
            </w:tcBorders>
          </w:tcPr>
          <w:p>
            <w:pPr>
              <w:spacing w:after="0"/>
              <w:rPr>
                <w:sz w:val="17"/>
                <w:szCs w:val="17"/>
                <w:color w:val="auto"/>
              </w:rPr>
            </w:pPr>
          </w:p>
        </w:tc>
        <w:tc>
          <w:tcPr>
            <w:tcW w:w="80" w:type="dxa"/>
            <w:vAlign w:val="bottom"/>
            <w:tcBorders>
              <w:bottom w:val="single" w:sz="8" w:color="CCEEFF"/>
            </w:tcBorders>
          </w:tcPr>
          <w:p>
            <w:pPr>
              <w:spacing w:after="0"/>
              <w:rPr>
                <w:sz w:val="17"/>
                <w:szCs w:val="17"/>
                <w:color w:val="auto"/>
              </w:rPr>
            </w:pPr>
          </w:p>
        </w:tc>
        <w:tc>
          <w:tcPr>
            <w:tcW w:w="1000" w:type="dxa"/>
            <w:vAlign w:val="bottom"/>
            <w:tcBorders>
              <w:bottom w:val="single" w:sz="8" w:color="CCEEFF"/>
            </w:tcBorders>
          </w:tcPr>
          <w:p>
            <w:pPr>
              <w:spacing w:after="0"/>
              <w:rPr>
                <w:sz w:val="17"/>
                <w:szCs w:val="17"/>
                <w:color w:val="auto"/>
              </w:rPr>
            </w:pPr>
          </w:p>
        </w:tc>
        <w:tc>
          <w:tcPr>
            <w:tcW w:w="100" w:type="dxa"/>
            <w:vAlign w:val="bottom"/>
            <w:tcBorders>
              <w:bottom w:val="single" w:sz="8" w:color="CCEEFF"/>
            </w:tcBorders>
          </w:tcPr>
          <w:p>
            <w:pPr>
              <w:spacing w:after="0"/>
              <w:rPr>
                <w:sz w:val="17"/>
                <w:szCs w:val="17"/>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800</w:t>
            </w:r>
          </w:p>
        </w:tc>
        <w:tc>
          <w:tcPr>
            <w:tcW w:w="200" w:type="dxa"/>
            <w:vAlign w:val="bottom"/>
            <w:tcBorders>
              <w:bottom w:val="single" w:sz="8" w:color="CCEEFF"/>
            </w:tcBorders>
          </w:tcPr>
          <w:p>
            <w:pPr>
              <w:spacing w:after="0"/>
              <w:rPr>
                <w:sz w:val="17"/>
                <w:szCs w:val="17"/>
                <w:color w:val="auto"/>
              </w:rPr>
            </w:pPr>
          </w:p>
        </w:tc>
        <w:tc>
          <w:tcPr>
            <w:tcW w:w="1020" w:type="dxa"/>
            <w:vAlign w:val="bottom"/>
            <w:tcBorders>
              <w:bottom w:val="single" w:sz="8" w:color="CCEEFF"/>
            </w:tcBorders>
          </w:tcPr>
          <w:p>
            <w:pPr>
              <w:spacing w:after="0"/>
              <w:rPr>
                <w:sz w:val="17"/>
                <w:szCs w:val="17"/>
                <w:color w:val="auto"/>
              </w:rPr>
            </w:pPr>
          </w:p>
        </w:tc>
        <w:tc>
          <w:tcPr>
            <w:tcW w:w="100" w:type="dxa"/>
            <w:vAlign w:val="bottom"/>
            <w:tcBorders>
              <w:bottom w:val="single" w:sz="8" w:color="CCEEFF"/>
            </w:tcBorders>
          </w:tcPr>
          <w:p>
            <w:pPr>
              <w:spacing w:after="0"/>
              <w:rPr>
                <w:sz w:val="17"/>
                <w:szCs w:val="17"/>
                <w:color w:val="auto"/>
              </w:rPr>
            </w:pPr>
          </w:p>
        </w:tc>
        <w:tc>
          <w:tcPr>
            <w:tcW w:w="1000" w:type="dxa"/>
            <w:vAlign w:val="bottom"/>
            <w:tcBorders>
              <w:bottom w:val="single" w:sz="8" w:color="CCEEFF"/>
            </w:tcBorders>
          </w:tcPr>
          <w:p>
            <w:pPr>
              <w:spacing w:after="0"/>
              <w:rPr>
                <w:sz w:val="17"/>
                <w:szCs w:val="17"/>
                <w:color w:val="auto"/>
              </w:rPr>
            </w:pPr>
          </w:p>
        </w:tc>
        <w:tc>
          <w:tcPr>
            <w:tcW w:w="80" w:type="dxa"/>
            <w:vAlign w:val="bottom"/>
            <w:tcBorders>
              <w:bottom w:val="single" w:sz="8" w:color="CCEEFF"/>
            </w:tcBorders>
          </w:tcPr>
          <w:p>
            <w:pPr>
              <w:spacing w:after="0"/>
              <w:rPr>
                <w:sz w:val="17"/>
                <w:szCs w:val="17"/>
                <w:color w:val="auto"/>
              </w:rPr>
            </w:pPr>
          </w:p>
        </w:tc>
        <w:tc>
          <w:tcPr>
            <w:tcW w:w="1020" w:type="dxa"/>
            <w:vAlign w:val="bottom"/>
            <w:tcBorders>
              <w:bottom w:val="single" w:sz="8" w:color="CCEEFF"/>
            </w:tcBorders>
          </w:tcPr>
          <w:p>
            <w:pPr>
              <w:spacing w:after="0"/>
              <w:rPr>
                <w:sz w:val="17"/>
                <w:szCs w:val="17"/>
                <w:color w:val="auto"/>
              </w:rPr>
            </w:pPr>
          </w:p>
        </w:tc>
        <w:tc>
          <w:tcPr>
            <w:tcW w:w="80" w:type="dxa"/>
            <w:vAlign w:val="bottom"/>
            <w:tcBorders>
              <w:bottom w:val="single" w:sz="8" w:color="CCEEFF"/>
            </w:tcBorders>
          </w:tcPr>
          <w:p>
            <w:pPr>
              <w:spacing w:after="0"/>
              <w:rPr>
                <w:sz w:val="17"/>
                <w:szCs w:val="17"/>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900</w:t>
            </w:r>
          </w:p>
        </w:tc>
        <w:tc>
          <w:tcPr>
            <w:tcW w:w="0" w:type="dxa"/>
            <w:vAlign w:val="bottom"/>
          </w:tcPr>
          <w:p>
            <w:pPr>
              <w:spacing w:after="0"/>
              <w:rPr>
                <w:sz w:val="1"/>
                <w:szCs w:val="1"/>
                <w:color w:val="auto"/>
              </w:rPr>
            </w:pPr>
          </w:p>
        </w:tc>
      </w:tr>
      <w:tr>
        <w:trPr>
          <w:trHeight w:val="198"/>
        </w:trPr>
        <w:tc>
          <w:tcPr>
            <w:tcW w:w="27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3"/>
                <w:szCs w:val="13"/>
                <w:color w:val="auto"/>
              </w:rPr>
              <w:t>Total venture capital and funds</w:t>
            </w:r>
          </w:p>
        </w:tc>
        <w:tc>
          <w:tcPr>
            <w:tcW w:w="80" w:type="dxa"/>
            <w:vAlign w:val="bottom"/>
            <w:tcBorders>
              <w:bottom w:val="single" w:sz="8" w:color="CCEEFF"/>
            </w:tcBorders>
            <w:shd w:val="clear" w:color="auto" w:fill="CCEEFF"/>
          </w:tcPr>
          <w:p>
            <w:pPr>
              <w:spacing w:after="0"/>
              <w:rPr>
                <w:sz w:val="17"/>
                <w:szCs w:val="17"/>
                <w:color w:val="auto"/>
              </w:rPr>
            </w:pPr>
          </w:p>
        </w:tc>
        <w:tc>
          <w:tcPr>
            <w:tcW w:w="96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CCEEFF"/>
            </w:tcBorders>
            <w:shd w:val="clear" w:color="auto" w:fill="CCEEFF"/>
          </w:tcPr>
          <w:p>
            <w:pPr>
              <w:spacing w:after="0"/>
              <w:rPr>
                <w:sz w:val="17"/>
                <w:szCs w:val="17"/>
                <w:color w:val="auto"/>
              </w:rPr>
            </w:pPr>
          </w:p>
        </w:tc>
        <w:tc>
          <w:tcPr>
            <w:tcW w:w="100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CCEEFF"/>
            </w:tcBorders>
            <w:shd w:val="clear" w:color="auto" w:fill="CCEEFF"/>
          </w:tcPr>
          <w:p>
            <w:pPr>
              <w:spacing w:after="0"/>
              <w:rPr>
                <w:sz w:val="17"/>
                <w:szCs w:val="17"/>
                <w:color w:val="auto"/>
              </w:rPr>
            </w:pPr>
          </w:p>
        </w:tc>
        <w:tc>
          <w:tcPr>
            <w:tcW w:w="100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87,643</w:t>
            </w:r>
          </w:p>
        </w:tc>
        <w:tc>
          <w:tcPr>
            <w:tcW w:w="200" w:type="dxa"/>
            <w:vAlign w:val="bottom"/>
            <w:tcBorders>
              <w:bottom w:val="single" w:sz="8" w:color="CCEEFF"/>
            </w:tcBorders>
            <w:shd w:val="clear" w:color="auto" w:fill="CCEEFF"/>
          </w:tcPr>
          <w:p>
            <w:pPr>
              <w:spacing w:after="0"/>
              <w:rPr>
                <w:sz w:val="17"/>
                <w:szCs w:val="17"/>
                <w:color w:val="auto"/>
              </w:rPr>
            </w:pPr>
          </w:p>
        </w:tc>
        <w:tc>
          <w:tcPr>
            <w:tcW w:w="102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100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CCEEFF"/>
            </w:tcBorders>
            <w:shd w:val="clear" w:color="auto" w:fill="CCEEFF"/>
          </w:tcPr>
          <w:p>
            <w:pPr>
              <w:spacing w:after="0"/>
              <w:rPr>
                <w:sz w:val="17"/>
                <w:szCs w:val="17"/>
                <w:color w:val="auto"/>
              </w:rPr>
            </w:pPr>
          </w:p>
        </w:tc>
        <w:tc>
          <w:tcPr>
            <w:tcW w:w="102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CCEEFF"/>
            </w:tcBorders>
            <w:shd w:val="clear" w:color="auto" w:fill="CCEEFF"/>
          </w:tcPr>
          <w:p>
            <w:pPr>
              <w:spacing w:after="0"/>
              <w:rPr>
                <w:sz w:val="17"/>
                <w:szCs w:val="17"/>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91,069</w:t>
            </w:r>
          </w:p>
        </w:tc>
        <w:tc>
          <w:tcPr>
            <w:tcW w:w="0" w:type="dxa"/>
            <w:vAlign w:val="bottom"/>
          </w:tcPr>
          <w:p>
            <w:pPr>
              <w:spacing w:after="0"/>
              <w:rPr>
                <w:sz w:val="1"/>
                <w:szCs w:val="1"/>
                <w:color w:val="auto"/>
              </w:rPr>
            </w:pPr>
          </w:p>
        </w:tc>
      </w:tr>
      <w:tr>
        <w:trPr>
          <w:trHeight w:val="158"/>
        </w:trPr>
        <w:tc>
          <w:tcPr>
            <w:tcW w:w="2760" w:type="dxa"/>
            <w:vAlign w:val="bottom"/>
          </w:tcPr>
          <w:p>
            <w:pPr>
              <w:ind w:left="20"/>
              <w:spacing w:after="0"/>
              <w:rPr>
                <w:sz w:val="20"/>
                <w:szCs w:val="20"/>
                <w:color w:val="auto"/>
              </w:rPr>
            </w:pPr>
            <w:r>
              <w:rPr>
                <w:rFonts w:ascii="Arial" w:cs="Arial" w:eastAsia="Arial" w:hAnsi="Arial"/>
                <w:sz w:val="13"/>
                <w:szCs w:val="13"/>
                <w:color w:val="auto"/>
              </w:rPr>
              <w:t>Real estate:</w:t>
            </w:r>
          </w:p>
        </w:tc>
        <w:tc>
          <w:tcPr>
            <w:tcW w:w="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00" w:type="dxa"/>
            <w:vAlign w:val="bottom"/>
            <w:tcBorders>
              <w:top w:val="single" w:sz="8" w:color="auto"/>
            </w:tcBorders>
          </w:tcPr>
          <w:p>
            <w:pPr>
              <w:spacing w:after="0"/>
              <w:rPr>
                <w:sz w:val="13"/>
                <w:szCs w:val="13"/>
                <w:color w:val="auto"/>
              </w:rPr>
            </w:pPr>
          </w:p>
        </w:tc>
        <w:tc>
          <w:tcPr>
            <w:tcW w:w="20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20" w:type="dxa"/>
            <w:vAlign w:val="bottom"/>
            <w:tcBorders>
              <w:top w:val="single" w:sz="8" w:color="auto"/>
            </w:tcBorders>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17145</wp:posOffset>
            </wp:positionV>
            <wp:extent cx="7226300" cy="130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26300" cy="130175"/>
                    </a:xfrm>
                    <a:prstGeom prst="rect">
                      <a:avLst/>
                    </a:prstGeom>
                    <a:noFill/>
                  </pic:spPr>
                </pic:pic>
              </a:graphicData>
            </a:graphic>
          </wp:anchor>
        </w:drawing>
      </w:r>
    </w:p>
    <w:p>
      <w:pPr>
        <w:sectPr>
          <w:pgSz w:w="11900" w:h="16838" w:orient="portrait"/>
          <w:cols w:equalWidth="0" w:num="1">
            <w:col w:w="11420"/>
          </w:cols>
          <w:pgMar w:left="220" w:top="739" w:right="259" w:bottom="1440" w:gutter="0" w:footer="0" w:header="0"/>
        </w:sectPr>
      </w:pPr>
    </w:p>
    <w:p>
      <w:pPr>
        <w:spacing w:after="0" w:line="63" w:lineRule="exact"/>
        <w:rPr>
          <w:sz w:val="20"/>
          <w:szCs w:val="20"/>
          <w:color w:val="auto"/>
        </w:rPr>
      </w:pPr>
    </w:p>
    <w:p>
      <w:pPr>
        <w:ind w:left="180"/>
        <w:spacing w:after="0"/>
        <w:rPr>
          <w:sz w:val="20"/>
          <w:szCs w:val="20"/>
          <w:color w:val="auto"/>
        </w:rPr>
      </w:pPr>
      <w:r>
        <w:rPr>
          <w:rFonts w:ascii="Arial" w:cs="Arial" w:eastAsia="Arial" w:hAnsi="Arial"/>
          <w:sz w:val="13"/>
          <w:szCs w:val="13"/>
          <w:color w:val="auto"/>
        </w:rPr>
        <w:t>Equity method</w:t>
      </w:r>
    </w:p>
    <w:p>
      <w:pPr>
        <w:spacing w:after="0" w:line="55" w:lineRule="exact"/>
        <w:rPr>
          <w:sz w:val="20"/>
          <w:szCs w:val="20"/>
          <w:color w:val="auto"/>
        </w:rPr>
      </w:pPr>
    </w:p>
    <w:p>
      <w:pPr>
        <w:ind w:left="180"/>
        <w:spacing w:after="0"/>
        <w:rPr>
          <w:sz w:val="20"/>
          <w:szCs w:val="20"/>
          <w:color w:val="auto"/>
        </w:rPr>
      </w:pPr>
      <w:r>
        <w:rPr>
          <w:rFonts w:ascii="Arial" w:cs="Arial" w:eastAsia="Arial" w:hAnsi="Arial"/>
          <w:sz w:val="13"/>
          <w:szCs w:val="13"/>
          <w:color w:val="auto"/>
        </w:rPr>
        <w:t>Other</w:t>
      </w:r>
    </w:p>
    <w:p>
      <w:pPr>
        <w:spacing w:after="0" w:line="66" w:lineRule="exact"/>
        <w:rPr>
          <w:sz w:val="20"/>
          <w:szCs w:val="20"/>
          <w:color w:val="auto"/>
        </w:rPr>
      </w:pPr>
    </w:p>
    <w:p>
      <w:pPr>
        <w:ind w:left="180"/>
        <w:spacing w:after="0"/>
        <w:rPr>
          <w:sz w:val="20"/>
          <w:szCs w:val="20"/>
          <w:color w:val="auto"/>
        </w:rPr>
      </w:pPr>
      <w:r>
        <w:rPr>
          <w:rFonts w:ascii="Arial" w:cs="Arial" w:eastAsia="Arial" w:hAnsi="Arial"/>
          <w:sz w:val="13"/>
          <w:szCs w:val="13"/>
          <w:color w:val="auto"/>
        </w:rPr>
        <w:t>Total real estate</w:t>
      </w:r>
    </w:p>
    <w:p>
      <w:pPr>
        <w:spacing w:after="0" w:line="152" w:lineRule="exact"/>
        <w:rPr>
          <w:sz w:val="20"/>
          <w:szCs w:val="20"/>
          <w:color w:val="auto"/>
        </w:rPr>
      </w:pPr>
    </w:p>
    <w:p>
      <w:pPr>
        <w:ind w:left="60"/>
        <w:spacing w:after="0"/>
        <w:rPr>
          <w:sz w:val="20"/>
          <w:szCs w:val="20"/>
          <w:color w:val="auto"/>
        </w:rPr>
      </w:pPr>
      <w:r>
        <w:rPr>
          <w:rFonts w:ascii="Arial" w:cs="Arial" w:eastAsia="Arial" w:hAnsi="Arial"/>
          <w:sz w:val="13"/>
          <w:szCs w:val="13"/>
          <w:color w:val="auto"/>
        </w:rPr>
        <w:t>Notes receivable</w:t>
      </w:r>
    </w:p>
    <w:p>
      <w:pPr>
        <w:spacing w:after="0" w:line="55" w:lineRule="exact"/>
        <w:rPr>
          <w:sz w:val="20"/>
          <w:szCs w:val="20"/>
          <w:color w:val="auto"/>
        </w:rPr>
      </w:pPr>
    </w:p>
    <w:p>
      <w:pPr>
        <w:ind w:left="60"/>
        <w:spacing w:after="0"/>
        <w:rPr>
          <w:sz w:val="20"/>
          <w:szCs w:val="20"/>
          <w:color w:val="auto"/>
        </w:rPr>
      </w:pPr>
      <w:r>
        <w:rPr>
          <w:rFonts w:ascii="Arial" w:cs="Arial" w:eastAsia="Arial" w:hAnsi="Arial"/>
          <w:sz w:val="13"/>
          <w:szCs w:val="13"/>
          <w:color w:val="auto"/>
        </w:rPr>
        <w:t>Tax liens and affordable housing</w:t>
      </w:r>
    </w:p>
    <w:p>
      <w:pPr>
        <w:spacing w:after="0" w:line="55" w:lineRule="exact"/>
        <w:rPr>
          <w:sz w:val="20"/>
          <w:szCs w:val="20"/>
          <w:color w:val="auto"/>
        </w:rPr>
      </w:pPr>
    </w:p>
    <w:p>
      <w:pPr>
        <w:ind w:left="380"/>
        <w:spacing w:after="0"/>
        <w:rPr>
          <w:sz w:val="20"/>
          <w:szCs w:val="20"/>
          <w:color w:val="auto"/>
        </w:rPr>
      </w:pPr>
      <w:r>
        <w:rPr>
          <w:rFonts w:ascii="Arial" w:cs="Arial" w:eastAsia="Arial" w:hAnsi="Arial"/>
          <w:sz w:val="11"/>
          <w:szCs w:val="11"/>
          <w:color w:val="auto"/>
        </w:rPr>
        <w:t>Total investments and notes receivable (not</w:t>
      </w:r>
    </w:p>
    <w:p>
      <w:pPr>
        <w:spacing w:after="0" w:line="37" w:lineRule="exact"/>
        <w:rPr>
          <w:sz w:val="20"/>
          <w:szCs w:val="20"/>
          <w:color w:val="auto"/>
        </w:rPr>
      </w:pPr>
    </w:p>
    <w:p>
      <w:pPr>
        <w:ind w:left="380"/>
        <w:spacing w:after="0"/>
        <w:rPr>
          <w:sz w:val="20"/>
          <w:szCs w:val="20"/>
          <w:color w:val="auto"/>
        </w:rPr>
      </w:pPr>
      <w:r>
        <w:rPr>
          <w:rFonts w:ascii="Arial" w:cs="Arial" w:eastAsia="Arial" w:hAnsi="Arial"/>
          <w:sz w:val="13"/>
          <w:szCs w:val="13"/>
          <w:color w:val="auto"/>
        </w:rPr>
        <w:t>measured at fair value)</w:t>
      </w:r>
    </w:p>
    <w:p>
      <w:pPr>
        <w:spacing w:after="0" w:line="108" w:lineRule="exact"/>
        <w:rPr>
          <w:sz w:val="20"/>
          <w:szCs w:val="20"/>
          <w:color w:val="auto"/>
        </w:rPr>
      </w:pPr>
    </w:p>
    <w:p>
      <w:pPr>
        <w:ind w:left="600"/>
        <w:spacing w:after="0"/>
        <w:rPr>
          <w:sz w:val="20"/>
          <w:szCs w:val="20"/>
          <w:color w:val="auto"/>
        </w:rPr>
      </w:pPr>
      <w:r>
        <w:rPr>
          <w:rFonts w:ascii="Arial" w:cs="Arial" w:eastAsia="Arial" w:hAnsi="Arial"/>
          <w:sz w:val="11"/>
          <w:szCs w:val="11"/>
          <w:color w:val="auto"/>
        </w:rPr>
        <w:t>Total investments and notes receivable</w:t>
      </w:r>
    </w:p>
    <w:p>
      <w:pPr>
        <w:spacing w:after="0" w:line="20" w:lineRule="exact"/>
        <w:rPr>
          <w:sz w:val="20"/>
          <w:szCs w:val="20"/>
          <w:color w:val="auto"/>
        </w:rPr>
      </w:pPr>
      <w:r>
        <w:rPr>
          <w:sz w:val="20"/>
          <w:szCs w:val="20"/>
          <w:color w:val="auto"/>
        </w:rPr>
        <w:br w:type="column"/>
      </w:r>
    </w:p>
    <w:p>
      <w:pPr>
        <w:spacing w:after="0" w:line="2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3"/>
        </w:trPr>
        <w:tc>
          <w:tcPr>
            <w:tcW w:w="24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39,489</w:t>
            </w:r>
          </w:p>
        </w:tc>
        <w:tc>
          <w:tcPr>
            <w:tcW w:w="3500" w:type="dxa"/>
            <w:vAlign w:val="bottom"/>
          </w:tcPr>
          <w:p>
            <w:pPr>
              <w:spacing w:after="0"/>
              <w:rPr>
                <w:sz w:val="14"/>
                <w:szCs w:val="14"/>
                <w:color w:val="auto"/>
              </w:rPr>
            </w:pPr>
          </w:p>
        </w:tc>
        <w:tc>
          <w:tcPr>
            <w:tcW w:w="920" w:type="dxa"/>
            <w:vAlign w:val="bottom"/>
          </w:tcPr>
          <w:p>
            <w:pPr>
              <w:jc w:val="right"/>
              <w:spacing w:after="0"/>
              <w:rPr>
                <w:sz w:val="20"/>
                <w:szCs w:val="20"/>
                <w:color w:val="auto"/>
              </w:rPr>
            </w:pPr>
            <w:r>
              <w:rPr>
                <w:rFonts w:ascii="Arial" w:cs="Arial" w:eastAsia="Arial" w:hAnsi="Arial"/>
                <w:sz w:val="13"/>
                <w:szCs w:val="13"/>
                <w:color w:val="auto"/>
              </w:rPr>
              <w:t>29,168</w:t>
            </w:r>
          </w:p>
        </w:tc>
      </w:tr>
      <w:tr>
        <w:trPr>
          <w:trHeight w:val="205"/>
        </w:trPr>
        <w:tc>
          <w:tcPr>
            <w:tcW w:w="24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9,193</w:t>
            </w:r>
          </w:p>
        </w:tc>
        <w:tc>
          <w:tcPr>
            <w:tcW w:w="350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3"/>
                <w:szCs w:val="13"/>
                <w:color w:val="auto"/>
              </w:rPr>
              <w:t>34,211</w:t>
            </w:r>
          </w:p>
        </w:tc>
      </w:tr>
      <w:tr>
        <w:trPr>
          <w:trHeight w:val="27"/>
        </w:trPr>
        <w:tc>
          <w:tcPr>
            <w:tcW w:w="24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3500" w:type="dxa"/>
            <w:vAlign w:val="bottom"/>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r>
      <w:tr>
        <w:trPr>
          <w:trHeight w:val="169"/>
        </w:trPr>
        <w:tc>
          <w:tcPr>
            <w:tcW w:w="24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48,682</w:t>
            </w:r>
          </w:p>
        </w:tc>
        <w:tc>
          <w:tcPr>
            <w:tcW w:w="3500" w:type="dxa"/>
            <w:vAlign w:val="bottom"/>
          </w:tcPr>
          <w:p>
            <w:pPr>
              <w:spacing w:after="0"/>
              <w:rPr>
                <w:sz w:val="14"/>
                <w:szCs w:val="14"/>
                <w:color w:val="auto"/>
              </w:rPr>
            </w:pPr>
          </w:p>
        </w:tc>
        <w:tc>
          <w:tcPr>
            <w:tcW w:w="920" w:type="dxa"/>
            <w:vAlign w:val="bottom"/>
          </w:tcPr>
          <w:p>
            <w:pPr>
              <w:jc w:val="right"/>
              <w:spacing w:after="0"/>
              <w:rPr>
                <w:sz w:val="20"/>
                <w:szCs w:val="20"/>
                <w:color w:val="auto"/>
              </w:rPr>
            </w:pPr>
            <w:r>
              <w:rPr>
                <w:rFonts w:ascii="Arial" w:cs="Arial" w:eastAsia="Arial" w:hAnsi="Arial"/>
                <w:sz w:val="13"/>
                <w:szCs w:val="13"/>
                <w:color w:val="auto"/>
              </w:rPr>
              <w:t>63,379</w:t>
            </w:r>
          </w:p>
        </w:tc>
      </w:tr>
      <w:tr>
        <w:trPr>
          <w:trHeight w:val="27"/>
        </w:trPr>
        <w:tc>
          <w:tcPr>
            <w:tcW w:w="24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3500" w:type="dxa"/>
            <w:vAlign w:val="bottom"/>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r>
      <w:tr>
        <w:trPr>
          <w:trHeight w:val="277"/>
        </w:trPr>
        <w:tc>
          <w:tcPr>
            <w:tcW w:w="240" w:type="dxa"/>
            <w:vAlign w:val="bottom"/>
          </w:tcPr>
          <w:p>
            <w:pPr>
              <w:spacing w:after="0"/>
              <w:rPr>
                <w:sz w:val="24"/>
                <w:szCs w:val="24"/>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16,183</w:t>
            </w:r>
          </w:p>
        </w:tc>
        <w:tc>
          <w:tcPr>
            <w:tcW w:w="3500" w:type="dxa"/>
            <w:vAlign w:val="bottom"/>
          </w:tcPr>
          <w:p>
            <w:pPr>
              <w:spacing w:after="0"/>
              <w:rPr>
                <w:sz w:val="24"/>
                <w:szCs w:val="24"/>
                <w:color w:val="auto"/>
              </w:rPr>
            </w:pPr>
          </w:p>
        </w:tc>
        <w:tc>
          <w:tcPr>
            <w:tcW w:w="920" w:type="dxa"/>
            <w:vAlign w:val="bottom"/>
          </w:tcPr>
          <w:p>
            <w:pPr>
              <w:jc w:val="right"/>
              <w:spacing w:after="0"/>
              <w:rPr>
                <w:sz w:val="20"/>
                <w:szCs w:val="20"/>
                <w:color w:val="auto"/>
              </w:rPr>
            </w:pPr>
            <w:r>
              <w:rPr>
                <w:rFonts w:ascii="Arial" w:cs="Arial" w:eastAsia="Arial" w:hAnsi="Arial"/>
                <w:sz w:val="13"/>
                <w:szCs w:val="13"/>
                <w:color w:val="auto"/>
              </w:rPr>
              <w:t>16,373</w:t>
            </w:r>
          </w:p>
        </w:tc>
      </w:tr>
      <w:tr>
        <w:trPr>
          <w:trHeight w:val="205"/>
        </w:trPr>
        <w:tc>
          <w:tcPr>
            <w:tcW w:w="24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6,967</w:t>
            </w:r>
          </w:p>
        </w:tc>
        <w:tc>
          <w:tcPr>
            <w:tcW w:w="350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3"/>
                <w:szCs w:val="13"/>
                <w:color w:val="auto"/>
              </w:rPr>
              <w:t>7,862</w:t>
            </w:r>
          </w:p>
        </w:tc>
      </w:tr>
      <w:tr>
        <w:trPr>
          <w:trHeight w:val="27"/>
        </w:trPr>
        <w:tc>
          <w:tcPr>
            <w:tcW w:w="24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3500" w:type="dxa"/>
            <w:vAlign w:val="bottom"/>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r>
      <w:tr>
        <w:trPr>
          <w:trHeight w:val="320"/>
        </w:trPr>
        <w:tc>
          <w:tcPr>
            <w:tcW w:w="240" w:type="dxa"/>
            <w:vAlign w:val="bottom"/>
          </w:tcPr>
          <w:p>
            <w:pPr>
              <w:spacing w:after="0"/>
              <w:rPr>
                <w:sz w:val="24"/>
                <w:szCs w:val="24"/>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159,475</w:t>
            </w:r>
          </w:p>
        </w:tc>
        <w:tc>
          <w:tcPr>
            <w:tcW w:w="3500" w:type="dxa"/>
            <w:vAlign w:val="bottom"/>
          </w:tcPr>
          <w:p>
            <w:pPr>
              <w:spacing w:after="0"/>
              <w:rPr>
                <w:sz w:val="24"/>
                <w:szCs w:val="24"/>
                <w:color w:val="auto"/>
              </w:rPr>
            </w:pPr>
          </w:p>
        </w:tc>
        <w:tc>
          <w:tcPr>
            <w:tcW w:w="920" w:type="dxa"/>
            <w:vAlign w:val="bottom"/>
          </w:tcPr>
          <w:p>
            <w:pPr>
              <w:jc w:val="right"/>
              <w:spacing w:after="0"/>
              <w:rPr>
                <w:sz w:val="20"/>
                <w:szCs w:val="20"/>
                <w:color w:val="auto"/>
              </w:rPr>
            </w:pPr>
            <w:r>
              <w:rPr>
                <w:rFonts w:ascii="Arial" w:cs="Arial" w:eastAsia="Arial" w:hAnsi="Arial"/>
                <w:sz w:val="13"/>
                <w:szCs w:val="13"/>
                <w:color w:val="auto"/>
              </w:rPr>
              <w:t>178,683</w:t>
            </w:r>
          </w:p>
        </w:tc>
      </w:tr>
      <w:tr>
        <w:trPr>
          <w:trHeight w:val="27"/>
        </w:trPr>
        <w:tc>
          <w:tcPr>
            <w:tcW w:w="24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3500" w:type="dxa"/>
            <w:vAlign w:val="bottom"/>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r>
      <w:tr>
        <w:trPr>
          <w:trHeight w:val="169"/>
        </w:trPr>
        <w:tc>
          <w:tcPr>
            <w:tcW w:w="240" w:type="dxa"/>
            <w:vAlign w:val="bottom"/>
          </w:tcPr>
          <w:p>
            <w:pPr>
              <w:jc w:val="right"/>
              <w:ind w:right="132"/>
              <w:spacing w:after="0"/>
              <w:rPr>
                <w:sz w:val="20"/>
                <w:szCs w:val="20"/>
                <w:color w:val="auto"/>
              </w:rPr>
            </w:pPr>
            <w:r>
              <w:rPr>
                <w:rFonts w:ascii="Arial" w:cs="Arial" w:eastAsia="Arial" w:hAnsi="Arial"/>
                <w:sz w:val="10"/>
                <w:szCs w:val="10"/>
                <w:color w:val="auto"/>
                <w:w w:val="71"/>
              </w:rPr>
              <w:t>$</w:t>
            </w:r>
          </w:p>
        </w:tc>
        <w:tc>
          <w:tcPr>
            <w:tcW w:w="660" w:type="dxa"/>
            <w:vAlign w:val="bottom"/>
          </w:tcPr>
          <w:p>
            <w:pPr>
              <w:jc w:val="right"/>
              <w:spacing w:after="0"/>
              <w:rPr>
                <w:sz w:val="20"/>
                <w:szCs w:val="20"/>
                <w:color w:val="auto"/>
              </w:rPr>
            </w:pPr>
            <w:r>
              <w:rPr>
                <w:rFonts w:ascii="Arial" w:cs="Arial" w:eastAsia="Arial" w:hAnsi="Arial"/>
                <w:sz w:val="13"/>
                <w:szCs w:val="13"/>
                <w:color w:val="auto"/>
              </w:rPr>
              <w:t>230,512</w:t>
            </w:r>
          </w:p>
        </w:tc>
        <w:tc>
          <w:tcPr>
            <w:tcW w:w="3500" w:type="dxa"/>
            <w:vAlign w:val="bottom"/>
          </w:tcPr>
          <w:p>
            <w:pPr>
              <w:spacing w:after="0"/>
              <w:rPr>
                <w:sz w:val="14"/>
                <w:szCs w:val="14"/>
                <w:color w:val="auto"/>
              </w:rPr>
            </w:pPr>
          </w:p>
        </w:tc>
        <w:tc>
          <w:tcPr>
            <w:tcW w:w="920" w:type="dxa"/>
            <w:vAlign w:val="bottom"/>
          </w:tcPr>
          <w:p>
            <w:pPr>
              <w:jc w:val="right"/>
              <w:spacing w:after="0"/>
              <w:rPr>
                <w:sz w:val="20"/>
                <w:szCs w:val="20"/>
                <w:color w:val="auto"/>
              </w:rPr>
            </w:pPr>
            <w:r>
              <w:rPr>
                <w:rFonts w:ascii="Arial" w:cs="Arial" w:eastAsia="Arial" w:hAnsi="Arial"/>
                <w:sz w:val="13"/>
                <w:szCs w:val="13"/>
                <w:color w:val="auto"/>
              </w:rPr>
              <w:t>249,370</w:t>
            </w:r>
          </w:p>
        </w:tc>
      </w:tr>
      <w:tr>
        <w:trPr>
          <w:trHeight w:val="27"/>
        </w:trPr>
        <w:tc>
          <w:tcPr>
            <w:tcW w:w="24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3500" w:type="dxa"/>
            <w:vAlign w:val="bottom"/>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r>
      <w:tr>
        <w:trPr>
          <w:trHeight w:val="20"/>
        </w:trPr>
        <w:tc>
          <w:tcPr>
            <w:tcW w:w="24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350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-3841750</wp:posOffset>
            </wp:positionH>
            <wp:positionV relativeFrom="paragraph">
              <wp:posOffset>-868680</wp:posOffset>
            </wp:positionV>
            <wp:extent cx="7226300" cy="1371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26300" cy="137160"/>
                    </a:xfrm>
                    <a:prstGeom prst="rect">
                      <a:avLst/>
                    </a:prstGeom>
                    <a:noFill/>
                  </pic:spPr>
                </pic:pic>
              </a:graphicData>
            </a:graphic>
          </wp:anchor>
        </w:drawing>
        <w:drawing>
          <wp:anchor simplePos="0" relativeHeight="251657728" behindDoc="1" locked="0" layoutInCell="0" allowOverlap="1">
            <wp:simplePos x="0" y="0"/>
            <wp:positionH relativeFrom="column">
              <wp:posOffset>-3841750</wp:posOffset>
            </wp:positionH>
            <wp:positionV relativeFrom="paragraph">
              <wp:posOffset>-656590</wp:posOffset>
            </wp:positionV>
            <wp:extent cx="7226300" cy="130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26300" cy="130175"/>
                    </a:xfrm>
                    <a:prstGeom prst="rect">
                      <a:avLst/>
                    </a:prstGeom>
                    <a:noFill/>
                  </pic:spPr>
                </pic:pic>
              </a:graphicData>
            </a:graphic>
          </wp:anchor>
        </w:drawing>
        <w:drawing>
          <wp:anchor simplePos="0" relativeHeight="251657728" behindDoc="1" locked="0" layoutInCell="0" allowOverlap="1">
            <wp:simplePos x="0" y="0"/>
            <wp:positionH relativeFrom="column">
              <wp:posOffset>-3841750</wp:posOffset>
            </wp:positionH>
            <wp:positionV relativeFrom="paragraph">
              <wp:posOffset>-396240</wp:posOffset>
            </wp:positionV>
            <wp:extent cx="7226300" cy="2324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26300" cy="23241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5380" w:space="720"/>
            <w:col w:w="5320"/>
          </w:cols>
          <w:pgMar w:left="220" w:top="739" w:right="25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jc w:val="center"/>
        <w:ind w:right="-39"/>
        <w:spacing w:after="0"/>
        <w:rPr>
          <w:sz w:val="20"/>
          <w:szCs w:val="20"/>
          <w:color w:val="auto"/>
        </w:rPr>
      </w:pPr>
      <w:r>
        <w:rPr>
          <w:rFonts w:ascii="Arial" w:cs="Arial" w:eastAsia="Arial" w:hAnsi="Arial"/>
          <w:sz w:val="12"/>
          <w:szCs w:val="12"/>
          <w:color w:val="auto"/>
        </w:rPr>
        <w:t>17</w:t>
      </w:r>
    </w:p>
    <w:p>
      <w:pPr>
        <w:sectPr>
          <w:pgSz w:w="11900" w:h="16838" w:orient="portrait"/>
          <w:cols w:equalWidth="0" w:num="1">
            <w:col w:w="11420"/>
          </w:cols>
          <w:pgMar w:left="220" w:top="739" w:right="259" w:bottom="1440" w:gutter="0" w:footer="0" w:header="0"/>
          <w:type w:val="continuous"/>
        </w:sectPr>
      </w:pPr>
    </w:p>
    <w:bookmarkStart w:id="18" w:name="page19"/>
    <w:bookmarkEnd w:id="18"/>
    <w:p>
      <w:pPr>
        <w:spacing w:after="0"/>
        <w:rPr>
          <w:sz w:val="20"/>
          <w:szCs w:val="20"/>
          <w:color w:val="auto"/>
        </w:rPr>
      </w:pPr>
      <w:r>
        <w:rPr>
          <w:rFonts w:ascii="Arial" w:cs="Arial" w:eastAsia="Arial" w:hAnsi="Arial"/>
          <w:sz w:val="14"/>
          <w:szCs w:val="14"/>
          <w:b w:val="1"/>
          <w:bCs w:val="1"/>
          <w:color w:val="auto"/>
        </w:rPr>
        <w:t>6. Intangible Assets</w:t>
      </w:r>
    </w:p>
    <w:p>
      <w:pPr>
        <w:spacing w:after="0" w:line="145" w:lineRule="exact"/>
        <w:rPr>
          <w:sz w:val="20"/>
          <w:szCs w:val="20"/>
          <w:color w:val="auto"/>
        </w:rPr>
      </w:pPr>
    </w:p>
    <w:p>
      <w:pPr>
        <w:spacing w:after="0"/>
        <w:rPr>
          <w:sz w:val="20"/>
          <w:szCs w:val="20"/>
          <w:color w:val="auto"/>
        </w:rPr>
      </w:pPr>
      <w:r>
        <w:rPr>
          <w:rFonts w:ascii="Arial" w:cs="Arial" w:eastAsia="Arial" w:hAnsi="Arial"/>
          <w:sz w:val="14"/>
          <w:szCs w:val="14"/>
          <w:color w:val="auto"/>
        </w:rPr>
        <w:t>Intangible assets consist of the following: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10795</wp:posOffset>
            </wp:positionH>
            <wp:positionV relativeFrom="paragraph">
              <wp:posOffset>582295</wp:posOffset>
            </wp:positionV>
            <wp:extent cx="7267575" cy="13716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67575" cy="1371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ind w:left="20"/>
        <w:spacing w:after="0"/>
        <w:rPr>
          <w:sz w:val="20"/>
          <w:szCs w:val="20"/>
          <w:color w:val="auto"/>
        </w:rPr>
      </w:pPr>
      <w:r>
        <w:rPr>
          <w:rFonts w:ascii="Arial" w:cs="Arial" w:eastAsia="Arial" w:hAnsi="Arial"/>
          <w:sz w:val="13"/>
          <w:szCs w:val="13"/>
          <w:color w:val="auto"/>
        </w:rPr>
        <w:t>Amortizable intangible assets, net:</w:t>
      </w:r>
    </w:p>
    <w:p>
      <w:pPr>
        <w:spacing w:after="0" w:line="77" w:lineRule="exact"/>
        <w:rPr>
          <w:sz w:val="20"/>
          <w:szCs w:val="20"/>
          <w:color w:val="auto"/>
        </w:rPr>
      </w:pPr>
    </w:p>
    <w:p>
      <w:pPr>
        <w:ind w:left="160"/>
        <w:spacing w:after="0"/>
        <w:rPr>
          <w:sz w:val="20"/>
          <w:szCs w:val="20"/>
          <w:color w:val="auto"/>
        </w:rPr>
      </w:pPr>
      <w:r>
        <w:rPr>
          <w:rFonts w:ascii="Arial" w:cs="Arial" w:eastAsia="Arial" w:hAnsi="Arial"/>
          <w:sz w:val="11"/>
          <w:szCs w:val="11"/>
          <w:color w:val="auto"/>
        </w:rPr>
        <w:t>Customer relationships (net of accumulated amortization of $40,635 and $33,968, respectively)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10795</wp:posOffset>
            </wp:positionH>
            <wp:positionV relativeFrom="paragraph">
              <wp:posOffset>26670</wp:posOffset>
            </wp:positionV>
            <wp:extent cx="7267575" cy="130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67575" cy="130175"/>
                    </a:xfrm>
                    <a:prstGeom prst="rect">
                      <a:avLst/>
                    </a:prstGeom>
                    <a:noFill/>
                  </pic:spPr>
                </pic:pic>
              </a:graphicData>
            </a:graphic>
          </wp:anchor>
        </w:drawing>
      </w:r>
    </w:p>
    <w:p>
      <w:pPr>
        <w:spacing w:after="0" w:line="58" w:lineRule="exact"/>
        <w:rPr>
          <w:sz w:val="20"/>
          <w:szCs w:val="20"/>
          <w:color w:val="auto"/>
        </w:rPr>
      </w:pPr>
    </w:p>
    <w:p>
      <w:pPr>
        <w:ind w:left="180"/>
        <w:spacing w:after="0"/>
        <w:rPr>
          <w:sz w:val="20"/>
          <w:szCs w:val="20"/>
          <w:color w:val="auto"/>
        </w:rPr>
      </w:pPr>
      <w:r>
        <w:rPr>
          <w:rFonts w:ascii="Arial" w:cs="Arial" w:eastAsia="Arial" w:hAnsi="Arial"/>
          <w:sz w:val="13"/>
          <w:szCs w:val="13"/>
          <w:color w:val="auto"/>
        </w:rPr>
        <w:t>Trade names (net of accumulated amortization of $6,672 and $5,825, respectively)</w:t>
      </w:r>
    </w:p>
    <w:p>
      <w:pPr>
        <w:spacing w:after="0" w:line="55" w:lineRule="exact"/>
        <w:rPr>
          <w:sz w:val="20"/>
          <w:szCs w:val="20"/>
          <w:color w:val="auto"/>
        </w:rPr>
      </w:pPr>
    </w:p>
    <w:p>
      <w:pPr>
        <w:ind w:left="180"/>
        <w:spacing w:after="0"/>
        <w:rPr>
          <w:sz w:val="20"/>
          <w:szCs w:val="20"/>
          <w:color w:val="auto"/>
        </w:rPr>
      </w:pPr>
      <w:r>
        <w:rPr>
          <w:rFonts w:ascii="Arial" w:cs="Arial" w:eastAsia="Arial" w:hAnsi="Arial"/>
          <w:sz w:val="12"/>
          <w:szCs w:val="12"/>
          <w:color w:val="auto"/>
        </w:rPr>
        <w:t>Computer software (net of accumulated amortization of $9,268 and $15,420, respectively)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10795</wp:posOffset>
            </wp:positionH>
            <wp:positionV relativeFrom="paragraph">
              <wp:posOffset>19050</wp:posOffset>
            </wp:positionV>
            <wp:extent cx="7267575" cy="15049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67575" cy="150495"/>
                    </a:xfrm>
                    <a:prstGeom prst="rect">
                      <a:avLst/>
                    </a:prstGeom>
                    <a:noFill/>
                  </pic:spPr>
                </pic:pic>
              </a:graphicData>
            </a:graphic>
          </wp:anchor>
        </w:drawing>
      </w:r>
    </w:p>
    <w:p>
      <w:pPr>
        <w:spacing w:after="0" w:line="58" w:lineRule="exact"/>
        <w:rPr>
          <w:sz w:val="20"/>
          <w:szCs w:val="20"/>
          <w:color w:val="auto"/>
        </w:rPr>
      </w:pPr>
    </w:p>
    <w:p>
      <w:pPr>
        <w:ind w:left="440"/>
        <w:spacing w:after="0"/>
        <w:rPr>
          <w:sz w:val="20"/>
          <w:szCs w:val="20"/>
          <w:color w:val="auto"/>
        </w:rPr>
      </w:pPr>
      <w:r>
        <w:rPr>
          <w:rFonts w:ascii="Arial" w:cs="Arial" w:eastAsia="Arial" w:hAnsi="Arial"/>
          <w:sz w:val="13"/>
          <w:szCs w:val="13"/>
          <w:color w:val="auto"/>
        </w:rPr>
        <w:t>Total - amortizable intangible assets, net</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2"/>
        </w:trPr>
        <w:tc>
          <w:tcPr>
            <w:tcW w:w="164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88"/>
              </w:rPr>
              <w:t>Weighted average</w:t>
            </w:r>
          </w:p>
        </w:tc>
        <w:tc>
          <w:tcPr>
            <w:tcW w:w="200" w:type="dxa"/>
            <w:vAlign w:val="bottom"/>
          </w:tcPr>
          <w:p>
            <w:pPr>
              <w:spacing w:after="0"/>
              <w:rPr>
                <w:sz w:val="14"/>
                <w:szCs w:val="14"/>
                <w:color w:val="auto"/>
              </w:rPr>
            </w:pPr>
          </w:p>
        </w:tc>
        <w:tc>
          <w:tcPr>
            <w:tcW w:w="1420" w:type="dxa"/>
            <w:vAlign w:val="bottom"/>
            <w:gridSpan w:val="2"/>
            <w:vMerge w:val="restart"/>
          </w:tcPr>
          <w:p>
            <w:pPr>
              <w:jc w:val="center"/>
              <w:ind w:right="340"/>
              <w:spacing w:after="0"/>
              <w:rPr>
                <w:sz w:val="20"/>
                <w:szCs w:val="20"/>
                <w:color w:val="auto"/>
              </w:rPr>
            </w:pPr>
            <w:r>
              <w:rPr>
                <w:rFonts w:ascii="Arial" w:cs="Arial" w:eastAsia="Arial" w:hAnsi="Arial"/>
                <w:sz w:val="13"/>
                <w:szCs w:val="13"/>
                <w:b w:val="1"/>
                <w:bCs w:val="1"/>
                <w:color w:val="auto"/>
                <w:w w:val="86"/>
              </w:rPr>
              <w:t>As of</w:t>
            </w:r>
          </w:p>
        </w:tc>
        <w:tc>
          <w:tcPr>
            <w:tcW w:w="1740" w:type="dxa"/>
            <w:vAlign w:val="bottom"/>
            <w:vMerge w:val="restart"/>
          </w:tcPr>
          <w:p>
            <w:pPr>
              <w:jc w:val="right"/>
              <w:ind w:right="695"/>
              <w:spacing w:after="0"/>
              <w:rPr>
                <w:sz w:val="20"/>
                <w:szCs w:val="20"/>
                <w:color w:val="auto"/>
              </w:rPr>
            </w:pPr>
            <w:r>
              <w:rPr>
                <w:rFonts w:ascii="Arial" w:cs="Arial" w:eastAsia="Arial" w:hAnsi="Arial"/>
                <w:sz w:val="13"/>
                <w:szCs w:val="13"/>
                <w:b w:val="1"/>
                <w:bCs w:val="1"/>
                <w:color w:val="auto"/>
              </w:rPr>
              <w:t>As of</w:t>
            </w:r>
          </w:p>
        </w:tc>
        <w:tc>
          <w:tcPr>
            <w:tcW w:w="0" w:type="dxa"/>
            <w:vAlign w:val="bottom"/>
          </w:tcPr>
          <w:p>
            <w:pPr>
              <w:spacing w:after="0"/>
              <w:rPr>
                <w:sz w:val="1"/>
                <w:szCs w:val="1"/>
                <w:color w:val="auto"/>
              </w:rPr>
            </w:pPr>
          </w:p>
        </w:tc>
      </w:tr>
      <w:tr>
        <w:trPr>
          <w:trHeight w:val="162"/>
        </w:trPr>
        <w:tc>
          <w:tcPr>
            <w:tcW w:w="164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88"/>
              </w:rPr>
              <w:t>remaining useful life as of</w:t>
            </w:r>
          </w:p>
        </w:tc>
        <w:tc>
          <w:tcPr>
            <w:tcW w:w="200" w:type="dxa"/>
            <w:vAlign w:val="bottom"/>
          </w:tcPr>
          <w:p>
            <w:pPr>
              <w:spacing w:after="0"/>
              <w:rPr>
                <w:sz w:val="14"/>
                <w:szCs w:val="14"/>
                <w:color w:val="auto"/>
              </w:rPr>
            </w:pPr>
          </w:p>
        </w:tc>
        <w:tc>
          <w:tcPr>
            <w:tcW w:w="1420" w:type="dxa"/>
            <w:vAlign w:val="bottom"/>
            <w:gridSpan w:val="2"/>
            <w:vMerge w:val="continue"/>
          </w:tcPr>
          <w:p>
            <w:pPr>
              <w:spacing w:after="0"/>
              <w:rPr>
                <w:sz w:val="14"/>
                <w:szCs w:val="14"/>
                <w:color w:val="auto"/>
              </w:rPr>
            </w:pPr>
          </w:p>
        </w:tc>
        <w:tc>
          <w:tcPr>
            <w:tcW w:w="174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67"/>
        </w:trPr>
        <w:tc>
          <w:tcPr>
            <w:tcW w:w="164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90"/>
              </w:rPr>
              <w:t>March 31, 2019 (months)</w:t>
            </w:r>
          </w:p>
        </w:tc>
        <w:tc>
          <w:tcPr>
            <w:tcW w:w="200" w:type="dxa"/>
            <w:vAlign w:val="bottom"/>
          </w:tcPr>
          <w:p>
            <w:pPr>
              <w:spacing w:after="0"/>
              <w:rPr>
                <w:sz w:val="14"/>
                <w:szCs w:val="14"/>
                <w:color w:val="auto"/>
              </w:rPr>
            </w:pPr>
          </w:p>
        </w:tc>
        <w:tc>
          <w:tcPr>
            <w:tcW w:w="1420" w:type="dxa"/>
            <w:vAlign w:val="bottom"/>
            <w:gridSpan w:val="2"/>
          </w:tcPr>
          <w:p>
            <w:pPr>
              <w:jc w:val="center"/>
              <w:ind w:right="360"/>
              <w:spacing w:after="0"/>
              <w:rPr>
                <w:sz w:val="20"/>
                <w:szCs w:val="20"/>
                <w:color w:val="auto"/>
              </w:rPr>
            </w:pPr>
            <w:r>
              <w:rPr>
                <w:rFonts w:ascii="Arial" w:cs="Arial" w:eastAsia="Arial" w:hAnsi="Arial"/>
                <w:sz w:val="13"/>
                <w:szCs w:val="13"/>
                <w:b w:val="1"/>
                <w:bCs w:val="1"/>
                <w:color w:val="auto"/>
                <w:w w:val="92"/>
              </w:rPr>
              <w:t>March 31, 2019</w:t>
            </w:r>
          </w:p>
        </w:tc>
        <w:tc>
          <w:tcPr>
            <w:tcW w:w="1740" w:type="dxa"/>
            <w:vAlign w:val="bottom"/>
          </w:tcPr>
          <w:p>
            <w:pPr>
              <w:jc w:val="right"/>
              <w:ind w:right="295"/>
              <w:spacing w:after="0"/>
              <w:rPr>
                <w:sz w:val="20"/>
                <w:szCs w:val="20"/>
                <w:color w:val="auto"/>
              </w:rPr>
            </w:pPr>
            <w:r>
              <w:rPr>
                <w:rFonts w:ascii="Arial" w:cs="Arial" w:eastAsia="Arial" w:hAnsi="Arial"/>
                <w:sz w:val="13"/>
                <w:szCs w:val="13"/>
                <w:b w:val="1"/>
                <w:bCs w:val="1"/>
                <w:color w:val="auto"/>
              </w:rPr>
              <w:t>December 31, 2018</w:t>
            </w:r>
          </w:p>
        </w:tc>
        <w:tc>
          <w:tcPr>
            <w:tcW w:w="0" w:type="dxa"/>
            <w:vAlign w:val="bottom"/>
          </w:tcPr>
          <w:p>
            <w:pPr>
              <w:spacing w:after="0"/>
              <w:rPr>
                <w:sz w:val="1"/>
                <w:szCs w:val="1"/>
                <w:color w:val="auto"/>
              </w:rPr>
            </w:pPr>
          </w:p>
        </w:tc>
      </w:tr>
      <w:tr>
        <w:trPr>
          <w:trHeight w:val="27"/>
        </w:trPr>
        <w:tc>
          <w:tcPr>
            <w:tcW w:w="15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74"/>
        </w:trPr>
        <w:tc>
          <w:tcPr>
            <w:tcW w:w="1540" w:type="dxa"/>
            <w:vAlign w:val="bottom"/>
          </w:tcPr>
          <w:p>
            <w:pPr>
              <w:jc w:val="right"/>
              <w:spacing w:after="0"/>
              <w:rPr>
                <w:sz w:val="20"/>
                <w:szCs w:val="20"/>
                <w:color w:val="auto"/>
              </w:rPr>
            </w:pPr>
            <w:r>
              <w:rPr>
                <w:rFonts w:ascii="Arial" w:cs="Arial" w:eastAsia="Arial" w:hAnsi="Arial"/>
                <w:sz w:val="13"/>
                <w:szCs w:val="13"/>
                <w:color w:val="auto"/>
              </w:rPr>
              <w:t>82</w:t>
            </w:r>
          </w:p>
        </w:tc>
        <w:tc>
          <w:tcPr>
            <w:tcW w:w="100" w:type="dxa"/>
            <w:vAlign w:val="bottom"/>
          </w:tcPr>
          <w:p>
            <w:pPr>
              <w:spacing w:after="0"/>
              <w:rPr>
                <w:sz w:val="24"/>
                <w:szCs w:val="24"/>
                <w:color w:val="auto"/>
              </w:rPr>
            </w:pPr>
          </w:p>
        </w:tc>
        <w:tc>
          <w:tcPr>
            <w:tcW w:w="200" w:type="dxa"/>
            <w:vAlign w:val="bottom"/>
          </w:tcPr>
          <w:p>
            <w:pPr>
              <w:jc w:val="right"/>
              <w:ind w:right="55"/>
              <w:spacing w:after="0"/>
              <w:rPr>
                <w:sz w:val="20"/>
                <w:szCs w:val="20"/>
                <w:color w:val="auto"/>
              </w:rPr>
            </w:pPr>
            <w:r>
              <w:rPr>
                <w:rFonts w:ascii="Arial" w:cs="Arial" w:eastAsia="Arial" w:hAnsi="Arial"/>
                <w:sz w:val="13"/>
                <w:szCs w:val="13"/>
                <w:color w:val="auto"/>
                <w:w w:val="82"/>
              </w:rPr>
              <w:t>$</w:t>
            </w:r>
          </w:p>
        </w:tc>
        <w:tc>
          <w:tcPr>
            <w:tcW w:w="1320" w:type="dxa"/>
            <w:vAlign w:val="bottom"/>
          </w:tcPr>
          <w:p>
            <w:pPr>
              <w:jc w:val="right"/>
              <w:spacing w:after="0"/>
              <w:rPr>
                <w:sz w:val="20"/>
                <w:szCs w:val="20"/>
                <w:color w:val="auto"/>
              </w:rPr>
            </w:pPr>
            <w:r>
              <w:rPr>
                <w:rFonts w:ascii="Arial" w:cs="Arial" w:eastAsia="Arial" w:hAnsi="Arial"/>
                <w:sz w:val="13"/>
                <w:szCs w:val="13"/>
                <w:color w:val="auto"/>
              </w:rPr>
              <w:t>91,818</w:t>
            </w:r>
          </w:p>
        </w:tc>
        <w:tc>
          <w:tcPr>
            <w:tcW w:w="100" w:type="dxa"/>
            <w:vAlign w:val="bottom"/>
          </w:tcPr>
          <w:p>
            <w:pPr>
              <w:spacing w:after="0"/>
              <w:rPr>
                <w:sz w:val="24"/>
                <w:szCs w:val="24"/>
                <w:color w:val="auto"/>
              </w:rPr>
            </w:pPr>
          </w:p>
        </w:tc>
        <w:tc>
          <w:tcPr>
            <w:tcW w:w="1740" w:type="dxa"/>
            <w:vAlign w:val="bottom"/>
          </w:tcPr>
          <w:p>
            <w:pPr>
              <w:jc w:val="right"/>
              <w:spacing w:after="0"/>
              <w:rPr>
                <w:sz w:val="20"/>
                <w:szCs w:val="20"/>
                <w:color w:val="auto"/>
              </w:rPr>
            </w:pPr>
            <w:r>
              <w:rPr>
                <w:rFonts w:ascii="Arial" w:cs="Arial" w:eastAsia="Arial" w:hAnsi="Arial"/>
                <w:sz w:val="13"/>
                <w:szCs w:val="13"/>
                <w:color w:val="auto"/>
              </w:rPr>
              <w:t>98,484</w:t>
            </w:r>
          </w:p>
        </w:tc>
        <w:tc>
          <w:tcPr>
            <w:tcW w:w="0" w:type="dxa"/>
            <w:vAlign w:val="bottom"/>
          </w:tcPr>
          <w:p>
            <w:pPr>
              <w:spacing w:after="0"/>
              <w:rPr>
                <w:sz w:val="1"/>
                <w:szCs w:val="1"/>
                <w:color w:val="auto"/>
              </w:rPr>
            </w:pPr>
          </w:p>
        </w:tc>
      </w:tr>
      <w:tr>
        <w:trPr>
          <w:trHeight w:val="205"/>
        </w:trPr>
        <w:tc>
          <w:tcPr>
            <w:tcW w:w="1540" w:type="dxa"/>
            <w:vAlign w:val="bottom"/>
          </w:tcPr>
          <w:p>
            <w:pPr>
              <w:jc w:val="right"/>
              <w:spacing w:after="0"/>
              <w:rPr>
                <w:sz w:val="20"/>
                <w:szCs w:val="20"/>
                <w:color w:val="auto"/>
              </w:rPr>
            </w:pPr>
            <w:r>
              <w:rPr>
                <w:rFonts w:ascii="Arial" w:cs="Arial" w:eastAsia="Arial" w:hAnsi="Arial"/>
                <w:sz w:val="13"/>
                <w:szCs w:val="13"/>
                <w:color w:val="auto"/>
              </w:rPr>
              <w:t>88</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320" w:type="dxa"/>
            <w:vAlign w:val="bottom"/>
          </w:tcPr>
          <w:p>
            <w:pPr>
              <w:jc w:val="right"/>
              <w:spacing w:after="0"/>
              <w:rPr>
                <w:sz w:val="20"/>
                <w:szCs w:val="20"/>
                <w:color w:val="auto"/>
              </w:rPr>
            </w:pPr>
            <w:r>
              <w:rPr>
                <w:rFonts w:ascii="Arial" w:cs="Arial" w:eastAsia="Arial" w:hAnsi="Arial"/>
                <w:sz w:val="13"/>
                <w:szCs w:val="13"/>
                <w:color w:val="auto"/>
              </w:rPr>
              <w:t>10,020</w:t>
            </w:r>
          </w:p>
        </w:tc>
        <w:tc>
          <w:tcPr>
            <w:tcW w:w="100" w:type="dxa"/>
            <w:vAlign w:val="bottom"/>
          </w:tcPr>
          <w:p>
            <w:pPr>
              <w:spacing w:after="0"/>
              <w:rPr>
                <w:sz w:val="17"/>
                <w:szCs w:val="17"/>
                <w:color w:val="auto"/>
              </w:rPr>
            </w:pPr>
          </w:p>
        </w:tc>
        <w:tc>
          <w:tcPr>
            <w:tcW w:w="1740" w:type="dxa"/>
            <w:vAlign w:val="bottom"/>
          </w:tcPr>
          <w:p>
            <w:pPr>
              <w:jc w:val="right"/>
              <w:spacing w:after="0"/>
              <w:rPr>
                <w:sz w:val="20"/>
                <w:szCs w:val="20"/>
                <w:color w:val="auto"/>
              </w:rPr>
            </w:pPr>
            <w:r>
              <w:rPr>
                <w:rFonts w:ascii="Arial" w:cs="Arial" w:eastAsia="Arial" w:hAnsi="Arial"/>
                <w:sz w:val="13"/>
                <w:szCs w:val="13"/>
                <w:color w:val="auto"/>
              </w:rPr>
              <w:t>10,868</w:t>
            </w:r>
          </w:p>
        </w:tc>
        <w:tc>
          <w:tcPr>
            <w:tcW w:w="0" w:type="dxa"/>
            <w:vAlign w:val="bottom"/>
          </w:tcPr>
          <w:p>
            <w:pPr>
              <w:spacing w:after="0"/>
              <w:rPr>
                <w:sz w:val="1"/>
                <w:szCs w:val="1"/>
                <w:color w:val="auto"/>
              </w:rPr>
            </w:pPr>
          </w:p>
        </w:tc>
      </w:tr>
      <w:tr>
        <w:trPr>
          <w:trHeight w:val="205"/>
        </w:trPr>
        <w:tc>
          <w:tcPr>
            <w:tcW w:w="1540" w:type="dxa"/>
            <w:vAlign w:val="bottom"/>
          </w:tcPr>
          <w:p>
            <w:pPr>
              <w:jc w:val="right"/>
              <w:spacing w:after="0"/>
              <w:rPr>
                <w:sz w:val="20"/>
                <w:szCs w:val="20"/>
                <w:color w:val="auto"/>
              </w:rPr>
            </w:pPr>
            <w:r>
              <w:rPr>
                <w:rFonts w:ascii="Arial" w:cs="Arial" w:eastAsia="Arial" w:hAnsi="Arial"/>
                <w:sz w:val="13"/>
                <w:szCs w:val="13"/>
                <w:color w:val="auto"/>
              </w:rPr>
              <w:t>21</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320" w:type="dxa"/>
            <w:vAlign w:val="bottom"/>
          </w:tcPr>
          <w:p>
            <w:pPr>
              <w:jc w:val="right"/>
              <w:spacing w:after="0"/>
              <w:rPr>
                <w:sz w:val="20"/>
                <w:szCs w:val="20"/>
                <w:color w:val="auto"/>
              </w:rPr>
            </w:pPr>
            <w:r>
              <w:rPr>
                <w:rFonts w:ascii="Arial" w:cs="Arial" w:eastAsia="Arial" w:hAnsi="Arial"/>
                <w:sz w:val="13"/>
                <w:szCs w:val="13"/>
                <w:color w:val="auto"/>
              </w:rPr>
              <w:t>3,957</w:t>
            </w:r>
          </w:p>
        </w:tc>
        <w:tc>
          <w:tcPr>
            <w:tcW w:w="100" w:type="dxa"/>
            <w:vAlign w:val="bottom"/>
          </w:tcPr>
          <w:p>
            <w:pPr>
              <w:spacing w:after="0"/>
              <w:rPr>
                <w:sz w:val="17"/>
                <w:szCs w:val="17"/>
                <w:color w:val="auto"/>
              </w:rPr>
            </w:pPr>
          </w:p>
        </w:tc>
        <w:tc>
          <w:tcPr>
            <w:tcW w:w="1740" w:type="dxa"/>
            <w:vAlign w:val="bottom"/>
          </w:tcPr>
          <w:p>
            <w:pPr>
              <w:jc w:val="right"/>
              <w:spacing w:after="0"/>
              <w:rPr>
                <w:sz w:val="20"/>
                <w:szCs w:val="20"/>
                <w:color w:val="auto"/>
              </w:rPr>
            </w:pPr>
            <w:r>
              <w:rPr>
                <w:rFonts w:ascii="Arial" w:cs="Arial" w:eastAsia="Arial" w:hAnsi="Arial"/>
                <w:sz w:val="13"/>
                <w:szCs w:val="13"/>
                <w:color w:val="auto"/>
              </w:rPr>
              <w:t>4,938</w:t>
            </w:r>
          </w:p>
        </w:tc>
        <w:tc>
          <w:tcPr>
            <w:tcW w:w="0" w:type="dxa"/>
            <w:vAlign w:val="bottom"/>
          </w:tcPr>
          <w:p>
            <w:pPr>
              <w:spacing w:after="0"/>
              <w:rPr>
                <w:sz w:val="1"/>
                <w:szCs w:val="1"/>
                <w:color w:val="auto"/>
              </w:rPr>
            </w:pPr>
          </w:p>
        </w:tc>
      </w:tr>
      <w:tr>
        <w:trPr>
          <w:trHeight w:val="27"/>
        </w:trPr>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3"/>
        </w:trPr>
        <w:tc>
          <w:tcPr>
            <w:tcW w:w="1540" w:type="dxa"/>
            <w:vAlign w:val="bottom"/>
          </w:tcPr>
          <w:p>
            <w:pPr>
              <w:jc w:val="right"/>
              <w:spacing w:after="0"/>
              <w:rPr>
                <w:sz w:val="20"/>
                <w:szCs w:val="20"/>
                <w:color w:val="auto"/>
              </w:rPr>
            </w:pPr>
            <w:r>
              <w:rPr>
                <w:rFonts w:ascii="Arial" w:cs="Arial" w:eastAsia="Arial" w:hAnsi="Arial"/>
                <w:sz w:val="13"/>
                <w:szCs w:val="13"/>
                <w:color w:val="auto"/>
              </w:rPr>
              <w:t>81</w:t>
            </w:r>
          </w:p>
        </w:tc>
        <w:tc>
          <w:tcPr>
            <w:tcW w:w="100" w:type="dxa"/>
            <w:vAlign w:val="bottom"/>
          </w:tcPr>
          <w:p>
            <w:pPr>
              <w:spacing w:after="0"/>
              <w:rPr>
                <w:sz w:val="16"/>
                <w:szCs w:val="16"/>
                <w:color w:val="auto"/>
              </w:rPr>
            </w:pPr>
          </w:p>
        </w:tc>
        <w:tc>
          <w:tcPr>
            <w:tcW w:w="200" w:type="dxa"/>
            <w:vAlign w:val="bottom"/>
            <w:tcBorders>
              <w:bottom w:val="single" w:sz="8" w:color="auto"/>
            </w:tcBorders>
          </w:tcPr>
          <w:p>
            <w:pPr>
              <w:jc w:val="right"/>
              <w:ind w:right="55"/>
              <w:spacing w:after="0"/>
              <w:rPr>
                <w:sz w:val="20"/>
                <w:szCs w:val="20"/>
                <w:color w:val="auto"/>
              </w:rPr>
            </w:pPr>
            <w:r>
              <w:rPr>
                <w:rFonts w:ascii="Arial" w:cs="Arial" w:eastAsia="Arial" w:hAnsi="Arial"/>
                <w:sz w:val="13"/>
                <w:szCs w:val="13"/>
                <w:color w:val="auto"/>
                <w:w w:val="82"/>
              </w:rPr>
              <w:t>$</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105,795</w:t>
            </w:r>
          </w:p>
        </w:tc>
        <w:tc>
          <w:tcPr>
            <w:tcW w:w="100" w:type="dxa"/>
            <w:vAlign w:val="bottom"/>
          </w:tcPr>
          <w:p>
            <w:pPr>
              <w:spacing w:after="0"/>
              <w:rPr>
                <w:sz w:val="16"/>
                <w:szCs w:val="16"/>
                <w:color w:val="auto"/>
              </w:rPr>
            </w:pPr>
          </w:p>
        </w:tc>
        <w:tc>
          <w:tcPr>
            <w:tcW w:w="17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114,290</w:t>
            </w:r>
          </w:p>
        </w:tc>
        <w:tc>
          <w:tcPr>
            <w:tcW w:w="0" w:type="dxa"/>
            <w:vAlign w:val="bottom"/>
          </w:tcPr>
          <w:p>
            <w:pPr>
              <w:spacing w:after="0"/>
              <w:rPr>
                <w:sz w:val="1"/>
                <w:szCs w:val="1"/>
                <w:color w:val="auto"/>
              </w:rPr>
            </w:pPr>
          </w:p>
        </w:tc>
      </w:tr>
      <w:tr>
        <w:trPr>
          <w:trHeight w:val="20"/>
        </w:trPr>
        <w:tc>
          <w:tcPr>
            <w:tcW w:w="15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7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2" w:lineRule="exact"/>
        <w:rPr>
          <w:sz w:val="20"/>
          <w:szCs w:val="20"/>
          <w:color w:val="auto"/>
        </w:rPr>
      </w:pPr>
    </w:p>
    <w:p>
      <w:pPr>
        <w:sectPr>
          <w:pgSz w:w="11900" w:h="16838" w:orient="portrait"/>
          <w:cols w:equalWidth="0" w:num="2">
            <w:col w:w="5740" w:space="720"/>
            <w:col w:w="5000"/>
          </w:cols>
          <w:pgMar w:left="220" w:top="739" w:right="219" w:bottom="1440" w:gutter="0" w:footer="0" w:header="0"/>
        </w:sectPr>
      </w:pPr>
    </w:p>
    <w:p>
      <w:pPr>
        <w:spacing w:after="0" w:line="288" w:lineRule="auto"/>
        <w:rPr>
          <w:sz w:val="20"/>
          <w:szCs w:val="20"/>
          <w:color w:val="auto"/>
        </w:rPr>
      </w:pPr>
      <w:r>
        <w:rPr>
          <w:rFonts w:ascii="Arial" w:cs="Arial" w:eastAsia="Arial" w:hAnsi="Arial"/>
          <w:sz w:val="14"/>
          <w:szCs w:val="14"/>
          <w:color w:val="auto"/>
        </w:rPr>
        <w:t>The Company recorded amortization expense on its intangible assets of $8.5 million and $6.2 million during the three months ended March 31, 2019 and 2018, respectively. The Company will continue to amortize intangible assets over their remaining useful lives. As of March 31, 2019, the Company estimates it will record amortization expense as follows:</w:t>
      </w:r>
    </w:p>
    <w:p>
      <w:pPr>
        <w:spacing w:after="0" w:line="120" w:lineRule="exact"/>
        <w:rPr>
          <w:sz w:val="20"/>
          <w:szCs w:val="20"/>
          <w:color w:val="auto"/>
        </w:rPr>
      </w:pPr>
    </w:p>
    <w:tbl>
      <w:tblPr>
        <w:tblLayout w:type="fixed"/>
        <w:tblInd w:w="2400" w:type="dxa"/>
        <w:tblCellMar>
          <w:top w:w="0" w:type="dxa"/>
          <w:left w:w="0" w:type="dxa"/>
          <w:bottom w:w="0" w:type="dxa"/>
          <w:right w:w="0" w:type="dxa"/>
        </w:tblCellMar>
      </w:tblPr>
      <w:tr>
        <w:trPr>
          <w:trHeight w:val="185"/>
        </w:trPr>
        <w:tc>
          <w:tcPr>
            <w:tcW w:w="44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2019 (April 1 - December 31)</w:t>
            </w:r>
          </w:p>
        </w:tc>
        <w:tc>
          <w:tcPr>
            <w:tcW w:w="940" w:type="dxa"/>
            <w:vAlign w:val="bottom"/>
            <w:tcBorders>
              <w:bottom w:val="single" w:sz="8" w:color="CCEEFF"/>
            </w:tcBorders>
            <w:shd w:val="clear" w:color="auto" w:fill="CCEEFF"/>
          </w:tcPr>
          <w:p>
            <w:pPr>
              <w:jc w:val="right"/>
              <w:ind w:right="795"/>
              <w:spacing w:after="0"/>
              <w:rPr>
                <w:sz w:val="20"/>
                <w:szCs w:val="20"/>
                <w:color w:val="auto"/>
              </w:rPr>
            </w:pPr>
            <w:r>
              <w:rPr>
                <w:rFonts w:ascii="Arial" w:cs="Arial" w:eastAsia="Arial" w:hAnsi="Arial"/>
                <w:sz w:val="13"/>
                <w:szCs w:val="13"/>
                <w:color w:val="auto"/>
                <w:w w:val="82"/>
              </w:rPr>
              <w:t>$</w:t>
            </w: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24,263</w:t>
            </w:r>
          </w:p>
        </w:tc>
      </w:tr>
      <w:tr>
        <w:trPr>
          <w:trHeight w:val="178"/>
        </w:trPr>
        <w:tc>
          <w:tcPr>
            <w:tcW w:w="4420" w:type="dxa"/>
            <w:vAlign w:val="bottom"/>
          </w:tcPr>
          <w:p>
            <w:pPr>
              <w:spacing w:after="0"/>
              <w:rPr>
                <w:sz w:val="20"/>
                <w:szCs w:val="20"/>
                <w:color w:val="auto"/>
              </w:rPr>
            </w:pPr>
            <w:r>
              <w:rPr>
                <w:rFonts w:ascii="Arial" w:cs="Arial" w:eastAsia="Arial" w:hAnsi="Arial"/>
                <w:sz w:val="13"/>
                <w:szCs w:val="13"/>
                <w:color w:val="auto"/>
              </w:rPr>
              <w:t>2020</w:t>
            </w:r>
          </w:p>
        </w:tc>
        <w:tc>
          <w:tcPr>
            <w:tcW w:w="940" w:type="dxa"/>
            <w:vAlign w:val="bottom"/>
          </w:tcPr>
          <w:p>
            <w:pPr>
              <w:spacing w:after="0"/>
              <w:rPr>
                <w:sz w:val="15"/>
                <w:szCs w:val="15"/>
                <w:color w:val="auto"/>
              </w:rPr>
            </w:pPr>
          </w:p>
        </w:tc>
        <w:tc>
          <w:tcPr>
            <w:tcW w:w="1320" w:type="dxa"/>
            <w:vAlign w:val="bottom"/>
          </w:tcPr>
          <w:p>
            <w:pPr>
              <w:jc w:val="right"/>
              <w:spacing w:after="0"/>
              <w:rPr>
                <w:sz w:val="20"/>
                <w:szCs w:val="20"/>
                <w:color w:val="auto"/>
              </w:rPr>
            </w:pPr>
            <w:r>
              <w:rPr>
                <w:rFonts w:ascii="Arial" w:cs="Arial" w:eastAsia="Arial" w:hAnsi="Arial"/>
                <w:sz w:val="13"/>
                <w:szCs w:val="13"/>
                <w:color w:val="auto"/>
              </w:rPr>
              <w:t>29,515</w:t>
            </w:r>
          </w:p>
        </w:tc>
      </w:tr>
      <w:tr>
        <w:trPr>
          <w:trHeight w:val="27"/>
        </w:trPr>
        <w:tc>
          <w:tcPr>
            <w:tcW w:w="44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320" w:type="dxa"/>
            <w:vAlign w:val="bottom"/>
          </w:tcPr>
          <w:p>
            <w:pPr>
              <w:spacing w:after="0"/>
              <w:rPr>
                <w:sz w:val="2"/>
                <w:szCs w:val="2"/>
                <w:color w:val="auto"/>
              </w:rPr>
            </w:pPr>
          </w:p>
        </w:tc>
      </w:tr>
      <w:tr>
        <w:trPr>
          <w:trHeight w:val="185"/>
        </w:trPr>
        <w:tc>
          <w:tcPr>
            <w:tcW w:w="44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2021</w:t>
            </w:r>
          </w:p>
        </w:tc>
        <w:tc>
          <w:tcPr>
            <w:tcW w:w="940" w:type="dxa"/>
            <w:vAlign w:val="bottom"/>
            <w:tcBorders>
              <w:bottom w:val="single" w:sz="8" w:color="CCEEFF"/>
            </w:tcBorders>
            <w:shd w:val="clear" w:color="auto" w:fill="CCEEFF"/>
          </w:tcPr>
          <w:p>
            <w:pPr>
              <w:spacing w:after="0"/>
              <w:rPr>
                <w:sz w:val="16"/>
                <w:szCs w:val="16"/>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18,761</w:t>
            </w:r>
          </w:p>
        </w:tc>
      </w:tr>
      <w:tr>
        <w:trPr>
          <w:trHeight w:val="178"/>
        </w:trPr>
        <w:tc>
          <w:tcPr>
            <w:tcW w:w="4420" w:type="dxa"/>
            <w:vAlign w:val="bottom"/>
          </w:tcPr>
          <w:p>
            <w:pPr>
              <w:spacing w:after="0"/>
              <w:rPr>
                <w:sz w:val="20"/>
                <w:szCs w:val="20"/>
                <w:color w:val="auto"/>
              </w:rPr>
            </w:pPr>
            <w:r>
              <w:rPr>
                <w:rFonts w:ascii="Arial" w:cs="Arial" w:eastAsia="Arial" w:hAnsi="Arial"/>
                <w:sz w:val="13"/>
                <w:szCs w:val="13"/>
                <w:color w:val="auto"/>
              </w:rPr>
              <w:t>2022</w:t>
            </w:r>
          </w:p>
        </w:tc>
        <w:tc>
          <w:tcPr>
            <w:tcW w:w="940" w:type="dxa"/>
            <w:vAlign w:val="bottom"/>
          </w:tcPr>
          <w:p>
            <w:pPr>
              <w:spacing w:after="0"/>
              <w:rPr>
                <w:sz w:val="15"/>
                <w:szCs w:val="15"/>
                <w:color w:val="auto"/>
              </w:rPr>
            </w:pPr>
          </w:p>
        </w:tc>
        <w:tc>
          <w:tcPr>
            <w:tcW w:w="1320" w:type="dxa"/>
            <w:vAlign w:val="bottom"/>
          </w:tcPr>
          <w:p>
            <w:pPr>
              <w:jc w:val="right"/>
              <w:spacing w:after="0"/>
              <w:rPr>
                <w:sz w:val="20"/>
                <w:szCs w:val="20"/>
                <w:color w:val="auto"/>
              </w:rPr>
            </w:pPr>
            <w:r>
              <w:rPr>
                <w:rFonts w:ascii="Arial" w:cs="Arial" w:eastAsia="Arial" w:hAnsi="Arial"/>
                <w:sz w:val="13"/>
                <w:szCs w:val="13"/>
                <w:color w:val="auto"/>
              </w:rPr>
              <w:t>7,172</w:t>
            </w:r>
          </w:p>
        </w:tc>
      </w:tr>
      <w:tr>
        <w:trPr>
          <w:trHeight w:val="27"/>
        </w:trPr>
        <w:tc>
          <w:tcPr>
            <w:tcW w:w="44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320" w:type="dxa"/>
            <w:vAlign w:val="bottom"/>
          </w:tcPr>
          <w:p>
            <w:pPr>
              <w:spacing w:after="0"/>
              <w:rPr>
                <w:sz w:val="2"/>
                <w:szCs w:val="2"/>
                <w:color w:val="auto"/>
              </w:rPr>
            </w:pPr>
          </w:p>
        </w:tc>
      </w:tr>
      <w:tr>
        <w:trPr>
          <w:trHeight w:val="185"/>
        </w:trPr>
        <w:tc>
          <w:tcPr>
            <w:tcW w:w="44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2023</w:t>
            </w:r>
          </w:p>
        </w:tc>
        <w:tc>
          <w:tcPr>
            <w:tcW w:w="940" w:type="dxa"/>
            <w:vAlign w:val="bottom"/>
            <w:tcBorders>
              <w:bottom w:val="single" w:sz="8" w:color="CCEEFF"/>
            </w:tcBorders>
            <w:shd w:val="clear" w:color="auto" w:fill="CCEEFF"/>
          </w:tcPr>
          <w:p>
            <w:pPr>
              <w:spacing w:after="0"/>
              <w:rPr>
                <w:sz w:val="16"/>
                <w:szCs w:val="16"/>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6,925</w:t>
            </w:r>
          </w:p>
        </w:tc>
      </w:tr>
      <w:tr>
        <w:trPr>
          <w:trHeight w:val="178"/>
        </w:trPr>
        <w:tc>
          <w:tcPr>
            <w:tcW w:w="4420" w:type="dxa"/>
            <w:vAlign w:val="bottom"/>
          </w:tcPr>
          <w:p>
            <w:pPr>
              <w:spacing w:after="0"/>
              <w:rPr>
                <w:sz w:val="20"/>
                <w:szCs w:val="20"/>
                <w:color w:val="auto"/>
              </w:rPr>
            </w:pPr>
            <w:r>
              <w:rPr>
                <w:rFonts w:ascii="Arial" w:cs="Arial" w:eastAsia="Arial" w:hAnsi="Arial"/>
                <w:sz w:val="13"/>
                <w:szCs w:val="13"/>
                <w:color w:val="auto"/>
              </w:rPr>
              <w:t>2024 and thereafter</w:t>
            </w:r>
          </w:p>
        </w:tc>
        <w:tc>
          <w:tcPr>
            <w:tcW w:w="940" w:type="dxa"/>
            <w:vAlign w:val="bottom"/>
          </w:tcPr>
          <w:p>
            <w:pPr>
              <w:spacing w:after="0"/>
              <w:rPr>
                <w:sz w:val="15"/>
                <w:szCs w:val="15"/>
                <w:color w:val="auto"/>
              </w:rPr>
            </w:pPr>
          </w:p>
        </w:tc>
        <w:tc>
          <w:tcPr>
            <w:tcW w:w="1320" w:type="dxa"/>
            <w:vAlign w:val="bottom"/>
          </w:tcPr>
          <w:p>
            <w:pPr>
              <w:jc w:val="right"/>
              <w:spacing w:after="0"/>
              <w:rPr>
                <w:sz w:val="20"/>
                <w:szCs w:val="20"/>
                <w:color w:val="auto"/>
              </w:rPr>
            </w:pPr>
            <w:r>
              <w:rPr>
                <w:rFonts w:ascii="Arial" w:cs="Arial" w:eastAsia="Arial" w:hAnsi="Arial"/>
                <w:sz w:val="13"/>
                <w:szCs w:val="13"/>
                <w:color w:val="auto"/>
              </w:rPr>
              <w:t>19,159</w:t>
            </w:r>
          </w:p>
        </w:tc>
      </w:tr>
      <w:tr>
        <w:trPr>
          <w:trHeight w:val="27"/>
        </w:trPr>
        <w:tc>
          <w:tcPr>
            <w:tcW w:w="4420" w:type="dxa"/>
            <w:vAlign w:val="bottom"/>
            <w:tcBorders>
              <w:bottom w:val="single" w:sz="8" w:color="CCEEFF"/>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r>
        <w:trPr>
          <w:trHeight w:val="221"/>
        </w:trPr>
        <w:tc>
          <w:tcPr>
            <w:tcW w:w="4420" w:type="dxa"/>
            <w:vAlign w:val="bottom"/>
            <w:tcBorders>
              <w:bottom w:val="single" w:sz="8" w:color="CCEEFF"/>
            </w:tcBorders>
            <w:shd w:val="clear" w:color="auto" w:fill="CCEEFF"/>
          </w:tcPr>
          <w:p>
            <w:pPr>
              <w:spacing w:after="0"/>
              <w:rPr>
                <w:sz w:val="18"/>
                <w:szCs w:val="18"/>
                <w:color w:val="auto"/>
              </w:rPr>
            </w:pPr>
          </w:p>
        </w:tc>
        <w:tc>
          <w:tcPr>
            <w:tcW w:w="940" w:type="dxa"/>
            <w:vAlign w:val="bottom"/>
            <w:tcBorders>
              <w:bottom w:val="single" w:sz="8" w:color="CCEEFF"/>
            </w:tcBorders>
            <w:shd w:val="clear" w:color="auto" w:fill="CCEEFF"/>
          </w:tcPr>
          <w:p>
            <w:pPr>
              <w:jc w:val="right"/>
              <w:ind w:right="795"/>
              <w:spacing w:after="0"/>
              <w:rPr>
                <w:sz w:val="20"/>
                <w:szCs w:val="20"/>
                <w:color w:val="auto"/>
              </w:rPr>
            </w:pPr>
            <w:r>
              <w:rPr>
                <w:rFonts w:ascii="Arial" w:cs="Arial" w:eastAsia="Arial" w:hAnsi="Arial"/>
                <w:sz w:val="13"/>
                <w:szCs w:val="13"/>
                <w:color w:val="auto"/>
                <w:w w:val="82"/>
              </w:rPr>
              <w:t>$</w:t>
            </w: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105,795</w:t>
            </w:r>
          </w:p>
        </w:tc>
      </w:tr>
      <w:tr>
        <w:trPr>
          <w:trHeight w:val="20"/>
        </w:trPr>
        <w:tc>
          <w:tcPr>
            <w:tcW w:w="4420" w:type="dxa"/>
            <w:vAlign w:val="bottom"/>
            <w:tcBorders>
              <w:top w:val="single" w:sz="8" w:color="CCEEFF"/>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r>
    </w:tbl>
    <w:p>
      <w:pPr>
        <w:spacing w:after="0" w:line="309"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7. Goodwill</w:t>
      </w:r>
    </w:p>
    <w:p>
      <w:pPr>
        <w:spacing w:after="0" w:line="145" w:lineRule="exact"/>
        <w:rPr>
          <w:sz w:val="20"/>
          <w:szCs w:val="20"/>
          <w:color w:val="auto"/>
        </w:rPr>
      </w:pPr>
    </w:p>
    <w:p>
      <w:pPr>
        <w:spacing w:after="0"/>
        <w:rPr>
          <w:sz w:val="20"/>
          <w:szCs w:val="20"/>
          <w:color w:val="auto"/>
        </w:rPr>
      </w:pPr>
      <w:r>
        <w:rPr>
          <w:rFonts w:ascii="Arial" w:cs="Arial" w:eastAsia="Arial" w:hAnsi="Arial"/>
          <w:sz w:val="14"/>
          <w:szCs w:val="14"/>
          <w:color w:val="auto"/>
        </w:rPr>
        <w:t>The carrying amount of goodwill as of December 31, 2018 and March 31, 2019 by reportable operating segment was as follows:</w:t>
      </w:r>
    </w:p>
    <w:p>
      <w:pPr>
        <w:spacing w:after="0" w:line="42" w:lineRule="exact"/>
        <w:rPr>
          <w:sz w:val="20"/>
          <w:szCs w:val="20"/>
          <w:color w:val="auto"/>
        </w:rPr>
      </w:pPr>
    </w:p>
    <w:tbl>
      <w:tblPr>
        <w:tblLayout w:type="fixed"/>
        <w:tblInd w:w="60" w:type="dxa"/>
        <w:tblCellMar>
          <w:top w:w="0" w:type="dxa"/>
          <w:left w:w="0" w:type="dxa"/>
          <w:bottom w:w="0" w:type="dxa"/>
          <w:right w:w="0" w:type="dxa"/>
        </w:tblCellMar>
      </w:tblPr>
      <w:tr>
        <w:trPr>
          <w:trHeight w:val="138"/>
        </w:trPr>
        <w:tc>
          <w:tcPr>
            <w:tcW w:w="33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40" w:type="dxa"/>
            <w:vAlign w:val="bottom"/>
            <w:gridSpan w:val="2"/>
          </w:tcPr>
          <w:p>
            <w:pPr>
              <w:jc w:val="center"/>
              <w:ind w:right="100"/>
              <w:spacing w:after="0"/>
              <w:rPr>
                <w:sz w:val="20"/>
                <w:szCs w:val="20"/>
                <w:color w:val="auto"/>
              </w:rPr>
            </w:pPr>
            <w:r>
              <w:rPr>
                <w:rFonts w:ascii="Arial" w:cs="Arial" w:eastAsia="Arial" w:hAnsi="Arial"/>
                <w:sz w:val="12"/>
                <w:szCs w:val="12"/>
                <w:b w:val="1"/>
                <w:bCs w:val="1"/>
                <w:color w:val="auto"/>
                <w:w w:val="93"/>
              </w:rPr>
              <w:t>Education</w:t>
            </w:r>
          </w:p>
        </w:tc>
        <w:tc>
          <w:tcPr>
            <w:tcW w:w="1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60" w:type="dxa"/>
            <w:vAlign w:val="bottom"/>
          </w:tcPr>
          <w:p>
            <w:pPr>
              <w:spacing w:after="0"/>
              <w:rPr>
                <w:sz w:val="12"/>
                <w:szCs w:val="12"/>
                <w:color w:val="auto"/>
              </w:rPr>
            </w:pPr>
          </w:p>
        </w:tc>
      </w:tr>
      <w:tr>
        <w:trPr>
          <w:trHeight w:val="129"/>
        </w:trPr>
        <w:tc>
          <w:tcPr>
            <w:tcW w:w="33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40" w:type="dxa"/>
            <w:vAlign w:val="bottom"/>
            <w:gridSpan w:val="2"/>
          </w:tcPr>
          <w:p>
            <w:pPr>
              <w:jc w:val="center"/>
              <w:ind w:right="100"/>
              <w:spacing w:after="0" w:line="129" w:lineRule="exact"/>
              <w:rPr>
                <w:sz w:val="20"/>
                <w:szCs w:val="20"/>
                <w:color w:val="auto"/>
              </w:rPr>
            </w:pPr>
            <w:r>
              <w:rPr>
                <w:rFonts w:ascii="Arial" w:cs="Arial" w:eastAsia="Arial" w:hAnsi="Arial"/>
                <w:sz w:val="12"/>
                <w:szCs w:val="12"/>
                <w:b w:val="1"/>
                <w:bCs w:val="1"/>
                <w:color w:val="auto"/>
                <w:w w:val="86"/>
              </w:rPr>
              <w:t>Technology, Services,</w:t>
            </w:r>
          </w:p>
        </w:tc>
        <w:tc>
          <w:tcPr>
            <w:tcW w:w="16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tcPr>
          <w:p>
            <w:pPr>
              <w:spacing w:after="0"/>
              <w:rPr>
                <w:sz w:val="11"/>
                <w:szCs w:val="11"/>
                <w:color w:val="auto"/>
              </w:rPr>
            </w:pPr>
          </w:p>
        </w:tc>
      </w:tr>
      <w:tr>
        <w:trPr>
          <w:trHeight w:val="129"/>
        </w:trPr>
        <w:tc>
          <w:tcPr>
            <w:tcW w:w="3360" w:type="dxa"/>
            <w:vAlign w:val="bottom"/>
          </w:tcPr>
          <w:p>
            <w:pPr>
              <w:spacing w:after="0"/>
              <w:rPr>
                <w:sz w:val="11"/>
                <w:szCs w:val="11"/>
                <w:color w:val="auto"/>
              </w:rPr>
            </w:pPr>
          </w:p>
        </w:tc>
        <w:tc>
          <w:tcPr>
            <w:tcW w:w="1260" w:type="dxa"/>
            <w:vAlign w:val="bottom"/>
            <w:gridSpan w:val="3"/>
          </w:tcPr>
          <w:p>
            <w:pPr>
              <w:jc w:val="center"/>
              <w:ind w:right="100"/>
              <w:spacing w:after="0" w:line="129" w:lineRule="exact"/>
              <w:rPr>
                <w:sz w:val="20"/>
                <w:szCs w:val="20"/>
                <w:color w:val="auto"/>
              </w:rPr>
            </w:pPr>
            <w:r>
              <w:rPr>
                <w:rFonts w:ascii="Arial" w:cs="Arial" w:eastAsia="Arial" w:hAnsi="Arial"/>
                <w:sz w:val="12"/>
                <w:szCs w:val="12"/>
                <w:b w:val="1"/>
                <w:bCs w:val="1"/>
                <w:color w:val="auto"/>
                <w:w w:val="90"/>
              </w:rPr>
              <w:t>Loan Servicing and</w:t>
            </w:r>
          </w:p>
        </w:tc>
        <w:tc>
          <w:tcPr>
            <w:tcW w:w="1240" w:type="dxa"/>
            <w:vAlign w:val="bottom"/>
            <w:gridSpan w:val="2"/>
          </w:tcPr>
          <w:p>
            <w:pPr>
              <w:jc w:val="center"/>
              <w:ind w:right="100"/>
              <w:spacing w:after="0" w:line="129" w:lineRule="exact"/>
              <w:rPr>
                <w:sz w:val="20"/>
                <w:szCs w:val="20"/>
                <w:color w:val="auto"/>
              </w:rPr>
            </w:pPr>
            <w:r>
              <w:rPr>
                <w:rFonts w:ascii="Arial" w:cs="Arial" w:eastAsia="Arial" w:hAnsi="Arial"/>
                <w:sz w:val="12"/>
                <w:szCs w:val="12"/>
                <w:b w:val="1"/>
                <w:bCs w:val="1"/>
                <w:color w:val="auto"/>
                <w:w w:val="93"/>
              </w:rPr>
              <w:t>and Payment</w:t>
            </w:r>
          </w:p>
        </w:tc>
        <w:tc>
          <w:tcPr>
            <w:tcW w:w="16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360" w:type="dxa"/>
            <w:vAlign w:val="bottom"/>
            <w:gridSpan w:val="2"/>
          </w:tcPr>
          <w:p>
            <w:pPr>
              <w:jc w:val="center"/>
              <w:ind w:right="100"/>
              <w:spacing w:after="0" w:line="129" w:lineRule="exact"/>
              <w:rPr>
                <w:sz w:val="20"/>
                <w:szCs w:val="20"/>
                <w:color w:val="auto"/>
              </w:rPr>
            </w:pPr>
            <w:r>
              <w:rPr>
                <w:rFonts w:ascii="Arial" w:cs="Arial" w:eastAsia="Arial" w:hAnsi="Arial"/>
                <w:sz w:val="12"/>
                <w:szCs w:val="12"/>
                <w:b w:val="1"/>
                <w:bCs w:val="1"/>
                <w:color w:val="auto"/>
                <w:w w:val="91"/>
              </w:rPr>
              <w:t>Asset Generation and</w:t>
            </w:r>
          </w:p>
        </w:tc>
        <w:tc>
          <w:tcPr>
            <w:tcW w:w="1260" w:type="dxa"/>
            <w:vAlign w:val="bottom"/>
            <w:gridSpan w:val="2"/>
          </w:tcPr>
          <w:p>
            <w:pPr>
              <w:jc w:val="center"/>
              <w:ind w:right="100"/>
              <w:spacing w:after="0" w:line="129" w:lineRule="exact"/>
              <w:rPr>
                <w:sz w:val="20"/>
                <w:szCs w:val="20"/>
                <w:color w:val="auto"/>
              </w:rPr>
            </w:pPr>
            <w:r>
              <w:rPr>
                <w:rFonts w:ascii="Arial" w:cs="Arial" w:eastAsia="Arial" w:hAnsi="Arial"/>
                <w:sz w:val="12"/>
                <w:szCs w:val="12"/>
                <w:b w:val="1"/>
                <w:bCs w:val="1"/>
                <w:color w:val="auto"/>
                <w:w w:val="95"/>
              </w:rPr>
              <w:t>Corporate and Other</w:t>
            </w:r>
          </w:p>
        </w:tc>
        <w:tc>
          <w:tcPr>
            <w:tcW w:w="1160" w:type="dxa"/>
            <w:vAlign w:val="bottom"/>
          </w:tcPr>
          <w:p>
            <w:pPr>
              <w:spacing w:after="0"/>
              <w:rPr>
                <w:sz w:val="11"/>
                <w:szCs w:val="11"/>
                <w:color w:val="auto"/>
              </w:rPr>
            </w:pPr>
          </w:p>
        </w:tc>
      </w:tr>
      <w:tr>
        <w:trPr>
          <w:trHeight w:val="162"/>
        </w:trPr>
        <w:tc>
          <w:tcPr>
            <w:tcW w:w="3360" w:type="dxa"/>
            <w:vAlign w:val="bottom"/>
            <w:tcBorders>
              <w:bottom w:val="single" w:sz="8" w:color="CCEEFF"/>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jc w:val="center"/>
              <w:ind w:right="179"/>
              <w:spacing w:after="0"/>
              <w:rPr>
                <w:sz w:val="20"/>
                <w:szCs w:val="20"/>
                <w:color w:val="auto"/>
              </w:rPr>
            </w:pPr>
            <w:r>
              <w:rPr>
                <w:rFonts w:ascii="Arial" w:cs="Arial" w:eastAsia="Arial" w:hAnsi="Arial"/>
                <w:sz w:val="12"/>
                <w:szCs w:val="12"/>
                <w:b w:val="1"/>
                <w:bCs w:val="1"/>
                <w:color w:val="auto"/>
                <w:w w:val="84"/>
              </w:rPr>
              <w:t>Systems</w:t>
            </w:r>
          </w:p>
        </w:tc>
        <w:tc>
          <w:tcPr>
            <w:tcW w:w="100" w:type="dxa"/>
            <w:vAlign w:val="bottom"/>
            <w:tcBorders>
              <w:bottom w:val="single" w:sz="8" w:color="CCEEFF"/>
            </w:tcBorders>
          </w:tcPr>
          <w:p>
            <w:pPr>
              <w:spacing w:after="0"/>
              <w:rPr>
                <w:sz w:val="14"/>
                <w:szCs w:val="14"/>
                <w:color w:val="auto"/>
              </w:rPr>
            </w:pPr>
          </w:p>
        </w:tc>
        <w:tc>
          <w:tcPr>
            <w:tcW w:w="1140" w:type="dxa"/>
            <w:vAlign w:val="bottom"/>
            <w:tcBorders>
              <w:bottom w:val="single" w:sz="8" w:color="auto"/>
            </w:tcBorders>
          </w:tcPr>
          <w:p>
            <w:pPr>
              <w:jc w:val="center"/>
              <w:spacing w:after="0"/>
              <w:rPr>
                <w:sz w:val="20"/>
                <w:szCs w:val="20"/>
                <w:color w:val="auto"/>
              </w:rPr>
            </w:pPr>
            <w:r>
              <w:rPr>
                <w:rFonts w:ascii="Arial" w:cs="Arial" w:eastAsia="Arial" w:hAnsi="Arial"/>
                <w:sz w:val="12"/>
                <w:szCs w:val="12"/>
                <w:b w:val="1"/>
                <w:bCs w:val="1"/>
                <w:color w:val="auto"/>
                <w:w w:val="83"/>
              </w:rPr>
              <w:t>Processing</w:t>
            </w:r>
          </w:p>
        </w:tc>
        <w:tc>
          <w:tcPr>
            <w:tcW w:w="100" w:type="dxa"/>
            <w:vAlign w:val="bottom"/>
            <w:tcBorders>
              <w:bottom w:val="single" w:sz="8" w:color="CCEEFF"/>
            </w:tcBorders>
          </w:tcPr>
          <w:p>
            <w:pPr>
              <w:spacing w:after="0"/>
              <w:rPr>
                <w:sz w:val="14"/>
                <w:szCs w:val="14"/>
                <w:color w:val="auto"/>
              </w:rPr>
            </w:pPr>
          </w:p>
        </w:tc>
        <w:tc>
          <w:tcPr>
            <w:tcW w:w="1600" w:type="dxa"/>
            <w:vAlign w:val="bottom"/>
            <w:tcBorders>
              <w:bottom w:val="single" w:sz="8" w:color="auto"/>
            </w:tcBorders>
          </w:tcPr>
          <w:p>
            <w:pPr>
              <w:jc w:val="right"/>
              <w:ind w:right="299"/>
              <w:spacing w:after="0"/>
              <w:rPr>
                <w:sz w:val="20"/>
                <w:szCs w:val="20"/>
                <w:color w:val="auto"/>
              </w:rPr>
            </w:pPr>
            <w:r>
              <w:rPr>
                <w:rFonts w:ascii="Arial" w:cs="Arial" w:eastAsia="Arial" w:hAnsi="Arial"/>
                <w:sz w:val="12"/>
                <w:szCs w:val="12"/>
                <w:b w:val="1"/>
                <w:bCs w:val="1"/>
                <w:color w:val="auto"/>
              </w:rPr>
              <w:t>Communications</w:t>
            </w:r>
          </w:p>
        </w:tc>
        <w:tc>
          <w:tcPr>
            <w:tcW w:w="100" w:type="dxa"/>
            <w:vAlign w:val="bottom"/>
            <w:tcBorders>
              <w:bottom w:val="single" w:sz="8" w:color="CCEEFF"/>
            </w:tcBorders>
          </w:tcPr>
          <w:p>
            <w:pPr>
              <w:spacing w:after="0"/>
              <w:rPr>
                <w:sz w:val="14"/>
                <w:szCs w:val="14"/>
                <w:color w:val="auto"/>
              </w:rPr>
            </w:pPr>
          </w:p>
        </w:tc>
        <w:tc>
          <w:tcPr>
            <w:tcW w:w="1260" w:type="dxa"/>
            <w:vAlign w:val="bottom"/>
            <w:tcBorders>
              <w:bottom w:val="single" w:sz="8" w:color="auto"/>
            </w:tcBorders>
          </w:tcPr>
          <w:p>
            <w:pPr>
              <w:jc w:val="center"/>
              <w:spacing w:after="0"/>
              <w:rPr>
                <w:sz w:val="20"/>
                <w:szCs w:val="20"/>
                <w:color w:val="auto"/>
              </w:rPr>
            </w:pPr>
            <w:r>
              <w:rPr>
                <w:rFonts w:ascii="Arial" w:cs="Arial" w:eastAsia="Arial" w:hAnsi="Arial"/>
                <w:sz w:val="12"/>
                <w:szCs w:val="12"/>
                <w:b w:val="1"/>
                <w:bCs w:val="1"/>
                <w:color w:val="auto"/>
                <w:w w:val="95"/>
              </w:rPr>
              <w:t>Management</w:t>
            </w:r>
          </w:p>
        </w:tc>
        <w:tc>
          <w:tcPr>
            <w:tcW w:w="100" w:type="dxa"/>
            <w:vAlign w:val="bottom"/>
            <w:tcBorders>
              <w:bottom w:val="single" w:sz="8" w:color="CCEEFF"/>
            </w:tcBorders>
          </w:tcPr>
          <w:p>
            <w:pPr>
              <w:spacing w:after="0"/>
              <w:rPr>
                <w:sz w:val="14"/>
                <w:szCs w:val="14"/>
                <w:color w:val="auto"/>
              </w:rPr>
            </w:pPr>
          </w:p>
        </w:tc>
        <w:tc>
          <w:tcPr>
            <w:tcW w:w="1160" w:type="dxa"/>
            <w:vAlign w:val="bottom"/>
            <w:tcBorders>
              <w:bottom w:val="single" w:sz="8" w:color="auto"/>
            </w:tcBorders>
          </w:tcPr>
          <w:p>
            <w:pPr>
              <w:jc w:val="center"/>
              <w:spacing w:after="0"/>
              <w:rPr>
                <w:sz w:val="20"/>
                <w:szCs w:val="20"/>
                <w:color w:val="auto"/>
              </w:rPr>
            </w:pPr>
            <w:r>
              <w:rPr>
                <w:rFonts w:ascii="Arial" w:cs="Arial" w:eastAsia="Arial" w:hAnsi="Arial"/>
                <w:sz w:val="12"/>
                <w:szCs w:val="12"/>
                <w:b w:val="1"/>
                <w:bCs w:val="1"/>
                <w:color w:val="auto"/>
                <w:w w:val="89"/>
              </w:rPr>
              <w:t>Activities</w:t>
            </w:r>
          </w:p>
        </w:tc>
        <w:tc>
          <w:tcPr>
            <w:tcW w:w="100" w:type="dxa"/>
            <w:vAlign w:val="bottom"/>
            <w:tcBorders>
              <w:bottom w:val="single" w:sz="8" w:color="CCEEFF"/>
            </w:tcBorders>
          </w:tcPr>
          <w:p>
            <w:pPr>
              <w:spacing w:after="0"/>
              <w:rPr>
                <w:sz w:val="14"/>
                <w:szCs w:val="14"/>
                <w:color w:val="auto"/>
              </w:rPr>
            </w:pPr>
          </w:p>
        </w:tc>
        <w:tc>
          <w:tcPr>
            <w:tcW w:w="1160" w:type="dxa"/>
            <w:vAlign w:val="bottom"/>
            <w:tcBorders>
              <w:bottom w:val="single" w:sz="8" w:color="auto"/>
            </w:tcBorders>
          </w:tcPr>
          <w:p>
            <w:pPr>
              <w:jc w:val="right"/>
              <w:ind w:right="379"/>
              <w:spacing w:after="0"/>
              <w:rPr>
                <w:sz w:val="20"/>
                <w:szCs w:val="20"/>
                <w:color w:val="auto"/>
              </w:rPr>
            </w:pPr>
            <w:r>
              <w:rPr>
                <w:rFonts w:ascii="Arial" w:cs="Arial" w:eastAsia="Arial" w:hAnsi="Arial"/>
                <w:sz w:val="12"/>
                <w:szCs w:val="12"/>
                <w:b w:val="1"/>
                <w:bCs w:val="1"/>
                <w:color w:val="auto"/>
              </w:rPr>
              <w:t>Total</w:t>
            </w:r>
          </w:p>
        </w:tc>
      </w:tr>
      <w:tr>
        <w:trPr>
          <w:trHeight w:val="167"/>
        </w:trPr>
        <w:tc>
          <w:tcPr>
            <w:tcW w:w="3360" w:type="dxa"/>
            <w:vAlign w:val="bottom"/>
            <w:shd w:val="clear" w:color="auto" w:fill="CCEEFF"/>
          </w:tcPr>
          <w:p>
            <w:pPr>
              <w:ind w:left="20"/>
              <w:spacing w:after="0"/>
              <w:rPr>
                <w:sz w:val="20"/>
                <w:szCs w:val="20"/>
                <w:color w:val="auto"/>
              </w:rPr>
            </w:pPr>
            <w:r>
              <w:rPr>
                <w:rFonts w:ascii="Arial" w:cs="Arial" w:eastAsia="Arial" w:hAnsi="Arial"/>
                <w:sz w:val="12"/>
                <w:szCs w:val="12"/>
                <w:color w:val="auto"/>
              </w:rPr>
              <w:t>Goodwill balance</w:t>
            </w:r>
          </w:p>
        </w:tc>
        <w:tc>
          <w:tcPr>
            <w:tcW w:w="220" w:type="dxa"/>
            <w:vAlign w:val="bottom"/>
            <w:shd w:val="clear" w:color="auto" w:fill="CCEEFF"/>
          </w:tcPr>
          <w:p>
            <w:pPr>
              <w:jc w:val="right"/>
              <w:ind w:right="79"/>
              <w:spacing w:after="0"/>
              <w:rPr>
                <w:sz w:val="20"/>
                <w:szCs w:val="20"/>
                <w:color w:val="auto"/>
              </w:rPr>
            </w:pPr>
            <w:r>
              <w:rPr>
                <w:rFonts w:ascii="Arial" w:cs="Arial" w:eastAsia="Arial" w:hAnsi="Arial"/>
                <w:sz w:val="12"/>
                <w:szCs w:val="12"/>
                <w:color w:val="auto"/>
                <w:w w:val="89"/>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2"/>
                <w:szCs w:val="12"/>
                <w:color w:val="auto"/>
              </w:rPr>
              <w:t>23,639</w:t>
            </w:r>
          </w:p>
        </w:tc>
        <w:tc>
          <w:tcPr>
            <w:tcW w:w="100" w:type="dxa"/>
            <w:vAlign w:val="bottom"/>
            <w:shd w:val="clear" w:color="auto" w:fill="CCEEFF"/>
          </w:tcPr>
          <w:p>
            <w:pPr>
              <w:spacing w:after="0"/>
              <w:rPr>
                <w:sz w:val="14"/>
                <w:szCs w:val="14"/>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2"/>
                <w:szCs w:val="12"/>
                <w:color w:val="auto"/>
              </w:rPr>
              <w:t>70,278</w:t>
            </w:r>
          </w:p>
        </w:tc>
        <w:tc>
          <w:tcPr>
            <w:tcW w:w="100" w:type="dxa"/>
            <w:vAlign w:val="bottom"/>
            <w:shd w:val="clear" w:color="auto" w:fill="CCEEFF"/>
          </w:tcPr>
          <w:p>
            <w:pPr>
              <w:spacing w:after="0"/>
              <w:rPr>
                <w:sz w:val="14"/>
                <w:szCs w:val="14"/>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12"/>
                <w:szCs w:val="12"/>
                <w:color w:val="auto"/>
              </w:rPr>
              <w:t>21,112</w:t>
            </w:r>
          </w:p>
        </w:tc>
        <w:tc>
          <w:tcPr>
            <w:tcW w:w="100" w:type="dxa"/>
            <w:vAlign w:val="bottom"/>
            <w:shd w:val="clear" w:color="auto" w:fill="CCEEFF"/>
          </w:tcPr>
          <w:p>
            <w:pPr>
              <w:spacing w:after="0"/>
              <w:rPr>
                <w:sz w:val="14"/>
                <w:szCs w:val="14"/>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2"/>
                <w:szCs w:val="12"/>
                <w:color w:val="auto"/>
              </w:rPr>
              <w:t>41,883</w:t>
            </w:r>
          </w:p>
        </w:tc>
        <w:tc>
          <w:tcPr>
            <w:tcW w:w="100" w:type="dxa"/>
            <w:vAlign w:val="bottom"/>
            <w:shd w:val="clear" w:color="auto" w:fill="CCEEFF"/>
          </w:tcPr>
          <w:p>
            <w:pPr>
              <w:spacing w:after="0"/>
              <w:rPr>
                <w:sz w:val="14"/>
                <w:szCs w:val="14"/>
                <w:color w:val="auto"/>
              </w:rPr>
            </w:pPr>
          </w:p>
        </w:tc>
        <w:tc>
          <w:tcPr>
            <w:tcW w:w="1260" w:type="dxa"/>
            <w:vAlign w:val="bottom"/>
            <w:gridSpan w:val="2"/>
            <w:shd w:val="clear" w:color="auto" w:fill="CCEEFF"/>
          </w:tcPr>
          <w:p>
            <w:pPr>
              <w:ind w:left="980"/>
              <w:spacing w:after="0"/>
              <w:rPr>
                <w:sz w:val="20"/>
                <w:szCs w:val="20"/>
                <w:color w:val="auto"/>
              </w:rPr>
            </w:pPr>
            <w:r>
              <w:rPr>
                <w:rFonts w:ascii="Arial" w:cs="Arial" w:eastAsia="Arial" w:hAnsi="Arial"/>
                <w:sz w:val="12"/>
                <w:szCs w:val="12"/>
                <w:color w:val="auto"/>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2"/>
                <w:szCs w:val="12"/>
                <w:color w:val="auto"/>
              </w:rPr>
              <w:t>156,912</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center"/>
        <w:ind w:right="-19"/>
        <w:spacing w:after="0"/>
        <w:rPr>
          <w:sz w:val="20"/>
          <w:szCs w:val="20"/>
          <w:color w:val="auto"/>
        </w:rPr>
      </w:pPr>
      <w:r>
        <w:rPr>
          <w:rFonts w:ascii="Arial" w:cs="Arial" w:eastAsia="Arial" w:hAnsi="Arial"/>
          <w:sz w:val="14"/>
          <w:szCs w:val="14"/>
          <w:color w:val="auto"/>
        </w:rPr>
        <w:t>18</w:t>
      </w:r>
    </w:p>
    <w:p>
      <w:pPr>
        <w:sectPr>
          <w:pgSz w:w="11900" w:h="16838" w:orient="portrait"/>
          <w:cols w:equalWidth="0" w:num="1">
            <w:col w:w="11460"/>
          </w:cols>
          <w:pgMar w:left="220" w:top="739" w:right="219" w:bottom="1440" w:gutter="0" w:footer="0" w:header="0"/>
          <w:type w:val="continuous"/>
        </w:sectPr>
      </w:pPr>
    </w:p>
    <w:bookmarkStart w:id="19" w:name="page20"/>
    <w:bookmarkEnd w:id="19"/>
    <w:p>
      <w:pPr>
        <w:spacing w:after="0"/>
        <w:rPr>
          <w:sz w:val="20"/>
          <w:szCs w:val="20"/>
          <w:color w:val="auto"/>
        </w:rPr>
      </w:pPr>
      <w:r>
        <w:rPr>
          <w:rFonts w:ascii="Arial" w:cs="Arial" w:eastAsia="Arial" w:hAnsi="Arial"/>
          <w:sz w:val="14"/>
          <w:szCs w:val="14"/>
          <w:b w:val="1"/>
          <w:bCs w:val="1"/>
          <w:color w:val="auto"/>
        </w:rPr>
        <w:t>8. Property and Equipment</w:t>
      </w:r>
    </w:p>
    <w:p>
      <w:pPr>
        <w:spacing w:after="0" w:line="145" w:lineRule="exact"/>
        <w:rPr>
          <w:sz w:val="20"/>
          <w:szCs w:val="20"/>
          <w:color w:val="auto"/>
        </w:rPr>
      </w:pPr>
    </w:p>
    <w:p>
      <w:pPr>
        <w:spacing w:after="0"/>
        <w:rPr>
          <w:sz w:val="20"/>
          <w:szCs w:val="20"/>
          <w:color w:val="auto"/>
        </w:rPr>
      </w:pPr>
      <w:r>
        <w:rPr>
          <w:rFonts w:ascii="Arial" w:cs="Arial" w:eastAsia="Arial" w:hAnsi="Arial"/>
          <w:sz w:val="14"/>
          <w:szCs w:val="14"/>
          <w:color w:val="auto"/>
        </w:rPr>
        <w:t>Property and equipment consisted of the following:</w:t>
      </w:r>
    </w:p>
    <w:p>
      <w:pPr>
        <w:spacing w:after="0" w:line="55" w:lineRule="exact"/>
        <w:rPr>
          <w:sz w:val="20"/>
          <w:szCs w:val="20"/>
          <w:color w:val="auto"/>
        </w:rPr>
      </w:pPr>
    </w:p>
    <w:tbl>
      <w:tblPr>
        <w:tblLayout w:type="fixed"/>
        <w:tblInd w:w="140" w:type="dxa"/>
        <w:tblCellMar>
          <w:top w:w="0" w:type="dxa"/>
          <w:left w:w="0" w:type="dxa"/>
          <w:bottom w:w="0" w:type="dxa"/>
          <w:right w:w="0" w:type="dxa"/>
        </w:tblCellMar>
      </w:tblPr>
      <w:tr>
        <w:trPr>
          <w:trHeight w:val="167"/>
        </w:trPr>
        <w:tc>
          <w:tcPr>
            <w:tcW w:w="5360" w:type="dxa"/>
            <w:vAlign w:val="bottom"/>
          </w:tcPr>
          <w:p>
            <w:pPr>
              <w:spacing w:after="0"/>
              <w:rPr>
                <w:sz w:val="14"/>
                <w:szCs w:val="14"/>
                <w:color w:val="auto"/>
              </w:rPr>
            </w:pPr>
          </w:p>
        </w:tc>
        <w:tc>
          <w:tcPr>
            <w:tcW w:w="16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760" w:type="dxa"/>
            <w:vAlign w:val="bottom"/>
            <w:gridSpan w:val="2"/>
          </w:tcPr>
          <w:p>
            <w:pPr>
              <w:jc w:val="center"/>
              <w:ind w:right="440"/>
              <w:spacing w:after="0"/>
              <w:rPr>
                <w:sz w:val="20"/>
                <w:szCs w:val="20"/>
                <w:color w:val="auto"/>
              </w:rPr>
            </w:pPr>
            <w:r>
              <w:rPr>
                <w:rFonts w:ascii="Arial" w:cs="Arial" w:eastAsia="Arial" w:hAnsi="Arial"/>
                <w:sz w:val="13"/>
                <w:szCs w:val="13"/>
                <w:b w:val="1"/>
                <w:bCs w:val="1"/>
                <w:color w:val="auto"/>
                <w:w w:val="86"/>
              </w:rPr>
              <w:t>As of</w:t>
            </w:r>
          </w:p>
        </w:tc>
        <w:tc>
          <w:tcPr>
            <w:tcW w:w="2020" w:type="dxa"/>
            <w:vAlign w:val="bottom"/>
          </w:tcPr>
          <w:p>
            <w:pPr>
              <w:jc w:val="right"/>
              <w:ind w:right="815"/>
              <w:spacing w:after="0"/>
              <w:rPr>
                <w:sz w:val="20"/>
                <w:szCs w:val="20"/>
                <w:color w:val="auto"/>
              </w:rPr>
            </w:pPr>
            <w:r>
              <w:rPr>
                <w:rFonts w:ascii="Arial" w:cs="Arial" w:eastAsia="Arial" w:hAnsi="Arial"/>
                <w:sz w:val="13"/>
                <w:szCs w:val="13"/>
                <w:b w:val="1"/>
                <w:bCs w:val="1"/>
                <w:color w:val="auto"/>
              </w:rPr>
              <w:t>As of</w:t>
            </w:r>
          </w:p>
        </w:tc>
      </w:tr>
      <w:tr>
        <w:trPr>
          <w:trHeight w:val="205"/>
        </w:trPr>
        <w:tc>
          <w:tcPr>
            <w:tcW w:w="5360" w:type="dxa"/>
            <w:vAlign w:val="bottom"/>
          </w:tcPr>
          <w:p>
            <w:pPr>
              <w:spacing w:after="0"/>
              <w:rPr>
                <w:sz w:val="17"/>
                <w:szCs w:val="17"/>
                <w:color w:val="auto"/>
              </w:rPr>
            </w:pPr>
          </w:p>
        </w:tc>
        <w:tc>
          <w:tcPr>
            <w:tcW w:w="1720" w:type="dxa"/>
            <w:vAlign w:val="bottom"/>
            <w:gridSpan w:val="2"/>
          </w:tcPr>
          <w:p>
            <w:pPr>
              <w:jc w:val="center"/>
              <w:ind w:right="80"/>
              <w:spacing w:after="0"/>
              <w:rPr>
                <w:sz w:val="20"/>
                <w:szCs w:val="20"/>
                <w:color w:val="auto"/>
              </w:rPr>
            </w:pPr>
            <w:r>
              <w:rPr>
                <w:rFonts w:ascii="Arial" w:cs="Arial" w:eastAsia="Arial" w:hAnsi="Arial"/>
                <w:sz w:val="13"/>
                <w:szCs w:val="13"/>
                <w:b w:val="1"/>
                <w:bCs w:val="1"/>
                <w:color w:val="auto"/>
                <w:w w:val="90"/>
              </w:rPr>
              <w:t>Useful life</w:t>
            </w:r>
          </w:p>
        </w:tc>
        <w:tc>
          <w:tcPr>
            <w:tcW w:w="340" w:type="dxa"/>
            <w:vAlign w:val="bottom"/>
          </w:tcPr>
          <w:p>
            <w:pPr>
              <w:spacing w:after="0"/>
              <w:rPr>
                <w:sz w:val="17"/>
                <w:szCs w:val="17"/>
                <w:color w:val="auto"/>
              </w:rPr>
            </w:pPr>
          </w:p>
        </w:tc>
        <w:tc>
          <w:tcPr>
            <w:tcW w:w="1760" w:type="dxa"/>
            <w:vAlign w:val="bottom"/>
            <w:gridSpan w:val="2"/>
          </w:tcPr>
          <w:p>
            <w:pPr>
              <w:jc w:val="center"/>
              <w:ind w:right="420"/>
              <w:spacing w:after="0"/>
              <w:rPr>
                <w:sz w:val="20"/>
                <w:szCs w:val="20"/>
                <w:color w:val="auto"/>
              </w:rPr>
            </w:pPr>
            <w:r>
              <w:rPr>
                <w:rFonts w:ascii="Arial" w:cs="Arial" w:eastAsia="Arial" w:hAnsi="Arial"/>
                <w:sz w:val="13"/>
                <w:szCs w:val="13"/>
                <w:b w:val="1"/>
                <w:bCs w:val="1"/>
                <w:color w:val="auto"/>
                <w:w w:val="92"/>
              </w:rPr>
              <w:t>March 31, 2019</w:t>
            </w:r>
          </w:p>
        </w:tc>
        <w:tc>
          <w:tcPr>
            <w:tcW w:w="2020" w:type="dxa"/>
            <w:vAlign w:val="bottom"/>
          </w:tcPr>
          <w:p>
            <w:pPr>
              <w:jc w:val="right"/>
              <w:ind w:right="435"/>
              <w:spacing w:after="0"/>
              <w:rPr>
                <w:sz w:val="20"/>
                <w:szCs w:val="20"/>
                <w:color w:val="auto"/>
              </w:rPr>
            </w:pPr>
            <w:r>
              <w:rPr>
                <w:rFonts w:ascii="Arial" w:cs="Arial" w:eastAsia="Arial" w:hAnsi="Arial"/>
                <w:sz w:val="13"/>
                <w:szCs w:val="13"/>
                <w:b w:val="1"/>
                <w:bCs w:val="1"/>
                <w:color w:val="auto"/>
              </w:rPr>
              <w:t>December 31, 2018</w:t>
            </w:r>
          </w:p>
        </w:tc>
      </w:tr>
      <w:tr>
        <w:trPr>
          <w:trHeight w:val="27"/>
        </w:trPr>
        <w:tc>
          <w:tcPr>
            <w:tcW w:w="5360" w:type="dxa"/>
            <w:vAlign w:val="bottom"/>
            <w:tcBorders>
              <w:bottom w:val="single" w:sz="8" w:color="CCEEFF"/>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20" w:type="dxa"/>
            <w:vAlign w:val="bottom"/>
            <w:tcBorders>
              <w:bottom w:val="single" w:sz="8" w:color="auto"/>
            </w:tcBorders>
          </w:tcPr>
          <w:p>
            <w:pPr>
              <w:spacing w:after="0"/>
              <w:rPr>
                <w:sz w:val="2"/>
                <w:szCs w:val="2"/>
                <w:color w:val="auto"/>
              </w:rPr>
            </w:pPr>
          </w:p>
        </w:tc>
      </w:tr>
      <w:tr>
        <w:trPr>
          <w:trHeight w:val="165"/>
        </w:trPr>
        <w:tc>
          <w:tcPr>
            <w:tcW w:w="53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b w:val="1"/>
                <w:bCs w:val="1"/>
                <w:color w:val="auto"/>
              </w:rPr>
              <w:t>Non-communications:</w:t>
            </w:r>
          </w:p>
        </w:tc>
        <w:tc>
          <w:tcPr>
            <w:tcW w:w="1620" w:type="dxa"/>
            <w:vAlign w:val="bottom"/>
            <w:tcBorders>
              <w:bottom w:val="single" w:sz="8" w:color="CCEEFF"/>
            </w:tcBorders>
            <w:shd w:val="clear" w:color="auto" w:fill="CCEEFF"/>
          </w:tcPr>
          <w:p>
            <w:pPr>
              <w:spacing w:after="0"/>
              <w:rPr>
                <w:sz w:val="14"/>
                <w:szCs w:val="14"/>
                <w:color w:val="auto"/>
              </w:rPr>
            </w:pPr>
          </w:p>
        </w:tc>
        <w:tc>
          <w:tcPr>
            <w:tcW w:w="100" w:type="dxa"/>
            <w:vAlign w:val="bottom"/>
            <w:tcBorders>
              <w:bottom w:val="single" w:sz="8" w:color="CCEEFF"/>
            </w:tcBorders>
            <w:shd w:val="clear" w:color="auto" w:fill="CCEEFF"/>
          </w:tcPr>
          <w:p>
            <w:pPr>
              <w:spacing w:after="0"/>
              <w:rPr>
                <w:sz w:val="14"/>
                <w:szCs w:val="14"/>
                <w:color w:val="auto"/>
              </w:rPr>
            </w:pPr>
          </w:p>
        </w:tc>
        <w:tc>
          <w:tcPr>
            <w:tcW w:w="340" w:type="dxa"/>
            <w:vAlign w:val="bottom"/>
            <w:tcBorders>
              <w:bottom w:val="single" w:sz="8" w:color="CCEEFF"/>
            </w:tcBorders>
            <w:shd w:val="clear" w:color="auto" w:fill="CCEEFF"/>
          </w:tcPr>
          <w:p>
            <w:pPr>
              <w:spacing w:after="0"/>
              <w:rPr>
                <w:sz w:val="14"/>
                <w:szCs w:val="14"/>
                <w:color w:val="auto"/>
              </w:rPr>
            </w:pPr>
          </w:p>
        </w:tc>
        <w:tc>
          <w:tcPr>
            <w:tcW w:w="1660" w:type="dxa"/>
            <w:vAlign w:val="bottom"/>
            <w:tcBorders>
              <w:bottom w:val="single" w:sz="8" w:color="CCEEFF"/>
            </w:tcBorders>
            <w:shd w:val="clear" w:color="auto" w:fill="CCEEFF"/>
          </w:tcPr>
          <w:p>
            <w:pPr>
              <w:spacing w:after="0"/>
              <w:rPr>
                <w:sz w:val="14"/>
                <w:szCs w:val="14"/>
                <w:color w:val="auto"/>
              </w:rPr>
            </w:pPr>
          </w:p>
        </w:tc>
        <w:tc>
          <w:tcPr>
            <w:tcW w:w="100" w:type="dxa"/>
            <w:vAlign w:val="bottom"/>
            <w:tcBorders>
              <w:bottom w:val="single" w:sz="8" w:color="CCEEFF"/>
            </w:tcBorders>
            <w:shd w:val="clear" w:color="auto" w:fill="CCEEFF"/>
          </w:tcPr>
          <w:p>
            <w:pPr>
              <w:spacing w:after="0"/>
              <w:rPr>
                <w:sz w:val="14"/>
                <w:szCs w:val="14"/>
                <w:color w:val="auto"/>
              </w:rPr>
            </w:pPr>
          </w:p>
        </w:tc>
        <w:tc>
          <w:tcPr>
            <w:tcW w:w="2020" w:type="dxa"/>
            <w:vAlign w:val="bottom"/>
            <w:tcBorders>
              <w:bottom w:val="single" w:sz="8" w:color="CCEEFF"/>
            </w:tcBorders>
            <w:shd w:val="clear" w:color="auto" w:fill="CCEEFF"/>
          </w:tcPr>
          <w:p>
            <w:pPr>
              <w:spacing w:after="0"/>
              <w:rPr>
                <w:sz w:val="14"/>
                <w:szCs w:val="14"/>
                <w:color w:val="auto"/>
              </w:rPr>
            </w:pPr>
          </w:p>
        </w:tc>
      </w:tr>
      <w:tr>
        <w:trPr>
          <w:trHeight w:val="178"/>
        </w:trPr>
        <w:tc>
          <w:tcPr>
            <w:tcW w:w="5360" w:type="dxa"/>
            <w:vAlign w:val="bottom"/>
          </w:tcPr>
          <w:p>
            <w:pPr>
              <w:ind w:left="80"/>
              <w:spacing w:after="0"/>
              <w:rPr>
                <w:sz w:val="20"/>
                <w:szCs w:val="20"/>
                <w:color w:val="auto"/>
              </w:rPr>
            </w:pPr>
            <w:r>
              <w:rPr>
                <w:rFonts w:ascii="Arial" w:cs="Arial" w:eastAsia="Arial" w:hAnsi="Arial"/>
                <w:sz w:val="13"/>
                <w:szCs w:val="13"/>
                <w:color w:val="auto"/>
              </w:rPr>
              <w:t>Computer equipment and software</w:t>
            </w:r>
          </w:p>
        </w:tc>
        <w:tc>
          <w:tcPr>
            <w:tcW w:w="1720" w:type="dxa"/>
            <w:vAlign w:val="bottom"/>
            <w:gridSpan w:val="2"/>
          </w:tcPr>
          <w:p>
            <w:pPr>
              <w:jc w:val="center"/>
              <w:ind w:right="80"/>
              <w:spacing w:after="0"/>
              <w:rPr>
                <w:sz w:val="20"/>
                <w:szCs w:val="20"/>
                <w:color w:val="auto"/>
              </w:rPr>
            </w:pPr>
            <w:r>
              <w:rPr>
                <w:rFonts w:ascii="Arial" w:cs="Arial" w:eastAsia="Arial" w:hAnsi="Arial"/>
                <w:sz w:val="13"/>
                <w:szCs w:val="13"/>
                <w:color w:val="auto"/>
                <w:w w:val="88"/>
              </w:rPr>
              <w:t>1-5 years</w:t>
            </w:r>
          </w:p>
        </w:tc>
        <w:tc>
          <w:tcPr>
            <w:tcW w:w="340" w:type="dxa"/>
            <w:vAlign w:val="bottom"/>
          </w:tcPr>
          <w:p>
            <w:pPr>
              <w:jc w:val="right"/>
              <w:ind w:right="195"/>
              <w:spacing w:after="0"/>
              <w:rPr>
                <w:sz w:val="20"/>
                <w:szCs w:val="20"/>
                <w:color w:val="auto"/>
              </w:rPr>
            </w:pPr>
            <w:r>
              <w:rPr>
                <w:rFonts w:ascii="Arial" w:cs="Arial" w:eastAsia="Arial" w:hAnsi="Arial"/>
                <w:sz w:val="13"/>
                <w:szCs w:val="13"/>
                <w:color w:val="auto"/>
                <w:w w:val="82"/>
              </w:rPr>
              <w:t>$</w:t>
            </w:r>
          </w:p>
        </w:tc>
        <w:tc>
          <w:tcPr>
            <w:tcW w:w="1660" w:type="dxa"/>
            <w:vAlign w:val="bottom"/>
          </w:tcPr>
          <w:p>
            <w:pPr>
              <w:jc w:val="right"/>
              <w:spacing w:after="0"/>
              <w:rPr>
                <w:sz w:val="20"/>
                <w:szCs w:val="20"/>
                <w:color w:val="auto"/>
              </w:rPr>
            </w:pPr>
            <w:r>
              <w:rPr>
                <w:rFonts w:ascii="Arial" w:cs="Arial" w:eastAsia="Arial" w:hAnsi="Arial"/>
                <w:sz w:val="13"/>
                <w:szCs w:val="13"/>
                <w:color w:val="auto"/>
              </w:rPr>
              <w:t>145,600</w:t>
            </w:r>
          </w:p>
        </w:tc>
        <w:tc>
          <w:tcPr>
            <w:tcW w:w="100" w:type="dxa"/>
            <w:vAlign w:val="bottom"/>
          </w:tcPr>
          <w:p>
            <w:pPr>
              <w:spacing w:after="0"/>
              <w:rPr>
                <w:sz w:val="15"/>
                <w:szCs w:val="15"/>
                <w:color w:val="auto"/>
              </w:rPr>
            </w:pPr>
          </w:p>
        </w:tc>
        <w:tc>
          <w:tcPr>
            <w:tcW w:w="2020" w:type="dxa"/>
            <w:vAlign w:val="bottom"/>
          </w:tcPr>
          <w:p>
            <w:pPr>
              <w:jc w:val="right"/>
              <w:spacing w:after="0"/>
              <w:rPr>
                <w:sz w:val="20"/>
                <w:szCs w:val="20"/>
                <w:color w:val="auto"/>
              </w:rPr>
            </w:pPr>
            <w:r>
              <w:rPr>
                <w:rFonts w:ascii="Arial" w:cs="Arial" w:eastAsia="Arial" w:hAnsi="Arial"/>
                <w:sz w:val="13"/>
                <w:szCs w:val="13"/>
                <w:color w:val="auto"/>
              </w:rPr>
              <w:t>137,705</w:t>
            </w:r>
          </w:p>
        </w:tc>
      </w:tr>
      <w:tr>
        <w:trPr>
          <w:trHeight w:val="27"/>
        </w:trPr>
        <w:tc>
          <w:tcPr>
            <w:tcW w:w="53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20" w:type="dxa"/>
            <w:vAlign w:val="bottom"/>
          </w:tcPr>
          <w:p>
            <w:pPr>
              <w:spacing w:after="0"/>
              <w:rPr>
                <w:sz w:val="2"/>
                <w:szCs w:val="2"/>
                <w:color w:val="auto"/>
              </w:rPr>
            </w:pPr>
          </w:p>
        </w:tc>
      </w:tr>
      <w:tr>
        <w:trPr>
          <w:trHeight w:val="185"/>
        </w:trPr>
        <w:tc>
          <w:tcPr>
            <w:tcW w:w="5360" w:type="dxa"/>
            <w:vAlign w:val="bottom"/>
            <w:tcBorders>
              <w:bottom w:val="single" w:sz="8" w:color="CCEEFF"/>
            </w:tcBorders>
            <w:shd w:val="clear" w:color="auto" w:fill="CCEEFF"/>
          </w:tcPr>
          <w:p>
            <w:pPr>
              <w:ind w:left="80"/>
              <w:spacing w:after="0"/>
              <w:rPr>
                <w:sz w:val="20"/>
                <w:szCs w:val="20"/>
                <w:color w:val="auto"/>
              </w:rPr>
            </w:pPr>
            <w:r>
              <w:rPr>
                <w:rFonts w:ascii="Arial" w:cs="Arial" w:eastAsia="Arial" w:hAnsi="Arial"/>
                <w:sz w:val="13"/>
                <w:szCs w:val="13"/>
                <w:color w:val="auto"/>
              </w:rPr>
              <w:t>Building and building improvements</w:t>
            </w:r>
          </w:p>
        </w:tc>
        <w:tc>
          <w:tcPr>
            <w:tcW w:w="172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Arial" w:cs="Arial" w:eastAsia="Arial" w:hAnsi="Arial"/>
                <w:sz w:val="13"/>
                <w:szCs w:val="13"/>
                <w:color w:val="auto"/>
                <w:w w:val="87"/>
              </w:rPr>
              <w:t>5-48 years</w:t>
            </w:r>
          </w:p>
        </w:tc>
        <w:tc>
          <w:tcPr>
            <w:tcW w:w="340" w:type="dxa"/>
            <w:vAlign w:val="bottom"/>
            <w:tcBorders>
              <w:bottom w:val="single" w:sz="8" w:color="CCEEFF"/>
            </w:tcBorders>
            <w:shd w:val="clear" w:color="auto" w:fill="CCEEFF"/>
          </w:tcPr>
          <w:p>
            <w:pPr>
              <w:spacing w:after="0"/>
              <w:rPr>
                <w:sz w:val="16"/>
                <w:szCs w:val="16"/>
                <w:color w:val="auto"/>
              </w:rPr>
            </w:pP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37,526</w:t>
            </w:r>
          </w:p>
        </w:tc>
        <w:tc>
          <w:tcPr>
            <w:tcW w:w="100" w:type="dxa"/>
            <w:vAlign w:val="bottom"/>
            <w:tcBorders>
              <w:bottom w:val="single" w:sz="8" w:color="CCEEFF"/>
            </w:tcBorders>
            <w:shd w:val="clear" w:color="auto" w:fill="CCEEFF"/>
          </w:tcPr>
          <w:p>
            <w:pPr>
              <w:spacing w:after="0"/>
              <w:rPr>
                <w:sz w:val="16"/>
                <w:szCs w:val="16"/>
                <w:color w:val="auto"/>
              </w:rPr>
            </w:pPr>
          </w:p>
        </w:tc>
        <w:tc>
          <w:tcPr>
            <w:tcW w:w="2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50,138</w:t>
            </w:r>
          </w:p>
        </w:tc>
      </w:tr>
      <w:tr>
        <w:trPr>
          <w:trHeight w:val="178"/>
        </w:trPr>
        <w:tc>
          <w:tcPr>
            <w:tcW w:w="5360" w:type="dxa"/>
            <w:vAlign w:val="bottom"/>
          </w:tcPr>
          <w:p>
            <w:pPr>
              <w:ind w:left="80"/>
              <w:spacing w:after="0"/>
              <w:rPr>
                <w:sz w:val="20"/>
                <w:szCs w:val="20"/>
                <w:color w:val="auto"/>
              </w:rPr>
            </w:pPr>
            <w:r>
              <w:rPr>
                <w:rFonts w:ascii="Arial" w:cs="Arial" w:eastAsia="Arial" w:hAnsi="Arial"/>
                <w:sz w:val="13"/>
                <w:szCs w:val="13"/>
                <w:color w:val="auto"/>
              </w:rPr>
              <w:t>Office furniture and equipment</w:t>
            </w:r>
          </w:p>
        </w:tc>
        <w:tc>
          <w:tcPr>
            <w:tcW w:w="1720" w:type="dxa"/>
            <w:vAlign w:val="bottom"/>
            <w:gridSpan w:val="2"/>
          </w:tcPr>
          <w:p>
            <w:pPr>
              <w:jc w:val="center"/>
              <w:ind w:right="100"/>
              <w:spacing w:after="0"/>
              <w:rPr>
                <w:sz w:val="20"/>
                <w:szCs w:val="20"/>
                <w:color w:val="auto"/>
              </w:rPr>
            </w:pPr>
            <w:r>
              <w:rPr>
                <w:rFonts w:ascii="Arial" w:cs="Arial" w:eastAsia="Arial" w:hAnsi="Arial"/>
                <w:sz w:val="13"/>
                <w:szCs w:val="13"/>
                <w:color w:val="auto"/>
                <w:w w:val="87"/>
              </w:rPr>
              <w:t>1-10 years</w:t>
            </w:r>
          </w:p>
        </w:tc>
        <w:tc>
          <w:tcPr>
            <w:tcW w:w="340" w:type="dxa"/>
            <w:vAlign w:val="bottom"/>
          </w:tcPr>
          <w:p>
            <w:pPr>
              <w:spacing w:after="0"/>
              <w:rPr>
                <w:sz w:val="15"/>
                <w:szCs w:val="15"/>
                <w:color w:val="auto"/>
              </w:rPr>
            </w:pPr>
          </w:p>
        </w:tc>
        <w:tc>
          <w:tcPr>
            <w:tcW w:w="1660" w:type="dxa"/>
            <w:vAlign w:val="bottom"/>
          </w:tcPr>
          <w:p>
            <w:pPr>
              <w:jc w:val="right"/>
              <w:spacing w:after="0"/>
              <w:rPr>
                <w:sz w:val="20"/>
                <w:szCs w:val="20"/>
                <w:color w:val="auto"/>
              </w:rPr>
            </w:pPr>
            <w:r>
              <w:rPr>
                <w:rFonts w:ascii="Arial" w:cs="Arial" w:eastAsia="Arial" w:hAnsi="Arial"/>
                <w:sz w:val="13"/>
                <w:szCs w:val="13"/>
                <w:color w:val="auto"/>
              </w:rPr>
              <w:t>23,169</w:t>
            </w:r>
          </w:p>
        </w:tc>
        <w:tc>
          <w:tcPr>
            <w:tcW w:w="100" w:type="dxa"/>
            <w:vAlign w:val="bottom"/>
          </w:tcPr>
          <w:p>
            <w:pPr>
              <w:spacing w:after="0"/>
              <w:rPr>
                <w:sz w:val="15"/>
                <w:szCs w:val="15"/>
                <w:color w:val="auto"/>
              </w:rPr>
            </w:pPr>
          </w:p>
        </w:tc>
        <w:tc>
          <w:tcPr>
            <w:tcW w:w="2020" w:type="dxa"/>
            <w:vAlign w:val="bottom"/>
          </w:tcPr>
          <w:p>
            <w:pPr>
              <w:jc w:val="right"/>
              <w:spacing w:after="0"/>
              <w:rPr>
                <w:sz w:val="20"/>
                <w:szCs w:val="20"/>
                <w:color w:val="auto"/>
              </w:rPr>
            </w:pPr>
            <w:r>
              <w:rPr>
                <w:rFonts w:ascii="Arial" w:cs="Arial" w:eastAsia="Arial" w:hAnsi="Arial"/>
                <w:sz w:val="13"/>
                <w:szCs w:val="13"/>
                <w:color w:val="auto"/>
              </w:rPr>
              <w:t>22,796</w:t>
            </w:r>
          </w:p>
        </w:tc>
      </w:tr>
      <w:tr>
        <w:trPr>
          <w:trHeight w:val="27"/>
        </w:trPr>
        <w:tc>
          <w:tcPr>
            <w:tcW w:w="53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20" w:type="dxa"/>
            <w:vAlign w:val="bottom"/>
          </w:tcPr>
          <w:p>
            <w:pPr>
              <w:spacing w:after="0"/>
              <w:rPr>
                <w:sz w:val="2"/>
                <w:szCs w:val="2"/>
                <w:color w:val="auto"/>
              </w:rPr>
            </w:pPr>
          </w:p>
        </w:tc>
      </w:tr>
      <w:tr>
        <w:trPr>
          <w:trHeight w:val="185"/>
        </w:trPr>
        <w:tc>
          <w:tcPr>
            <w:tcW w:w="5360" w:type="dxa"/>
            <w:vAlign w:val="bottom"/>
            <w:tcBorders>
              <w:bottom w:val="single" w:sz="8" w:color="CCEEFF"/>
            </w:tcBorders>
            <w:shd w:val="clear" w:color="auto" w:fill="CCEEFF"/>
          </w:tcPr>
          <w:p>
            <w:pPr>
              <w:ind w:left="80"/>
              <w:spacing w:after="0"/>
              <w:rPr>
                <w:sz w:val="20"/>
                <w:szCs w:val="20"/>
                <w:color w:val="auto"/>
              </w:rPr>
            </w:pPr>
            <w:r>
              <w:rPr>
                <w:rFonts w:ascii="Arial" w:cs="Arial" w:eastAsia="Arial" w:hAnsi="Arial"/>
                <w:sz w:val="13"/>
                <w:szCs w:val="13"/>
                <w:color w:val="auto"/>
              </w:rPr>
              <w:t>Leasehold improvements</w:t>
            </w:r>
          </w:p>
        </w:tc>
        <w:tc>
          <w:tcPr>
            <w:tcW w:w="172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Arial" w:cs="Arial" w:eastAsia="Arial" w:hAnsi="Arial"/>
                <w:sz w:val="13"/>
                <w:szCs w:val="13"/>
                <w:color w:val="auto"/>
                <w:w w:val="87"/>
              </w:rPr>
              <w:t>1-15 years</w:t>
            </w:r>
          </w:p>
        </w:tc>
        <w:tc>
          <w:tcPr>
            <w:tcW w:w="340" w:type="dxa"/>
            <w:vAlign w:val="bottom"/>
            <w:tcBorders>
              <w:bottom w:val="single" w:sz="8" w:color="CCEEFF"/>
            </w:tcBorders>
            <w:shd w:val="clear" w:color="auto" w:fill="CCEEFF"/>
          </w:tcPr>
          <w:p>
            <w:pPr>
              <w:spacing w:after="0"/>
              <w:rPr>
                <w:sz w:val="16"/>
                <w:szCs w:val="16"/>
                <w:color w:val="auto"/>
              </w:rPr>
            </w:pP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8,844</w:t>
            </w:r>
          </w:p>
        </w:tc>
        <w:tc>
          <w:tcPr>
            <w:tcW w:w="100" w:type="dxa"/>
            <w:vAlign w:val="bottom"/>
            <w:tcBorders>
              <w:bottom w:val="single" w:sz="8" w:color="CCEEFF"/>
            </w:tcBorders>
            <w:shd w:val="clear" w:color="auto" w:fill="CCEEFF"/>
          </w:tcPr>
          <w:p>
            <w:pPr>
              <w:spacing w:after="0"/>
              <w:rPr>
                <w:sz w:val="16"/>
                <w:szCs w:val="16"/>
                <w:color w:val="auto"/>
              </w:rPr>
            </w:pPr>
          </w:p>
        </w:tc>
        <w:tc>
          <w:tcPr>
            <w:tcW w:w="2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9,327</w:t>
            </w:r>
          </w:p>
        </w:tc>
      </w:tr>
      <w:tr>
        <w:trPr>
          <w:trHeight w:val="178"/>
        </w:trPr>
        <w:tc>
          <w:tcPr>
            <w:tcW w:w="5360" w:type="dxa"/>
            <w:vAlign w:val="bottom"/>
          </w:tcPr>
          <w:p>
            <w:pPr>
              <w:ind w:left="80"/>
              <w:spacing w:after="0"/>
              <w:rPr>
                <w:sz w:val="20"/>
                <w:szCs w:val="20"/>
                <w:color w:val="auto"/>
              </w:rPr>
            </w:pPr>
            <w:r>
              <w:rPr>
                <w:rFonts w:ascii="Arial" w:cs="Arial" w:eastAsia="Arial" w:hAnsi="Arial"/>
                <w:sz w:val="13"/>
                <w:szCs w:val="13"/>
                <w:color w:val="auto"/>
              </w:rPr>
              <w:t>Transportation equipment</w:t>
            </w:r>
          </w:p>
        </w:tc>
        <w:tc>
          <w:tcPr>
            <w:tcW w:w="1720" w:type="dxa"/>
            <w:vAlign w:val="bottom"/>
            <w:gridSpan w:val="2"/>
          </w:tcPr>
          <w:p>
            <w:pPr>
              <w:jc w:val="center"/>
              <w:ind w:right="100"/>
              <w:spacing w:after="0"/>
              <w:rPr>
                <w:sz w:val="20"/>
                <w:szCs w:val="20"/>
                <w:color w:val="auto"/>
              </w:rPr>
            </w:pPr>
            <w:r>
              <w:rPr>
                <w:rFonts w:ascii="Arial" w:cs="Arial" w:eastAsia="Arial" w:hAnsi="Arial"/>
                <w:sz w:val="13"/>
                <w:szCs w:val="13"/>
                <w:color w:val="auto"/>
                <w:w w:val="87"/>
              </w:rPr>
              <w:t>5-10 years</w:t>
            </w:r>
          </w:p>
        </w:tc>
        <w:tc>
          <w:tcPr>
            <w:tcW w:w="340" w:type="dxa"/>
            <w:vAlign w:val="bottom"/>
          </w:tcPr>
          <w:p>
            <w:pPr>
              <w:spacing w:after="0"/>
              <w:rPr>
                <w:sz w:val="15"/>
                <w:szCs w:val="15"/>
                <w:color w:val="auto"/>
              </w:rPr>
            </w:pPr>
          </w:p>
        </w:tc>
        <w:tc>
          <w:tcPr>
            <w:tcW w:w="1660" w:type="dxa"/>
            <w:vAlign w:val="bottom"/>
          </w:tcPr>
          <w:p>
            <w:pPr>
              <w:jc w:val="right"/>
              <w:spacing w:after="0"/>
              <w:rPr>
                <w:sz w:val="20"/>
                <w:szCs w:val="20"/>
                <w:color w:val="auto"/>
              </w:rPr>
            </w:pPr>
            <w:r>
              <w:rPr>
                <w:rFonts w:ascii="Arial" w:cs="Arial" w:eastAsia="Arial" w:hAnsi="Arial"/>
                <w:sz w:val="13"/>
                <w:szCs w:val="13"/>
                <w:color w:val="auto"/>
              </w:rPr>
              <w:t>5,067</w:t>
            </w:r>
          </w:p>
        </w:tc>
        <w:tc>
          <w:tcPr>
            <w:tcW w:w="100" w:type="dxa"/>
            <w:vAlign w:val="bottom"/>
          </w:tcPr>
          <w:p>
            <w:pPr>
              <w:spacing w:after="0"/>
              <w:rPr>
                <w:sz w:val="15"/>
                <w:szCs w:val="15"/>
                <w:color w:val="auto"/>
              </w:rPr>
            </w:pPr>
          </w:p>
        </w:tc>
        <w:tc>
          <w:tcPr>
            <w:tcW w:w="2020" w:type="dxa"/>
            <w:vAlign w:val="bottom"/>
          </w:tcPr>
          <w:p>
            <w:pPr>
              <w:jc w:val="right"/>
              <w:spacing w:after="0"/>
              <w:rPr>
                <w:sz w:val="20"/>
                <w:szCs w:val="20"/>
                <w:color w:val="auto"/>
              </w:rPr>
            </w:pPr>
            <w:r>
              <w:rPr>
                <w:rFonts w:ascii="Arial" w:cs="Arial" w:eastAsia="Arial" w:hAnsi="Arial"/>
                <w:sz w:val="13"/>
                <w:szCs w:val="13"/>
                <w:color w:val="auto"/>
              </w:rPr>
              <w:t>5,123</w:t>
            </w:r>
          </w:p>
        </w:tc>
      </w:tr>
      <w:tr>
        <w:trPr>
          <w:trHeight w:val="27"/>
        </w:trPr>
        <w:tc>
          <w:tcPr>
            <w:tcW w:w="53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20" w:type="dxa"/>
            <w:vAlign w:val="bottom"/>
          </w:tcPr>
          <w:p>
            <w:pPr>
              <w:spacing w:after="0"/>
              <w:rPr>
                <w:sz w:val="2"/>
                <w:szCs w:val="2"/>
                <w:color w:val="auto"/>
              </w:rPr>
            </w:pPr>
          </w:p>
        </w:tc>
      </w:tr>
      <w:tr>
        <w:trPr>
          <w:trHeight w:val="185"/>
        </w:trPr>
        <w:tc>
          <w:tcPr>
            <w:tcW w:w="5360" w:type="dxa"/>
            <w:vAlign w:val="bottom"/>
            <w:tcBorders>
              <w:bottom w:val="single" w:sz="8" w:color="CCEEFF"/>
            </w:tcBorders>
            <w:shd w:val="clear" w:color="auto" w:fill="CCEEFF"/>
          </w:tcPr>
          <w:p>
            <w:pPr>
              <w:ind w:left="80"/>
              <w:spacing w:after="0"/>
              <w:rPr>
                <w:sz w:val="20"/>
                <w:szCs w:val="20"/>
                <w:color w:val="auto"/>
              </w:rPr>
            </w:pPr>
            <w:r>
              <w:rPr>
                <w:rFonts w:ascii="Arial" w:cs="Arial" w:eastAsia="Arial" w:hAnsi="Arial"/>
                <w:sz w:val="13"/>
                <w:szCs w:val="13"/>
                <w:color w:val="auto"/>
              </w:rPr>
              <w:t>Land</w:t>
            </w:r>
          </w:p>
        </w:tc>
        <w:tc>
          <w:tcPr>
            <w:tcW w:w="172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3"/>
                <w:szCs w:val="13"/>
                <w:color w:val="auto"/>
                <w:w w:val="91"/>
              </w:rPr>
              <w:t>—</w:t>
            </w:r>
          </w:p>
        </w:tc>
        <w:tc>
          <w:tcPr>
            <w:tcW w:w="340" w:type="dxa"/>
            <w:vAlign w:val="bottom"/>
            <w:tcBorders>
              <w:bottom w:val="single" w:sz="8" w:color="CCEEFF"/>
            </w:tcBorders>
            <w:shd w:val="clear" w:color="auto" w:fill="CCEEFF"/>
          </w:tcPr>
          <w:p>
            <w:pPr>
              <w:spacing w:after="0"/>
              <w:rPr>
                <w:sz w:val="16"/>
                <w:szCs w:val="16"/>
                <w:color w:val="auto"/>
              </w:rPr>
            </w:pP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1,400</w:t>
            </w:r>
          </w:p>
        </w:tc>
        <w:tc>
          <w:tcPr>
            <w:tcW w:w="100" w:type="dxa"/>
            <w:vAlign w:val="bottom"/>
            <w:tcBorders>
              <w:bottom w:val="single" w:sz="8" w:color="CCEEFF"/>
            </w:tcBorders>
            <w:shd w:val="clear" w:color="auto" w:fill="CCEEFF"/>
          </w:tcPr>
          <w:p>
            <w:pPr>
              <w:spacing w:after="0"/>
              <w:rPr>
                <w:sz w:val="16"/>
                <w:szCs w:val="16"/>
                <w:color w:val="auto"/>
              </w:rPr>
            </w:pPr>
          </w:p>
        </w:tc>
        <w:tc>
          <w:tcPr>
            <w:tcW w:w="2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3,328</w:t>
            </w:r>
          </w:p>
        </w:tc>
      </w:tr>
      <w:tr>
        <w:trPr>
          <w:trHeight w:val="178"/>
        </w:trPr>
        <w:tc>
          <w:tcPr>
            <w:tcW w:w="5360" w:type="dxa"/>
            <w:vAlign w:val="bottom"/>
          </w:tcPr>
          <w:p>
            <w:pPr>
              <w:ind w:left="80"/>
              <w:spacing w:after="0"/>
              <w:rPr>
                <w:sz w:val="20"/>
                <w:szCs w:val="20"/>
                <w:color w:val="auto"/>
              </w:rPr>
            </w:pPr>
            <w:r>
              <w:rPr>
                <w:rFonts w:ascii="Arial" w:cs="Arial" w:eastAsia="Arial" w:hAnsi="Arial"/>
                <w:sz w:val="13"/>
                <w:szCs w:val="13"/>
                <w:color w:val="auto"/>
              </w:rPr>
              <w:t>Construction in progress</w:t>
            </w:r>
          </w:p>
        </w:tc>
        <w:tc>
          <w:tcPr>
            <w:tcW w:w="1720" w:type="dxa"/>
            <w:vAlign w:val="bottom"/>
            <w:gridSpan w:val="2"/>
          </w:tcPr>
          <w:p>
            <w:pPr>
              <w:jc w:val="center"/>
              <w:ind w:right="120"/>
              <w:spacing w:after="0"/>
              <w:rPr>
                <w:sz w:val="20"/>
                <w:szCs w:val="20"/>
                <w:color w:val="auto"/>
              </w:rPr>
            </w:pPr>
            <w:r>
              <w:rPr>
                <w:rFonts w:ascii="Arial" w:cs="Arial" w:eastAsia="Arial" w:hAnsi="Arial"/>
                <w:sz w:val="13"/>
                <w:szCs w:val="13"/>
                <w:color w:val="auto"/>
                <w:w w:val="91"/>
              </w:rPr>
              <w:t>—</w:t>
            </w:r>
          </w:p>
        </w:tc>
        <w:tc>
          <w:tcPr>
            <w:tcW w:w="340" w:type="dxa"/>
            <w:vAlign w:val="bottom"/>
          </w:tcPr>
          <w:p>
            <w:pPr>
              <w:spacing w:after="0"/>
              <w:rPr>
                <w:sz w:val="15"/>
                <w:szCs w:val="15"/>
                <w:color w:val="auto"/>
              </w:rPr>
            </w:pPr>
          </w:p>
        </w:tc>
        <w:tc>
          <w:tcPr>
            <w:tcW w:w="1660" w:type="dxa"/>
            <w:vAlign w:val="bottom"/>
          </w:tcPr>
          <w:p>
            <w:pPr>
              <w:jc w:val="right"/>
              <w:spacing w:after="0"/>
              <w:rPr>
                <w:sz w:val="20"/>
                <w:szCs w:val="20"/>
                <w:color w:val="auto"/>
              </w:rPr>
            </w:pPr>
            <w:r>
              <w:rPr>
                <w:rFonts w:ascii="Arial" w:cs="Arial" w:eastAsia="Arial" w:hAnsi="Arial"/>
                <w:sz w:val="13"/>
                <w:szCs w:val="13"/>
                <w:color w:val="auto"/>
              </w:rPr>
              <w:t>2,568</w:t>
            </w:r>
          </w:p>
        </w:tc>
        <w:tc>
          <w:tcPr>
            <w:tcW w:w="100" w:type="dxa"/>
            <w:vAlign w:val="bottom"/>
          </w:tcPr>
          <w:p>
            <w:pPr>
              <w:spacing w:after="0"/>
              <w:rPr>
                <w:sz w:val="15"/>
                <w:szCs w:val="15"/>
                <w:color w:val="auto"/>
              </w:rPr>
            </w:pPr>
          </w:p>
        </w:tc>
        <w:tc>
          <w:tcPr>
            <w:tcW w:w="2020" w:type="dxa"/>
            <w:vAlign w:val="bottom"/>
          </w:tcPr>
          <w:p>
            <w:pPr>
              <w:jc w:val="right"/>
              <w:spacing w:after="0"/>
              <w:rPr>
                <w:sz w:val="20"/>
                <w:szCs w:val="20"/>
                <w:color w:val="auto"/>
              </w:rPr>
            </w:pPr>
            <w:r>
              <w:rPr>
                <w:rFonts w:ascii="Arial" w:cs="Arial" w:eastAsia="Arial" w:hAnsi="Arial"/>
                <w:sz w:val="13"/>
                <w:szCs w:val="13"/>
                <w:color w:val="auto"/>
              </w:rPr>
              <w:t>3,578</w:t>
            </w:r>
          </w:p>
        </w:tc>
      </w:tr>
      <w:tr>
        <w:trPr>
          <w:trHeight w:val="27"/>
        </w:trPr>
        <w:tc>
          <w:tcPr>
            <w:tcW w:w="5360" w:type="dxa"/>
            <w:vAlign w:val="bottom"/>
            <w:tcBorders>
              <w:bottom w:val="single" w:sz="8" w:color="CCEEFF"/>
            </w:tcBorders>
          </w:tcPr>
          <w:p>
            <w:pPr>
              <w:spacing w:after="0"/>
              <w:rPr>
                <w:sz w:val="2"/>
                <w:szCs w:val="2"/>
                <w:color w:val="auto"/>
              </w:rPr>
            </w:pPr>
          </w:p>
        </w:tc>
        <w:tc>
          <w:tcPr>
            <w:tcW w:w="162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20" w:type="dxa"/>
            <w:vAlign w:val="bottom"/>
            <w:tcBorders>
              <w:bottom w:val="single" w:sz="8" w:color="auto"/>
            </w:tcBorders>
          </w:tcPr>
          <w:p>
            <w:pPr>
              <w:spacing w:after="0"/>
              <w:rPr>
                <w:sz w:val="2"/>
                <w:szCs w:val="2"/>
                <w:color w:val="auto"/>
              </w:rPr>
            </w:pPr>
          </w:p>
        </w:tc>
      </w:tr>
      <w:tr>
        <w:trPr>
          <w:trHeight w:val="176"/>
        </w:trPr>
        <w:tc>
          <w:tcPr>
            <w:tcW w:w="5360" w:type="dxa"/>
            <w:vAlign w:val="bottom"/>
            <w:tcBorders>
              <w:bottom w:val="single" w:sz="8" w:color="CCEEFF"/>
            </w:tcBorders>
            <w:shd w:val="clear" w:color="auto" w:fill="CCEEFF"/>
          </w:tcPr>
          <w:p>
            <w:pPr>
              <w:spacing w:after="0"/>
              <w:rPr>
                <w:sz w:val="15"/>
                <w:szCs w:val="15"/>
                <w:color w:val="auto"/>
              </w:rPr>
            </w:pPr>
          </w:p>
        </w:tc>
        <w:tc>
          <w:tcPr>
            <w:tcW w:w="162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340" w:type="dxa"/>
            <w:vAlign w:val="bottom"/>
            <w:tcBorders>
              <w:bottom w:val="single" w:sz="8" w:color="CCEEFF"/>
            </w:tcBorders>
            <w:shd w:val="clear" w:color="auto" w:fill="CCEEFF"/>
          </w:tcPr>
          <w:p>
            <w:pPr>
              <w:spacing w:after="0"/>
              <w:rPr>
                <w:sz w:val="15"/>
                <w:szCs w:val="15"/>
                <w:color w:val="auto"/>
              </w:rPr>
            </w:pP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224,174</w:t>
            </w:r>
          </w:p>
        </w:tc>
        <w:tc>
          <w:tcPr>
            <w:tcW w:w="100" w:type="dxa"/>
            <w:vAlign w:val="bottom"/>
            <w:tcBorders>
              <w:bottom w:val="single" w:sz="8" w:color="CCEEFF"/>
            </w:tcBorders>
            <w:shd w:val="clear" w:color="auto" w:fill="CCEEFF"/>
          </w:tcPr>
          <w:p>
            <w:pPr>
              <w:spacing w:after="0"/>
              <w:rPr>
                <w:sz w:val="15"/>
                <w:szCs w:val="15"/>
                <w:color w:val="auto"/>
              </w:rPr>
            </w:pPr>
          </w:p>
        </w:tc>
        <w:tc>
          <w:tcPr>
            <w:tcW w:w="2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231,995</w:t>
            </w:r>
          </w:p>
        </w:tc>
      </w:tr>
      <w:tr>
        <w:trPr>
          <w:trHeight w:val="178"/>
        </w:trPr>
        <w:tc>
          <w:tcPr>
            <w:tcW w:w="5360" w:type="dxa"/>
            <w:vAlign w:val="bottom"/>
          </w:tcPr>
          <w:p>
            <w:pPr>
              <w:ind w:left="80"/>
              <w:spacing w:after="0"/>
              <w:rPr>
                <w:sz w:val="20"/>
                <w:szCs w:val="20"/>
                <w:color w:val="auto"/>
              </w:rPr>
            </w:pPr>
            <w:r>
              <w:rPr>
                <w:rFonts w:ascii="Arial" w:cs="Arial" w:eastAsia="Arial" w:hAnsi="Arial"/>
                <w:sz w:val="13"/>
                <w:szCs w:val="13"/>
                <w:color w:val="auto"/>
              </w:rPr>
              <w:t>Accumulated depreciation - non-communications</w:t>
            </w:r>
          </w:p>
        </w:tc>
        <w:tc>
          <w:tcPr>
            <w:tcW w:w="16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660" w:type="dxa"/>
            <w:vAlign w:val="bottom"/>
          </w:tcPr>
          <w:p>
            <w:pPr>
              <w:jc w:val="right"/>
              <w:spacing w:after="0"/>
              <w:rPr>
                <w:sz w:val="20"/>
                <w:szCs w:val="20"/>
                <w:color w:val="auto"/>
              </w:rPr>
            </w:pPr>
            <w:r>
              <w:rPr>
                <w:rFonts w:ascii="Arial" w:cs="Arial" w:eastAsia="Arial" w:hAnsi="Arial"/>
                <w:sz w:val="13"/>
                <w:szCs w:val="13"/>
                <w:color w:val="auto"/>
              </w:rPr>
              <w:t>(129,747)</w:t>
            </w:r>
          </w:p>
        </w:tc>
        <w:tc>
          <w:tcPr>
            <w:tcW w:w="100" w:type="dxa"/>
            <w:vAlign w:val="bottom"/>
          </w:tcPr>
          <w:p>
            <w:pPr>
              <w:spacing w:after="0"/>
              <w:rPr>
                <w:sz w:val="15"/>
                <w:szCs w:val="15"/>
                <w:color w:val="auto"/>
              </w:rPr>
            </w:pPr>
          </w:p>
        </w:tc>
        <w:tc>
          <w:tcPr>
            <w:tcW w:w="2020" w:type="dxa"/>
            <w:vAlign w:val="bottom"/>
          </w:tcPr>
          <w:p>
            <w:pPr>
              <w:jc w:val="right"/>
              <w:spacing w:after="0"/>
              <w:rPr>
                <w:sz w:val="20"/>
                <w:szCs w:val="20"/>
                <w:color w:val="auto"/>
              </w:rPr>
            </w:pPr>
            <w:r>
              <w:rPr>
                <w:rFonts w:ascii="Arial" w:cs="Arial" w:eastAsia="Arial" w:hAnsi="Arial"/>
                <w:sz w:val="13"/>
                <w:szCs w:val="13"/>
                <w:color w:val="auto"/>
              </w:rPr>
              <w:t>(123,003)</w:t>
            </w:r>
          </w:p>
        </w:tc>
      </w:tr>
      <w:tr>
        <w:trPr>
          <w:trHeight w:val="27"/>
        </w:trPr>
        <w:tc>
          <w:tcPr>
            <w:tcW w:w="5360" w:type="dxa"/>
            <w:vAlign w:val="bottom"/>
            <w:tcBorders>
              <w:bottom w:val="single" w:sz="8" w:color="CCEEFF"/>
            </w:tcBorders>
          </w:tcPr>
          <w:p>
            <w:pPr>
              <w:spacing w:after="0"/>
              <w:rPr>
                <w:sz w:val="2"/>
                <w:szCs w:val="2"/>
                <w:color w:val="auto"/>
              </w:rPr>
            </w:pPr>
          </w:p>
        </w:tc>
        <w:tc>
          <w:tcPr>
            <w:tcW w:w="162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20" w:type="dxa"/>
            <w:vAlign w:val="bottom"/>
            <w:tcBorders>
              <w:bottom w:val="single" w:sz="8" w:color="auto"/>
            </w:tcBorders>
          </w:tcPr>
          <w:p>
            <w:pPr>
              <w:spacing w:after="0"/>
              <w:rPr>
                <w:sz w:val="2"/>
                <w:szCs w:val="2"/>
                <w:color w:val="auto"/>
              </w:rPr>
            </w:pPr>
          </w:p>
        </w:tc>
      </w:tr>
      <w:tr>
        <w:trPr>
          <w:trHeight w:val="196"/>
        </w:trPr>
        <w:tc>
          <w:tcPr>
            <w:tcW w:w="53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b w:val="1"/>
                <w:bCs w:val="1"/>
                <w:color w:val="auto"/>
              </w:rPr>
              <w:t>Non-communications, net property and equipment</w:t>
            </w:r>
          </w:p>
        </w:tc>
        <w:tc>
          <w:tcPr>
            <w:tcW w:w="162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340" w:type="dxa"/>
            <w:vAlign w:val="bottom"/>
            <w:tcBorders>
              <w:bottom w:val="single" w:sz="8" w:color="CCEEFF"/>
            </w:tcBorders>
            <w:shd w:val="clear" w:color="auto" w:fill="CCEEFF"/>
          </w:tcPr>
          <w:p>
            <w:pPr>
              <w:spacing w:after="0"/>
              <w:rPr>
                <w:sz w:val="17"/>
                <w:szCs w:val="17"/>
                <w:color w:val="auto"/>
              </w:rPr>
            </w:pP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94,427</w:t>
            </w:r>
          </w:p>
        </w:tc>
        <w:tc>
          <w:tcPr>
            <w:tcW w:w="100" w:type="dxa"/>
            <w:vAlign w:val="bottom"/>
            <w:tcBorders>
              <w:bottom w:val="single" w:sz="8" w:color="CCEEFF"/>
            </w:tcBorders>
            <w:shd w:val="clear" w:color="auto" w:fill="CCEEFF"/>
          </w:tcPr>
          <w:p>
            <w:pPr>
              <w:spacing w:after="0"/>
              <w:rPr>
                <w:sz w:val="17"/>
                <w:szCs w:val="17"/>
                <w:color w:val="auto"/>
              </w:rPr>
            </w:pPr>
          </w:p>
        </w:tc>
        <w:tc>
          <w:tcPr>
            <w:tcW w:w="2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108,992</w:t>
            </w:r>
          </w:p>
        </w:tc>
      </w:tr>
      <w:tr>
        <w:trPr>
          <w:trHeight w:val="142"/>
        </w:trPr>
        <w:tc>
          <w:tcPr>
            <w:tcW w:w="5360" w:type="dxa"/>
            <w:vAlign w:val="bottom"/>
          </w:tcPr>
          <w:p>
            <w:pPr>
              <w:spacing w:after="0"/>
              <w:rPr>
                <w:sz w:val="12"/>
                <w:szCs w:val="12"/>
                <w:color w:val="auto"/>
              </w:rPr>
            </w:pPr>
          </w:p>
        </w:tc>
        <w:tc>
          <w:tcPr>
            <w:tcW w:w="1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40" w:type="dxa"/>
            <w:vAlign w:val="bottom"/>
            <w:tcBorders>
              <w:top w:val="single" w:sz="8" w:color="auto"/>
            </w:tcBorders>
          </w:tcPr>
          <w:p>
            <w:pPr>
              <w:spacing w:after="0"/>
              <w:rPr>
                <w:sz w:val="12"/>
                <w:szCs w:val="12"/>
                <w:color w:val="auto"/>
              </w:rPr>
            </w:pPr>
          </w:p>
        </w:tc>
        <w:tc>
          <w:tcPr>
            <w:tcW w:w="166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2020" w:type="dxa"/>
            <w:vAlign w:val="bottom"/>
            <w:tcBorders>
              <w:top w:val="single" w:sz="8" w:color="auto"/>
            </w:tcBorders>
          </w:tcPr>
          <w:p>
            <w:pPr>
              <w:spacing w:after="0"/>
              <w:rPr>
                <w:sz w:val="12"/>
                <w:szCs w:val="12"/>
                <w:color w:val="auto"/>
              </w:rPr>
            </w:pPr>
          </w:p>
        </w:tc>
      </w:tr>
      <w:tr>
        <w:trPr>
          <w:trHeight w:val="185"/>
        </w:trPr>
        <w:tc>
          <w:tcPr>
            <w:tcW w:w="53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b w:val="1"/>
                <w:bCs w:val="1"/>
                <w:color w:val="auto"/>
              </w:rPr>
              <w:t>Communications:</w:t>
            </w:r>
          </w:p>
        </w:tc>
        <w:tc>
          <w:tcPr>
            <w:tcW w:w="162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340" w:type="dxa"/>
            <w:vAlign w:val="bottom"/>
            <w:tcBorders>
              <w:bottom w:val="single" w:sz="8" w:color="CCEEFF"/>
            </w:tcBorders>
            <w:shd w:val="clear" w:color="auto" w:fill="CCEEFF"/>
          </w:tcPr>
          <w:p>
            <w:pPr>
              <w:spacing w:after="0"/>
              <w:rPr>
                <w:sz w:val="16"/>
                <w:szCs w:val="16"/>
                <w:color w:val="auto"/>
              </w:rPr>
            </w:pPr>
          </w:p>
        </w:tc>
        <w:tc>
          <w:tcPr>
            <w:tcW w:w="166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2020" w:type="dxa"/>
            <w:vAlign w:val="bottom"/>
            <w:tcBorders>
              <w:bottom w:val="single" w:sz="8" w:color="CCEEFF"/>
            </w:tcBorders>
            <w:shd w:val="clear" w:color="auto" w:fill="CCEEFF"/>
          </w:tcPr>
          <w:p>
            <w:pPr>
              <w:spacing w:after="0"/>
              <w:rPr>
                <w:sz w:val="16"/>
                <w:szCs w:val="16"/>
                <w:color w:val="auto"/>
              </w:rPr>
            </w:pPr>
          </w:p>
        </w:tc>
      </w:tr>
      <w:tr>
        <w:trPr>
          <w:trHeight w:val="202"/>
        </w:trPr>
        <w:tc>
          <w:tcPr>
            <w:tcW w:w="5360" w:type="dxa"/>
            <w:vAlign w:val="bottom"/>
          </w:tcPr>
          <w:p>
            <w:pPr>
              <w:ind w:left="140"/>
              <w:spacing w:after="0"/>
              <w:rPr>
                <w:sz w:val="20"/>
                <w:szCs w:val="20"/>
                <w:color w:val="auto"/>
              </w:rPr>
            </w:pPr>
            <w:r>
              <w:rPr>
                <w:rFonts w:ascii="Arial" w:cs="Arial" w:eastAsia="Arial" w:hAnsi="Arial"/>
                <w:sz w:val="13"/>
                <w:szCs w:val="13"/>
                <w:color w:val="auto"/>
              </w:rPr>
              <w:t>Network plant and fiber</w:t>
            </w:r>
          </w:p>
        </w:tc>
        <w:tc>
          <w:tcPr>
            <w:tcW w:w="1720" w:type="dxa"/>
            <w:vAlign w:val="bottom"/>
            <w:gridSpan w:val="2"/>
          </w:tcPr>
          <w:p>
            <w:pPr>
              <w:jc w:val="center"/>
              <w:ind w:right="100"/>
              <w:spacing w:after="0"/>
              <w:rPr>
                <w:sz w:val="20"/>
                <w:szCs w:val="20"/>
                <w:color w:val="auto"/>
              </w:rPr>
            </w:pPr>
            <w:r>
              <w:rPr>
                <w:rFonts w:ascii="Arial" w:cs="Arial" w:eastAsia="Arial" w:hAnsi="Arial"/>
                <w:sz w:val="13"/>
                <w:szCs w:val="13"/>
                <w:color w:val="auto"/>
                <w:w w:val="87"/>
              </w:rPr>
              <w:t>5-15 years</w:t>
            </w:r>
          </w:p>
        </w:tc>
        <w:tc>
          <w:tcPr>
            <w:tcW w:w="340" w:type="dxa"/>
            <w:vAlign w:val="bottom"/>
          </w:tcPr>
          <w:p>
            <w:pPr>
              <w:spacing w:after="0"/>
              <w:rPr>
                <w:sz w:val="17"/>
                <w:szCs w:val="17"/>
                <w:color w:val="auto"/>
              </w:rPr>
            </w:pPr>
          </w:p>
        </w:tc>
        <w:tc>
          <w:tcPr>
            <w:tcW w:w="1660" w:type="dxa"/>
            <w:vAlign w:val="bottom"/>
          </w:tcPr>
          <w:p>
            <w:pPr>
              <w:jc w:val="right"/>
              <w:spacing w:after="0"/>
              <w:rPr>
                <w:sz w:val="20"/>
                <w:szCs w:val="20"/>
                <w:color w:val="auto"/>
              </w:rPr>
            </w:pPr>
            <w:r>
              <w:rPr>
                <w:rFonts w:ascii="Arial" w:cs="Arial" w:eastAsia="Arial" w:hAnsi="Arial"/>
                <w:sz w:val="13"/>
                <w:szCs w:val="13"/>
                <w:color w:val="auto"/>
              </w:rPr>
              <w:t>225,570</w:t>
            </w:r>
          </w:p>
        </w:tc>
        <w:tc>
          <w:tcPr>
            <w:tcW w:w="100" w:type="dxa"/>
            <w:vAlign w:val="bottom"/>
          </w:tcPr>
          <w:p>
            <w:pPr>
              <w:spacing w:after="0"/>
              <w:rPr>
                <w:sz w:val="17"/>
                <w:szCs w:val="17"/>
                <w:color w:val="auto"/>
              </w:rPr>
            </w:pPr>
          </w:p>
        </w:tc>
        <w:tc>
          <w:tcPr>
            <w:tcW w:w="2020" w:type="dxa"/>
            <w:vAlign w:val="bottom"/>
          </w:tcPr>
          <w:p>
            <w:pPr>
              <w:jc w:val="right"/>
              <w:spacing w:after="0"/>
              <w:rPr>
                <w:sz w:val="20"/>
                <w:szCs w:val="20"/>
                <w:color w:val="auto"/>
              </w:rPr>
            </w:pPr>
            <w:r>
              <w:rPr>
                <w:rFonts w:ascii="Arial" w:cs="Arial" w:eastAsia="Arial" w:hAnsi="Arial"/>
                <w:sz w:val="13"/>
                <w:szCs w:val="13"/>
                <w:color w:val="auto"/>
              </w:rPr>
              <w:t>215,787</w:t>
            </w:r>
          </w:p>
        </w:tc>
      </w:tr>
      <w:tr>
        <w:trPr>
          <w:trHeight w:val="207"/>
        </w:trPr>
        <w:tc>
          <w:tcPr>
            <w:tcW w:w="5360" w:type="dxa"/>
            <w:vAlign w:val="bottom"/>
            <w:shd w:val="clear" w:color="auto" w:fill="CCEEFF"/>
          </w:tcPr>
          <w:p>
            <w:pPr>
              <w:ind w:left="140"/>
              <w:spacing w:after="0"/>
              <w:rPr>
                <w:sz w:val="20"/>
                <w:szCs w:val="20"/>
                <w:color w:val="auto"/>
              </w:rPr>
            </w:pPr>
            <w:r>
              <w:rPr>
                <w:rFonts w:ascii="Arial" w:cs="Arial" w:eastAsia="Arial" w:hAnsi="Arial"/>
                <w:sz w:val="13"/>
                <w:szCs w:val="13"/>
                <w:color w:val="auto"/>
              </w:rPr>
              <w:t>Customer located property</w:t>
            </w:r>
          </w:p>
        </w:tc>
        <w:tc>
          <w:tcPr>
            <w:tcW w:w="1720" w:type="dxa"/>
            <w:vAlign w:val="bottom"/>
            <w:gridSpan w:val="2"/>
            <w:shd w:val="clear" w:color="auto" w:fill="CCEEFF"/>
          </w:tcPr>
          <w:p>
            <w:pPr>
              <w:jc w:val="center"/>
              <w:ind w:right="80"/>
              <w:spacing w:after="0"/>
              <w:rPr>
                <w:sz w:val="20"/>
                <w:szCs w:val="20"/>
                <w:color w:val="auto"/>
              </w:rPr>
            </w:pPr>
            <w:r>
              <w:rPr>
                <w:rFonts w:ascii="Arial" w:cs="Arial" w:eastAsia="Arial" w:hAnsi="Arial"/>
                <w:sz w:val="13"/>
                <w:szCs w:val="13"/>
                <w:color w:val="auto"/>
                <w:w w:val="88"/>
              </w:rPr>
              <w:t>3-7 years</w:t>
            </w:r>
          </w:p>
        </w:tc>
        <w:tc>
          <w:tcPr>
            <w:tcW w:w="340" w:type="dxa"/>
            <w:vAlign w:val="bottom"/>
            <w:shd w:val="clear" w:color="auto" w:fill="CCEEFF"/>
          </w:tcPr>
          <w:p>
            <w:pPr>
              <w:spacing w:after="0"/>
              <w:rPr>
                <w:sz w:val="18"/>
                <w:szCs w:val="18"/>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23,470</w:t>
            </w:r>
          </w:p>
        </w:tc>
        <w:tc>
          <w:tcPr>
            <w:tcW w:w="100" w:type="dxa"/>
            <w:vAlign w:val="bottom"/>
            <w:shd w:val="clear" w:color="auto" w:fill="CCEEFF"/>
          </w:tcPr>
          <w:p>
            <w:pPr>
              <w:spacing w:after="0"/>
              <w:rPr>
                <w:sz w:val="18"/>
                <w:szCs w:val="18"/>
                <w:color w:val="auto"/>
              </w:rPr>
            </w:pPr>
          </w:p>
        </w:tc>
        <w:tc>
          <w:tcPr>
            <w:tcW w:w="20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21,234</w:t>
            </w:r>
          </w:p>
        </w:tc>
      </w:tr>
      <w:tr>
        <w:trPr>
          <w:trHeight w:val="202"/>
        </w:trPr>
        <w:tc>
          <w:tcPr>
            <w:tcW w:w="5360" w:type="dxa"/>
            <w:vAlign w:val="bottom"/>
          </w:tcPr>
          <w:p>
            <w:pPr>
              <w:ind w:left="140"/>
              <w:spacing w:after="0"/>
              <w:rPr>
                <w:sz w:val="20"/>
                <w:szCs w:val="20"/>
                <w:color w:val="auto"/>
              </w:rPr>
            </w:pPr>
            <w:r>
              <w:rPr>
                <w:rFonts w:ascii="Arial" w:cs="Arial" w:eastAsia="Arial" w:hAnsi="Arial"/>
                <w:sz w:val="13"/>
                <w:szCs w:val="13"/>
                <w:color w:val="auto"/>
              </w:rPr>
              <w:t>Central office</w:t>
            </w:r>
          </w:p>
        </w:tc>
        <w:tc>
          <w:tcPr>
            <w:tcW w:w="1720" w:type="dxa"/>
            <w:vAlign w:val="bottom"/>
            <w:gridSpan w:val="2"/>
          </w:tcPr>
          <w:p>
            <w:pPr>
              <w:jc w:val="center"/>
              <w:ind w:right="100"/>
              <w:spacing w:after="0"/>
              <w:rPr>
                <w:sz w:val="20"/>
                <w:szCs w:val="20"/>
                <w:color w:val="auto"/>
              </w:rPr>
            </w:pPr>
            <w:r>
              <w:rPr>
                <w:rFonts w:ascii="Arial" w:cs="Arial" w:eastAsia="Arial" w:hAnsi="Arial"/>
                <w:sz w:val="13"/>
                <w:szCs w:val="13"/>
                <w:color w:val="auto"/>
                <w:w w:val="87"/>
              </w:rPr>
              <w:t>5-15 years</w:t>
            </w:r>
          </w:p>
        </w:tc>
        <w:tc>
          <w:tcPr>
            <w:tcW w:w="340" w:type="dxa"/>
            <w:vAlign w:val="bottom"/>
          </w:tcPr>
          <w:p>
            <w:pPr>
              <w:spacing w:after="0"/>
              <w:rPr>
                <w:sz w:val="17"/>
                <w:szCs w:val="17"/>
                <w:color w:val="auto"/>
              </w:rPr>
            </w:pPr>
          </w:p>
        </w:tc>
        <w:tc>
          <w:tcPr>
            <w:tcW w:w="1660" w:type="dxa"/>
            <w:vAlign w:val="bottom"/>
          </w:tcPr>
          <w:p>
            <w:pPr>
              <w:jc w:val="right"/>
              <w:spacing w:after="0"/>
              <w:rPr>
                <w:sz w:val="20"/>
                <w:szCs w:val="20"/>
                <w:color w:val="auto"/>
              </w:rPr>
            </w:pPr>
            <w:r>
              <w:rPr>
                <w:rFonts w:ascii="Arial" w:cs="Arial" w:eastAsia="Arial" w:hAnsi="Arial"/>
                <w:sz w:val="13"/>
                <w:szCs w:val="13"/>
                <w:color w:val="auto"/>
              </w:rPr>
              <w:t>16,443</w:t>
            </w:r>
          </w:p>
        </w:tc>
        <w:tc>
          <w:tcPr>
            <w:tcW w:w="100" w:type="dxa"/>
            <w:vAlign w:val="bottom"/>
          </w:tcPr>
          <w:p>
            <w:pPr>
              <w:spacing w:after="0"/>
              <w:rPr>
                <w:sz w:val="17"/>
                <w:szCs w:val="17"/>
                <w:color w:val="auto"/>
              </w:rPr>
            </w:pPr>
          </w:p>
        </w:tc>
        <w:tc>
          <w:tcPr>
            <w:tcW w:w="2020" w:type="dxa"/>
            <w:vAlign w:val="bottom"/>
          </w:tcPr>
          <w:p>
            <w:pPr>
              <w:jc w:val="right"/>
              <w:spacing w:after="0"/>
              <w:rPr>
                <w:sz w:val="20"/>
                <w:szCs w:val="20"/>
                <w:color w:val="auto"/>
              </w:rPr>
            </w:pPr>
            <w:r>
              <w:rPr>
                <w:rFonts w:ascii="Arial" w:cs="Arial" w:eastAsia="Arial" w:hAnsi="Arial"/>
                <w:sz w:val="13"/>
                <w:szCs w:val="13"/>
                <w:color w:val="auto"/>
              </w:rPr>
              <w:t>15,688</w:t>
            </w:r>
          </w:p>
        </w:tc>
      </w:tr>
      <w:tr>
        <w:trPr>
          <w:trHeight w:val="207"/>
        </w:trPr>
        <w:tc>
          <w:tcPr>
            <w:tcW w:w="5360" w:type="dxa"/>
            <w:vAlign w:val="bottom"/>
            <w:shd w:val="clear" w:color="auto" w:fill="CCEEFF"/>
          </w:tcPr>
          <w:p>
            <w:pPr>
              <w:ind w:left="140"/>
              <w:spacing w:after="0"/>
              <w:rPr>
                <w:sz w:val="20"/>
                <w:szCs w:val="20"/>
                <w:color w:val="auto"/>
              </w:rPr>
            </w:pPr>
            <w:r>
              <w:rPr>
                <w:rFonts w:ascii="Arial" w:cs="Arial" w:eastAsia="Arial" w:hAnsi="Arial"/>
                <w:sz w:val="13"/>
                <w:szCs w:val="13"/>
                <w:color w:val="auto"/>
              </w:rPr>
              <w:t>Transportation equipment</w:t>
            </w:r>
          </w:p>
        </w:tc>
        <w:tc>
          <w:tcPr>
            <w:tcW w:w="1720" w:type="dxa"/>
            <w:vAlign w:val="bottom"/>
            <w:gridSpan w:val="2"/>
            <w:shd w:val="clear" w:color="auto" w:fill="CCEEFF"/>
          </w:tcPr>
          <w:p>
            <w:pPr>
              <w:jc w:val="center"/>
              <w:ind w:right="100"/>
              <w:spacing w:after="0"/>
              <w:rPr>
                <w:sz w:val="20"/>
                <w:szCs w:val="20"/>
                <w:color w:val="auto"/>
              </w:rPr>
            </w:pPr>
            <w:r>
              <w:rPr>
                <w:rFonts w:ascii="Arial" w:cs="Arial" w:eastAsia="Arial" w:hAnsi="Arial"/>
                <w:sz w:val="13"/>
                <w:szCs w:val="13"/>
                <w:color w:val="auto"/>
                <w:w w:val="87"/>
              </w:rPr>
              <w:t>4-10 years</w:t>
            </w:r>
          </w:p>
        </w:tc>
        <w:tc>
          <w:tcPr>
            <w:tcW w:w="340" w:type="dxa"/>
            <w:vAlign w:val="bottom"/>
            <w:shd w:val="clear" w:color="auto" w:fill="CCEEFF"/>
          </w:tcPr>
          <w:p>
            <w:pPr>
              <w:spacing w:after="0"/>
              <w:rPr>
                <w:sz w:val="18"/>
                <w:szCs w:val="18"/>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6,685</w:t>
            </w:r>
          </w:p>
        </w:tc>
        <w:tc>
          <w:tcPr>
            <w:tcW w:w="100" w:type="dxa"/>
            <w:vAlign w:val="bottom"/>
            <w:shd w:val="clear" w:color="auto" w:fill="CCEEFF"/>
          </w:tcPr>
          <w:p>
            <w:pPr>
              <w:spacing w:after="0"/>
              <w:rPr>
                <w:sz w:val="18"/>
                <w:szCs w:val="18"/>
                <w:color w:val="auto"/>
              </w:rPr>
            </w:pPr>
          </w:p>
        </w:tc>
        <w:tc>
          <w:tcPr>
            <w:tcW w:w="20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6,580</w:t>
            </w:r>
          </w:p>
        </w:tc>
      </w:tr>
      <w:tr>
        <w:trPr>
          <w:trHeight w:val="202"/>
        </w:trPr>
        <w:tc>
          <w:tcPr>
            <w:tcW w:w="5360" w:type="dxa"/>
            <w:vAlign w:val="bottom"/>
          </w:tcPr>
          <w:p>
            <w:pPr>
              <w:ind w:left="140"/>
              <w:spacing w:after="0"/>
              <w:rPr>
                <w:sz w:val="20"/>
                <w:szCs w:val="20"/>
                <w:color w:val="auto"/>
              </w:rPr>
            </w:pPr>
            <w:r>
              <w:rPr>
                <w:rFonts w:ascii="Arial" w:cs="Arial" w:eastAsia="Arial" w:hAnsi="Arial"/>
                <w:sz w:val="13"/>
                <w:szCs w:val="13"/>
                <w:color w:val="auto"/>
              </w:rPr>
              <w:t>Computer equipment and software</w:t>
            </w:r>
          </w:p>
        </w:tc>
        <w:tc>
          <w:tcPr>
            <w:tcW w:w="1720" w:type="dxa"/>
            <w:vAlign w:val="bottom"/>
            <w:gridSpan w:val="2"/>
          </w:tcPr>
          <w:p>
            <w:pPr>
              <w:jc w:val="center"/>
              <w:ind w:right="80"/>
              <w:spacing w:after="0"/>
              <w:rPr>
                <w:sz w:val="20"/>
                <w:szCs w:val="20"/>
                <w:color w:val="auto"/>
              </w:rPr>
            </w:pPr>
            <w:r>
              <w:rPr>
                <w:rFonts w:ascii="Arial" w:cs="Arial" w:eastAsia="Arial" w:hAnsi="Arial"/>
                <w:sz w:val="13"/>
                <w:szCs w:val="13"/>
                <w:color w:val="auto"/>
                <w:w w:val="88"/>
              </w:rPr>
              <w:t>1-5 years</w:t>
            </w:r>
          </w:p>
        </w:tc>
        <w:tc>
          <w:tcPr>
            <w:tcW w:w="340" w:type="dxa"/>
            <w:vAlign w:val="bottom"/>
          </w:tcPr>
          <w:p>
            <w:pPr>
              <w:spacing w:after="0"/>
              <w:rPr>
                <w:sz w:val="17"/>
                <w:szCs w:val="17"/>
                <w:color w:val="auto"/>
              </w:rPr>
            </w:pPr>
          </w:p>
        </w:tc>
        <w:tc>
          <w:tcPr>
            <w:tcW w:w="1660" w:type="dxa"/>
            <w:vAlign w:val="bottom"/>
          </w:tcPr>
          <w:p>
            <w:pPr>
              <w:jc w:val="right"/>
              <w:spacing w:after="0"/>
              <w:rPr>
                <w:sz w:val="20"/>
                <w:szCs w:val="20"/>
                <w:color w:val="auto"/>
              </w:rPr>
            </w:pPr>
            <w:r>
              <w:rPr>
                <w:rFonts w:ascii="Arial" w:cs="Arial" w:eastAsia="Arial" w:hAnsi="Arial"/>
                <w:sz w:val="13"/>
                <w:szCs w:val="13"/>
                <w:color w:val="auto"/>
              </w:rPr>
              <w:t>5,035</w:t>
            </w:r>
          </w:p>
        </w:tc>
        <w:tc>
          <w:tcPr>
            <w:tcW w:w="100" w:type="dxa"/>
            <w:vAlign w:val="bottom"/>
          </w:tcPr>
          <w:p>
            <w:pPr>
              <w:spacing w:after="0"/>
              <w:rPr>
                <w:sz w:val="17"/>
                <w:szCs w:val="17"/>
                <w:color w:val="auto"/>
              </w:rPr>
            </w:pPr>
          </w:p>
        </w:tc>
        <w:tc>
          <w:tcPr>
            <w:tcW w:w="2020" w:type="dxa"/>
            <w:vAlign w:val="bottom"/>
          </w:tcPr>
          <w:p>
            <w:pPr>
              <w:jc w:val="right"/>
              <w:spacing w:after="0"/>
              <w:rPr>
                <w:sz w:val="20"/>
                <w:szCs w:val="20"/>
                <w:color w:val="auto"/>
              </w:rPr>
            </w:pPr>
            <w:r>
              <w:rPr>
                <w:rFonts w:ascii="Arial" w:cs="Arial" w:eastAsia="Arial" w:hAnsi="Arial"/>
                <w:sz w:val="13"/>
                <w:szCs w:val="13"/>
                <w:color w:val="auto"/>
              </w:rPr>
              <w:t>4,943</w:t>
            </w:r>
          </w:p>
        </w:tc>
      </w:tr>
      <w:tr>
        <w:trPr>
          <w:trHeight w:val="207"/>
        </w:trPr>
        <w:tc>
          <w:tcPr>
            <w:tcW w:w="5360" w:type="dxa"/>
            <w:vAlign w:val="bottom"/>
            <w:shd w:val="clear" w:color="auto" w:fill="CCEEFF"/>
          </w:tcPr>
          <w:p>
            <w:pPr>
              <w:ind w:left="140"/>
              <w:spacing w:after="0"/>
              <w:rPr>
                <w:sz w:val="20"/>
                <w:szCs w:val="20"/>
                <w:color w:val="auto"/>
              </w:rPr>
            </w:pPr>
            <w:r>
              <w:rPr>
                <w:rFonts w:ascii="Arial" w:cs="Arial" w:eastAsia="Arial" w:hAnsi="Arial"/>
                <w:sz w:val="13"/>
                <w:szCs w:val="13"/>
                <w:color w:val="auto"/>
              </w:rPr>
              <w:t>Other</w:t>
            </w:r>
          </w:p>
        </w:tc>
        <w:tc>
          <w:tcPr>
            <w:tcW w:w="1720" w:type="dxa"/>
            <w:vAlign w:val="bottom"/>
            <w:gridSpan w:val="2"/>
            <w:shd w:val="clear" w:color="auto" w:fill="CCEEFF"/>
          </w:tcPr>
          <w:p>
            <w:pPr>
              <w:jc w:val="center"/>
              <w:ind w:right="100"/>
              <w:spacing w:after="0"/>
              <w:rPr>
                <w:sz w:val="20"/>
                <w:szCs w:val="20"/>
                <w:color w:val="auto"/>
              </w:rPr>
            </w:pPr>
            <w:r>
              <w:rPr>
                <w:rFonts w:ascii="Arial" w:cs="Arial" w:eastAsia="Arial" w:hAnsi="Arial"/>
                <w:sz w:val="13"/>
                <w:szCs w:val="13"/>
                <w:color w:val="auto"/>
                <w:w w:val="87"/>
              </w:rPr>
              <w:t>1-39 years</w:t>
            </w:r>
          </w:p>
        </w:tc>
        <w:tc>
          <w:tcPr>
            <w:tcW w:w="340" w:type="dxa"/>
            <w:vAlign w:val="bottom"/>
            <w:shd w:val="clear" w:color="auto" w:fill="CCEEFF"/>
          </w:tcPr>
          <w:p>
            <w:pPr>
              <w:spacing w:after="0"/>
              <w:rPr>
                <w:sz w:val="18"/>
                <w:szCs w:val="18"/>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3,294</w:t>
            </w:r>
          </w:p>
        </w:tc>
        <w:tc>
          <w:tcPr>
            <w:tcW w:w="100" w:type="dxa"/>
            <w:vAlign w:val="bottom"/>
            <w:shd w:val="clear" w:color="auto" w:fill="CCEEFF"/>
          </w:tcPr>
          <w:p>
            <w:pPr>
              <w:spacing w:after="0"/>
              <w:rPr>
                <w:sz w:val="18"/>
                <w:szCs w:val="18"/>
                <w:color w:val="auto"/>
              </w:rPr>
            </w:pPr>
          </w:p>
        </w:tc>
        <w:tc>
          <w:tcPr>
            <w:tcW w:w="20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3,219</w:t>
            </w:r>
          </w:p>
        </w:tc>
      </w:tr>
      <w:tr>
        <w:trPr>
          <w:trHeight w:val="202"/>
        </w:trPr>
        <w:tc>
          <w:tcPr>
            <w:tcW w:w="5360" w:type="dxa"/>
            <w:vAlign w:val="bottom"/>
          </w:tcPr>
          <w:p>
            <w:pPr>
              <w:ind w:left="140"/>
              <w:spacing w:after="0"/>
              <w:rPr>
                <w:sz w:val="20"/>
                <w:szCs w:val="20"/>
                <w:color w:val="auto"/>
              </w:rPr>
            </w:pPr>
            <w:r>
              <w:rPr>
                <w:rFonts w:ascii="Arial" w:cs="Arial" w:eastAsia="Arial" w:hAnsi="Arial"/>
                <w:sz w:val="13"/>
                <w:szCs w:val="13"/>
                <w:color w:val="auto"/>
              </w:rPr>
              <w:t>Land</w:t>
            </w:r>
          </w:p>
        </w:tc>
        <w:tc>
          <w:tcPr>
            <w:tcW w:w="1720" w:type="dxa"/>
            <w:vAlign w:val="bottom"/>
            <w:gridSpan w:val="2"/>
          </w:tcPr>
          <w:p>
            <w:pPr>
              <w:jc w:val="center"/>
              <w:ind w:right="120"/>
              <w:spacing w:after="0"/>
              <w:rPr>
                <w:sz w:val="20"/>
                <w:szCs w:val="20"/>
                <w:color w:val="auto"/>
              </w:rPr>
            </w:pPr>
            <w:r>
              <w:rPr>
                <w:rFonts w:ascii="Arial" w:cs="Arial" w:eastAsia="Arial" w:hAnsi="Arial"/>
                <w:sz w:val="13"/>
                <w:szCs w:val="13"/>
                <w:color w:val="auto"/>
                <w:w w:val="91"/>
              </w:rPr>
              <w:t>—</w:t>
            </w:r>
          </w:p>
        </w:tc>
        <w:tc>
          <w:tcPr>
            <w:tcW w:w="340" w:type="dxa"/>
            <w:vAlign w:val="bottom"/>
          </w:tcPr>
          <w:p>
            <w:pPr>
              <w:spacing w:after="0"/>
              <w:rPr>
                <w:sz w:val="17"/>
                <w:szCs w:val="17"/>
                <w:color w:val="auto"/>
              </w:rPr>
            </w:pPr>
          </w:p>
        </w:tc>
        <w:tc>
          <w:tcPr>
            <w:tcW w:w="1660" w:type="dxa"/>
            <w:vAlign w:val="bottom"/>
          </w:tcPr>
          <w:p>
            <w:pPr>
              <w:jc w:val="right"/>
              <w:spacing w:after="0"/>
              <w:rPr>
                <w:sz w:val="20"/>
                <w:szCs w:val="20"/>
                <w:color w:val="auto"/>
              </w:rPr>
            </w:pPr>
            <w:r>
              <w:rPr>
                <w:rFonts w:ascii="Arial" w:cs="Arial" w:eastAsia="Arial" w:hAnsi="Arial"/>
                <w:sz w:val="13"/>
                <w:szCs w:val="13"/>
                <w:color w:val="auto"/>
              </w:rPr>
              <w:t>70</w:t>
            </w:r>
          </w:p>
        </w:tc>
        <w:tc>
          <w:tcPr>
            <w:tcW w:w="100" w:type="dxa"/>
            <w:vAlign w:val="bottom"/>
          </w:tcPr>
          <w:p>
            <w:pPr>
              <w:spacing w:after="0"/>
              <w:rPr>
                <w:sz w:val="17"/>
                <w:szCs w:val="17"/>
                <w:color w:val="auto"/>
              </w:rPr>
            </w:pPr>
          </w:p>
        </w:tc>
        <w:tc>
          <w:tcPr>
            <w:tcW w:w="2020" w:type="dxa"/>
            <w:vAlign w:val="bottom"/>
          </w:tcPr>
          <w:p>
            <w:pPr>
              <w:jc w:val="right"/>
              <w:spacing w:after="0"/>
              <w:rPr>
                <w:sz w:val="20"/>
                <w:szCs w:val="20"/>
                <w:color w:val="auto"/>
              </w:rPr>
            </w:pPr>
            <w:r>
              <w:rPr>
                <w:rFonts w:ascii="Arial" w:cs="Arial" w:eastAsia="Arial" w:hAnsi="Arial"/>
                <w:sz w:val="13"/>
                <w:szCs w:val="13"/>
                <w:color w:val="auto"/>
              </w:rPr>
              <w:t>70</w:t>
            </w:r>
          </w:p>
        </w:tc>
      </w:tr>
      <w:tr>
        <w:trPr>
          <w:trHeight w:val="205"/>
        </w:trPr>
        <w:tc>
          <w:tcPr>
            <w:tcW w:w="5360" w:type="dxa"/>
            <w:vAlign w:val="bottom"/>
            <w:shd w:val="clear" w:color="auto" w:fill="CCEEFF"/>
          </w:tcPr>
          <w:p>
            <w:pPr>
              <w:ind w:left="140"/>
              <w:spacing w:after="0"/>
              <w:rPr>
                <w:sz w:val="20"/>
                <w:szCs w:val="20"/>
                <w:color w:val="auto"/>
              </w:rPr>
            </w:pPr>
            <w:r>
              <w:rPr>
                <w:rFonts w:ascii="Arial" w:cs="Arial" w:eastAsia="Arial" w:hAnsi="Arial"/>
                <w:sz w:val="13"/>
                <w:szCs w:val="13"/>
                <w:color w:val="auto"/>
              </w:rPr>
              <w:t>Construction in progress</w:t>
            </w:r>
          </w:p>
        </w:tc>
        <w:tc>
          <w:tcPr>
            <w:tcW w:w="1720" w:type="dxa"/>
            <w:vAlign w:val="bottom"/>
            <w:gridSpan w:val="2"/>
            <w:shd w:val="clear" w:color="auto" w:fill="CCEEFF"/>
          </w:tcPr>
          <w:p>
            <w:pPr>
              <w:jc w:val="center"/>
              <w:ind w:right="120"/>
              <w:spacing w:after="0"/>
              <w:rPr>
                <w:sz w:val="20"/>
                <w:szCs w:val="20"/>
                <w:color w:val="auto"/>
              </w:rPr>
            </w:pPr>
            <w:r>
              <w:rPr>
                <w:rFonts w:ascii="Arial" w:cs="Arial" w:eastAsia="Arial" w:hAnsi="Arial"/>
                <w:sz w:val="13"/>
                <w:szCs w:val="13"/>
                <w:color w:val="auto"/>
                <w:w w:val="91"/>
              </w:rPr>
              <w:t>—</w:t>
            </w:r>
          </w:p>
        </w:tc>
        <w:tc>
          <w:tcPr>
            <w:tcW w:w="340" w:type="dxa"/>
            <w:vAlign w:val="bottom"/>
            <w:tcBorders>
              <w:bottom w:val="single" w:sz="8" w:color="auto"/>
            </w:tcBorders>
            <w:shd w:val="clear" w:color="auto" w:fill="CCEEFF"/>
          </w:tcPr>
          <w:p>
            <w:pPr>
              <w:spacing w:after="0"/>
              <w:rPr>
                <w:sz w:val="17"/>
                <w:szCs w:val="17"/>
                <w:color w:val="auto"/>
              </w:rPr>
            </w:pPr>
          </w:p>
        </w:tc>
        <w:tc>
          <w:tcPr>
            <w:tcW w:w="1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5,256</w:t>
            </w:r>
          </w:p>
        </w:tc>
        <w:tc>
          <w:tcPr>
            <w:tcW w:w="100" w:type="dxa"/>
            <w:vAlign w:val="bottom"/>
            <w:shd w:val="clear" w:color="auto" w:fill="CCEEFF"/>
          </w:tcPr>
          <w:p>
            <w:pPr>
              <w:spacing w:after="0"/>
              <w:rPr>
                <w:sz w:val="17"/>
                <w:szCs w:val="17"/>
                <w:color w:val="auto"/>
              </w:rPr>
            </w:pPr>
          </w:p>
        </w:tc>
        <w:tc>
          <w:tcPr>
            <w:tcW w:w="2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6,344</w:t>
            </w:r>
          </w:p>
        </w:tc>
      </w:tr>
      <w:tr>
        <w:trPr>
          <w:trHeight w:val="171"/>
        </w:trPr>
        <w:tc>
          <w:tcPr>
            <w:tcW w:w="5360" w:type="dxa"/>
            <w:vAlign w:val="bottom"/>
          </w:tcPr>
          <w:p>
            <w:pPr>
              <w:spacing w:after="0"/>
              <w:rPr>
                <w:sz w:val="14"/>
                <w:szCs w:val="14"/>
                <w:color w:val="auto"/>
              </w:rPr>
            </w:pPr>
          </w:p>
        </w:tc>
        <w:tc>
          <w:tcPr>
            <w:tcW w:w="16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660" w:type="dxa"/>
            <w:vAlign w:val="bottom"/>
          </w:tcPr>
          <w:p>
            <w:pPr>
              <w:jc w:val="right"/>
              <w:spacing w:after="0"/>
              <w:rPr>
                <w:sz w:val="20"/>
                <w:szCs w:val="20"/>
                <w:color w:val="auto"/>
              </w:rPr>
            </w:pPr>
            <w:r>
              <w:rPr>
                <w:rFonts w:ascii="Arial" w:cs="Arial" w:eastAsia="Arial" w:hAnsi="Arial"/>
                <w:sz w:val="13"/>
                <w:szCs w:val="13"/>
                <w:color w:val="auto"/>
              </w:rPr>
              <w:t>285,823</w:t>
            </w:r>
          </w:p>
        </w:tc>
        <w:tc>
          <w:tcPr>
            <w:tcW w:w="100" w:type="dxa"/>
            <w:vAlign w:val="bottom"/>
          </w:tcPr>
          <w:p>
            <w:pPr>
              <w:spacing w:after="0"/>
              <w:rPr>
                <w:sz w:val="14"/>
                <w:szCs w:val="14"/>
                <w:color w:val="auto"/>
              </w:rPr>
            </w:pPr>
          </w:p>
        </w:tc>
        <w:tc>
          <w:tcPr>
            <w:tcW w:w="2020" w:type="dxa"/>
            <w:vAlign w:val="bottom"/>
          </w:tcPr>
          <w:p>
            <w:pPr>
              <w:jc w:val="right"/>
              <w:spacing w:after="0"/>
              <w:rPr>
                <w:sz w:val="20"/>
                <w:szCs w:val="20"/>
                <w:color w:val="auto"/>
              </w:rPr>
            </w:pPr>
            <w:r>
              <w:rPr>
                <w:rFonts w:ascii="Arial" w:cs="Arial" w:eastAsia="Arial" w:hAnsi="Arial"/>
                <w:sz w:val="13"/>
                <w:szCs w:val="13"/>
                <w:color w:val="auto"/>
              </w:rPr>
              <w:t>273,865</w:t>
            </w:r>
          </w:p>
        </w:tc>
      </w:tr>
      <w:tr>
        <w:trPr>
          <w:trHeight w:val="27"/>
        </w:trPr>
        <w:tc>
          <w:tcPr>
            <w:tcW w:w="53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20" w:type="dxa"/>
            <w:vAlign w:val="bottom"/>
          </w:tcPr>
          <w:p>
            <w:pPr>
              <w:spacing w:after="0"/>
              <w:rPr>
                <w:sz w:val="2"/>
                <w:szCs w:val="2"/>
                <w:color w:val="auto"/>
              </w:rPr>
            </w:pPr>
          </w:p>
        </w:tc>
      </w:tr>
      <w:tr>
        <w:trPr>
          <w:trHeight w:val="202"/>
        </w:trPr>
        <w:tc>
          <w:tcPr>
            <w:tcW w:w="5360" w:type="dxa"/>
            <w:vAlign w:val="bottom"/>
            <w:shd w:val="clear" w:color="auto" w:fill="CCEEFF"/>
          </w:tcPr>
          <w:p>
            <w:pPr>
              <w:ind w:left="100"/>
              <w:spacing w:after="0"/>
              <w:rPr>
                <w:sz w:val="20"/>
                <w:szCs w:val="20"/>
                <w:color w:val="auto"/>
              </w:rPr>
            </w:pPr>
            <w:r>
              <w:rPr>
                <w:rFonts w:ascii="Arial" w:cs="Arial" w:eastAsia="Arial" w:hAnsi="Arial"/>
                <w:sz w:val="13"/>
                <w:szCs w:val="13"/>
                <w:color w:val="auto"/>
              </w:rPr>
              <w:t>Accumulated depreciation - communications</w:t>
            </w:r>
          </w:p>
        </w:tc>
        <w:tc>
          <w:tcPr>
            <w:tcW w:w="16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40" w:type="dxa"/>
            <w:vAlign w:val="bottom"/>
            <w:tcBorders>
              <w:bottom w:val="single" w:sz="8" w:color="auto"/>
            </w:tcBorders>
            <w:shd w:val="clear" w:color="auto" w:fill="CCEEFF"/>
          </w:tcPr>
          <w:p>
            <w:pPr>
              <w:spacing w:after="0"/>
              <w:rPr>
                <w:sz w:val="17"/>
                <w:szCs w:val="17"/>
                <w:color w:val="auto"/>
              </w:rPr>
            </w:pPr>
          </w:p>
        </w:tc>
        <w:tc>
          <w:tcPr>
            <w:tcW w:w="1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(45,180)</w:t>
            </w:r>
          </w:p>
        </w:tc>
        <w:tc>
          <w:tcPr>
            <w:tcW w:w="100" w:type="dxa"/>
            <w:vAlign w:val="bottom"/>
            <w:shd w:val="clear" w:color="auto" w:fill="CCEEFF"/>
          </w:tcPr>
          <w:p>
            <w:pPr>
              <w:spacing w:after="0"/>
              <w:rPr>
                <w:sz w:val="17"/>
                <w:szCs w:val="17"/>
                <w:color w:val="auto"/>
              </w:rPr>
            </w:pPr>
          </w:p>
        </w:tc>
        <w:tc>
          <w:tcPr>
            <w:tcW w:w="2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(38,073)</w:t>
            </w:r>
          </w:p>
        </w:tc>
      </w:tr>
      <w:tr>
        <w:trPr>
          <w:trHeight w:val="196"/>
        </w:trPr>
        <w:tc>
          <w:tcPr>
            <w:tcW w:w="5360" w:type="dxa"/>
            <w:vAlign w:val="bottom"/>
            <w:tcBorders>
              <w:bottom w:val="single" w:sz="8" w:color="CCEEFF"/>
            </w:tcBorders>
          </w:tcPr>
          <w:p>
            <w:pPr>
              <w:spacing w:after="0"/>
              <w:rPr>
                <w:sz w:val="20"/>
                <w:szCs w:val="20"/>
                <w:color w:val="auto"/>
              </w:rPr>
            </w:pPr>
            <w:r>
              <w:rPr>
                <w:rFonts w:ascii="Arial" w:cs="Arial" w:eastAsia="Arial" w:hAnsi="Arial"/>
                <w:sz w:val="13"/>
                <w:szCs w:val="13"/>
                <w:b w:val="1"/>
                <w:bCs w:val="1"/>
                <w:color w:val="auto"/>
              </w:rPr>
              <w:t>Communications, net property and equipment</w:t>
            </w:r>
          </w:p>
        </w:tc>
        <w:tc>
          <w:tcPr>
            <w:tcW w:w="1620" w:type="dxa"/>
            <w:vAlign w:val="bottom"/>
            <w:tcBorders>
              <w:bottom w:val="single" w:sz="8" w:color="CCEEFF"/>
            </w:tcBorders>
          </w:tcPr>
          <w:p>
            <w:pPr>
              <w:spacing w:after="0"/>
              <w:rPr>
                <w:sz w:val="17"/>
                <w:szCs w:val="17"/>
                <w:color w:val="auto"/>
              </w:rPr>
            </w:pPr>
          </w:p>
        </w:tc>
        <w:tc>
          <w:tcPr>
            <w:tcW w:w="100" w:type="dxa"/>
            <w:vAlign w:val="bottom"/>
            <w:tcBorders>
              <w:bottom w:val="single" w:sz="8" w:color="CCEEFF"/>
            </w:tcBorders>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16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240,643</w:t>
            </w:r>
          </w:p>
        </w:tc>
        <w:tc>
          <w:tcPr>
            <w:tcW w:w="100" w:type="dxa"/>
            <w:vAlign w:val="bottom"/>
            <w:tcBorders>
              <w:bottom w:val="single" w:sz="8" w:color="CCEEFF"/>
            </w:tcBorders>
          </w:tcPr>
          <w:p>
            <w:pPr>
              <w:spacing w:after="0"/>
              <w:rPr>
                <w:sz w:val="17"/>
                <w:szCs w:val="17"/>
                <w:color w:val="auto"/>
              </w:rPr>
            </w:pPr>
          </w:p>
        </w:tc>
        <w:tc>
          <w:tcPr>
            <w:tcW w:w="20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235,792</w:t>
            </w:r>
          </w:p>
        </w:tc>
      </w:tr>
      <w:tr>
        <w:trPr>
          <w:trHeight w:val="221"/>
        </w:trPr>
        <w:tc>
          <w:tcPr>
            <w:tcW w:w="53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b w:val="1"/>
                <w:bCs w:val="1"/>
                <w:color w:val="auto"/>
              </w:rPr>
              <w:t>Total property and equipment, net</w:t>
            </w:r>
          </w:p>
        </w:tc>
        <w:tc>
          <w:tcPr>
            <w:tcW w:w="162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340" w:type="dxa"/>
            <w:vAlign w:val="bottom"/>
            <w:tcBorders>
              <w:bottom w:val="single" w:sz="8" w:color="auto"/>
            </w:tcBorders>
            <w:shd w:val="clear" w:color="auto" w:fill="CCEEFF"/>
          </w:tcPr>
          <w:p>
            <w:pPr>
              <w:jc w:val="right"/>
              <w:ind w:right="195"/>
              <w:spacing w:after="0"/>
              <w:rPr>
                <w:sz w:val="20"/>
                <w:szCs w:val="20"/>
                <w:color w:val="auto"/>
              </w:rPr>
            </w:pPr>
            <w:r>
              <w:rPr>
                <w:rFonts w:ascii="Arial" w:cs="Arial" w:eastAsia="Arial" w:hAnsi="Arial"/>
                <w:sz w:val="13"/>
                <w:szCs w:val="13"/>
                <w:color w:val="auto"/>
                <w:w w:val="82"/>
              </w:rPr>
              <w:t>$</w:t>
            </w:r>
          </w:p>
        </w:tc>
        <w:tc>
          <w:tcPr>
            <w:tcW w:w="1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335,070</w:t>
            </w:r>
          </w:p>
        </w:tc>
        <w:tc>
          <w:tcPr>
            <w:tcW w:w="100" w:type="dxa"/>
            <w:vAlign w:val="bottom"/>
            <w:tcBorders>
              <w:bottom w:val="single" w:sz="8" w:color="CCEEFF"/>
            </w:tcBorders>
            <w:shd w:val="clear" w:color="auto" w:fill="CCEEFF"/>
          </w:tcPr>
          <w:p>
            <w:pPr>
              <w:spacing w:after="0"/>
              <w:rPr>
                <w:sz w:val="18"/>
                <w:szCs w:val="18"/>
                <w:color w:val="auto"/>
              </w:rPr>
            </w:pPr>
          </w:p>
        </w:tc>
        <w:tc>
          <w:tcPr>
            <w:tcW w:w="2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344,784</w:t>
            </w:r>
          </w:p>
        </w:tc>
      </w:tr>
      <w:tr>
        <w:trPr>
          <w:trHeight w:val="20"/>
        </w:trPr>
        <w:tc>
          <w:tcPr>
            <w:tcW w:w="5360" w:type="dxa"/>
            <w:vAlign w:val="bottom"/>
            <w:tcBorders>
              <w:top w:val="single" w:sz="8" w:color="CCEEFF"/>
            </w:tcBorders>
          </w:tcPr>
          <w:p>
            <w:pPr>
              <w:spacing w:after="0" w:line="20" w:lineRule="exact"/>
              <w:rPr>
                <w:sz w:val="1"/>
                <w:szCs w:val="1"/>
                <w:color w:val="auto"/>
              </w:rPr>
            </w:pPr>
          </w:p>
        </w:tc>
        <w:tc>
          <w:tcPr>
            <w:tcW w:w="16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6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20" w:type="dxa"/>
            <w:vAlign w:val="bottom"/>
            <w:tcBorders>
              <w:top w:val="single" w:sz="8" w:color="CCEEFF"/>
              <w:bottom w:val="single" w:sz="8" w:color="auto"/>
            </w:tcBorders>
          </w:tcPr>
          <w:p>
            <w:pPr>
              <w:spacing w:after="0" w:line="20" w:lineRule="exact"/>
              <w:rPr>
                <w:sz w:val="1"/>
                <w:szCs w:val="1"/>
                <w:color w:val="auto"/>
              </w:rPr>
            </w:pPr>
          </w:p>
        </w:tc>
      </w:tr>
    </w:tbl>
    <w:p>
      <w:pPr>
        <w:spacing w:after="0" w:line="162" w:lineRule="exact"/>
        <w:rPr>
          <w:sz w:val="20"/>
          <w:szCs w:val="20"/>
          <w:color w:val="auto"/>
        </w:rPr>
      </w:pPr>
    </w:p>
    <w:p>
      <w:pPr>
        <w:spacing w:after="0"/>
        <w:rPr>
          <w:sz w:val="20"/>
          <w:szCs w:val="20"/>
          <w:color w:val="auto"/>
        </w:rPr>
      </w:pPr>
      <w:r>
        <w:rPr>
          <w:rFonts w:ascii="Arial" w:cs="Arial" w:eastAsia="Arial" w:hAnsi="Arial"/>
          <w:sz w:val="14"/>
          <w:szCs w:val="14"/>
          <w:color w:val="auto"/>
        </w:rPr>
        <w:t>The Company recorded depreciation expense on its property and equipment of $15.7 million and $12.2 million during the three months ended March 31, 2019 and 2018, respectively.</w:t>
      </w:r>
    </w:p>
    <w:p>
      <w:pPr>
        <w:spacing w:after="0" w:line="245"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9. Earnings per Common Share</w:t>
      </w:r>
    </w:p>
    <w:p>
      <w:pPr>
        <w:spacing w:after="0" w:line="145" w:lineRule="exact"/>
        <w:rPr>
          <w:sz w:val="20"/>
          <w:szCs w:val="20"/>
          <w:color w:val="auto"/>
        </w:rPr>
      </w:pPr>
    </w:p>
    <w:p>
      <w:pPr>
        <w:jc w:val="both"/>
        <w:spacing w:after="0" w:line="272" w:lineRule="auto"/>
        <w:rPr>
          <w:sz w:val="20"/>
          <w:szCs w:val="20"/>
          <w:color w:val="auto"/>
        </w:rPr>
      </w:pPr>
      <w:r>
        <w:rPr>
          <w:rFonts w:ascii="Arial" w:cs="Arial" w:eastAsia="Arial" w:hAnsi="Arial"/>
          <w:sz w:val="14"/>
          <w:szCs w:val="14"/>
          <w:color w:val="auto"/>
        </w:rPr>
        <w:t>Presented below is a summary of the components used to calculate basic and diluted earnings per share. The Company applies the two-class method in computing both basic and diluted earnings per share, which requires the calculation of separate earnings per share amounts for common stock and unvested share-based awards. Unvested share-based awards that contain nonforfeitable rights to dividends are considered securities which participate in undistributed earnings with common stock.</w:t>
      </w:r>
    </w:p>
    <w:p>
      <w:pPr>
        <w:sectPr>
          <w:pgSz w:w="11900" w:h="16838" w:orient="portrait"/>
          <w:cols w:equalWidth="0" w:num="1">
            <w:col w:w="11460"/>
          </w:cols>
          <w:pgMar w:left="220" w:top="739" w:right="21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ind w:left="80"/>
        <w:spacing w:after="0"/>
        <w:rPr>
          <w:sz w:val="20"/>
          <w:szCs w:val="20"/>
          <w:color w:val="auto"/>
        </w:rPr>
      </w:pPr>
      <w:r>
        <w:rPr>
          <w:rFonts w:ascii="Arial" w:cs="Arial" w:eastAsia="Arial" w:hAnsi="Arial"/>
          <w:sz w:val="13"/>
          <w:szCs w:val="13"/>
          <w:color w:val="auto"/>
        </w:rPr>
        <w:t>Numerator:</w:t>
      </w:r>
    </w:p>
    <w:p>
      <w:pPr>
        <w:spacing w:after="0" w:line="77" w:lineRule="exact"/>
        <w:rPr>
          <w:sz w:val="20"/>
          <w:szCs w:val="20"/>
          <w:color w:val="auto"/>
        </w:rPr>
      </w:pPr>
    </w:p>
    <w:p>
      <w:pPr>
        <w:ind w:left="160"/>
        <w:spacing w:after="0"/>
        <w:rPr>
          <w:sz w:val="20"/>
          <w:szCs w:val="20"/>
          <w:color w:val="auto"/>
        </w:rPr>
      </w:pPr>
      <w:r>
        <w:rPr>
          <w:rFonts w:ascii="Arial" w:cs="Arial" w:eastAsia="Arial" w:hAnsi="Arial"/>
          <w:sz w:val="13"/>
          <w:szCs w:val="13"/>
          <w:color w:val="auto"/>
        </w:rPr>
        <w:t>Net income attributable to Nelnet, Inc.</w:t>
      </w:r>
    </w:p>
    <w:p>
      <w:pPr>
        <w:spacing w:after="0" w:line="152" w:lineRule="exact"/>
        <w:rPr>
          <w:sz w:val="20"/>
          <w:szCs w:val="20"/>
          <w:color w:val="auto"/>
        </w:rPr>
      </w:pPr>
    </w:p>
    <w:p>
      <w:pPr>
        <w:ind w:left="80"/>
        <w:spacing w:after="0"/>
        <w:rPr>
          <w:sz w:val="20"/>
          <w:szCs w:val="20"/>
          <w:color w:val="auto"/>
        </w:rPr>
      </w:pPr>
      <w:r>
        <w:rPr>
          <w:rFonts w:ascii="Arial" w:cs="Arial" w:eastAsia="Arial" w:hAnsi="Arial"/>
          <w:sz w:val="13"/>
          <w:szCs w:val="13"/>
          <w:color w:val="auto"/>
        </w:rPr>
        <w:t>Denominator:</w:t>
      </w:r>
    </w:p>
    <w:p>
      <w:pPr>
        <w:spacing w:after="0" w:line="23" w:lineRule="exact"/>
        <w:rPr>
          <w:sz w:val="20"/>
          <w:szCs w:val="20"/>
          <w:color w:val="auto"/>
        </w:rPr>
      </w:pPr>
    </w:p>
    <w:p>
      <w:pPr>
        <w:ind w:left="200" w:hanging="42"/>
        <w:spacing w:after="0" w:line="234" w:lineRule="auto"/>
        <w:rPr>
          <w:sz w:val="20"/>
          <w:szCs w:val="20"/>
          <w:color w:val="auto"/>
        </w:rPr>
      </w:pPr>
      <w:r>
        <w:rPr>
          <w:rFonts w:ascii="Arial" w:cs="Arial" w:eastAsia="Arial" w:hAnsi="Arial"/>
          <w:sz w:val="13"/>
          <w:szCs w:val="13"/>
          <w:color w:val="auto"/>
        </w:rPr>
        <w:t>Weighted-average common shares outstanding - basic and diluted</w:t>
      </w:r>
    </w:p>
    <w:p>
      <w:pPr>
        <w:spacing w:after="0" w:line="64" w:lineRule="exact"/>
        <w:rPr>
          <w:sz w:val="20"/>
          <w:szCs w:val="20"/>
          <w:color w:val="auto"/>
        </w:rPr>
      </w:pPr>
    </w:p>
    <w:p>
      <w:pPr>
        <w:ind w:left="80"/>
        <w:spacing w:after="0"/>
        <w:rPr>
          <w:sz w:val="20"/>
          <w:szCs w:val="20"/>
          <w:color w:val="auto"/>
        </w:rPr>
      </w:pPr>
      <w:r>
        <w:rPr>
          <w:rFonts w:ascii="Arial" w:cs="Arial" w:eastAsia="Arial" w:hAnsi="Arial"/>
          <w:sz w:val="13"/>
          <w:szCs w:val="13"/>
          <w:color w:val="auto"/>
        </w:rPr>
        <w:t>Earnings per share - basic and diluted</w:t>
      </w:r>
    </w:p>
    <w:p>
      <w:pPr>
        <w:spacing w:after="0" w:line="20" w:lineRule="exact"/>
        <w:rPr>
          <w:sz w:val="20"/>
          <w:szCs w:val="20"/>
          <w:color w:val="auto"/>
        </w:rPr>
      </w:pPr>
      <w:r>
        <w:rPr>
          <w:sz w:val="20"/>
          <w:szCs w:val="20"/>
          <w:color w:val="auto"/>
        </w:rPr>
        <w:br w:type="column"/>
      </w:r>
    </w:p>
    <w:p>
      <w:pPr>
        <w:spacing w:after="0" w:line="36" w:lineRule="exact"/>
        <w:rPr>
          <w:sz w:val="20"/>
          <w:szCs w:val="20"/>
          <w:color w:val="auto"/>
        </w:rPr>
      </w:pPr>
    </w:p>
    <w:p>
      <w:pPr>
        <w:jc w:val="center"/>
        <w:ind w:right="60"/>
        <w:spacing w:after="0"/>
        <w:rPr>
          <w:sz w:val="20"/>
          <w:szCs w:val="20"/>
          <w:color w:val="auto"/>
        </w:rPr>
      </w:pPr>
      <w:r>
        <w:rPr>
          <w:rFonts w:ascii="Arial" w:cs="Arial" w:eastAsia="Arial" w:hAnsi="Arial"/>
          <w:sz w:val="13"/>
          <w:szCs w:val="13"/>
          <w:b w:val="1"/>
          <w:bCs w:val="1"/>
          <w:color w:val="auto"/>
        </w:rPr>
        <w:t>Three months ended 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27940</wp:posOffset>
            </wp:positionV>
            <wp:extent cx="4981575" cy="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4981575" cy="6985"/>
                    </a:xfrm>
                    <a:prstGeom prst="rect">
                      <a:avLst/>
                    </a:prstGeom>
                    <a:noFill/>
                  </pic:spPr>
                </pic:pic>
              </a:graphicData>
            </a:graphic>
          </wp:anchor>
        </w:drawing>
      </w:r>
    </w:p>
    <w:p>
      <w:pPr>
        <w:spacing w:after="0" w:line="46"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16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20" w:type="dxa"/>
            <w:vAlign w:val="bottom"/>
          </w:tcPr>
          <w:p>
            <w:pPr>
              <w:jc w:val="right"/>
              <w:ind w:right="415"/>
              <w:spacing w:after="0"/>
              <w:rPr>
                <w:sz w:val="20"/>
                <w:szCs w:val="20"/>
                <w:color w:val="auto"/>
              </w:rPr>
            </w:pPr>
            <w:r>
              <w:rPr>
                <w:rFonts w:ascii="Arial" w:cs="Arial" w:eastAsia="Arial" w:hAnsi="Arial"/>
                <w:sz w:val="13"/>
                <w:szCs w:val="13"/>
                <w:b w:val="1"/>
                <w:bCs w:val="1"/>
                <w:color w:val="auto"/>
              </w:rPr>
              <w:t>2019</w:t>
            </w:r>
          </w:p>
        </w:tc>
        <w:tc>
          <w:tcPr>
            <w:tcW w:w="10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20" w:type="dxa"/>
            <w:vAlign w:val="bottom"/>
          </w:tcPr>
          <w:p>
            <w:pPr>
              <w:jc w:val="center"/>
              <w:spacing w:after="0"/>
              <w:rPr>
                <w:sz w:val="20"/>
                <w:szCs w:val="20"/>
                <w:color w:val="auto"/>
              </w:rPr>
            </w:pPr>
            <w:r>
              <w:rPr>
                <w:rFonts w:ascii="Arial" w:cs="Arial" w:eastAsia="Arial" w:hAnsi="Arial"/>
                <w:sz w:val="13"/>
                <w:szCs w:val="13"/>
                <w:b w:val="1"/>
                <w:bCs w:val="1"/>
                <w:color w:val="auto"/>
                <w:w w:val="89"/>
              </w:rPr>
              <w:t>2018</w:t>
            </w:r>
          </w:p>
        </w:tc>
        <w:tc>
          <w:tcPr>
            <w:tcW w:w="100" w:type="dxa"/>
            <w:vAlign w:val="bottom"/>
          </w:tcPr>
          <w:p>
            <w:pPr>
              <w:spacing w:after="0"/>
              <w:rPr>
                <w:sz w:val="14"/>
                <w:szCs w:val="14"/>
                <w:color w:val="auto"/>
              </w:rPr>
            </w:pPr>
          </w:p>
        </w:tc>
        <w:tc>
          <w:tcPr>
            <w:tcW w:w="1240" w:type="dxa"/>
            <w:vAlign w:val="bottom"/>
          </w:tcPr>
          <w:p>
            <w:pPr>
              <w:spacing w:after="0"/>
              <w:rPr>
                <w:sz w:val="14"/>
                <w:szCs w:val="14"/>
                <w:color w:val="auto"/>
              </w:rPr>
            </w:pPr>
          </w:p>
        </w:tc>
      </w:tr>
      <w:tr>
        <w:trPr>
          <w:trHeight w:val="27"/>
        </w:trPr>
        <w:tc>
          <w:tcPr>
            <w:tcW w:w="1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gridSpan w:val="2"/>
          </w:tcPr>
          <w:p>
            <w:pPr>
              <w:spacing w:after="0"/>
              <w:rPr>
                <w:sz w:val="2"/>
                <w:szCs w:val="2"/>
                <w:color w:val="auto"/>
              </w:rPr>
            </w:pPr>
          </w:p>
        </w:tc>
        <w:tc>
          <w:tcPr>
            <w:tcW w:w="1320" w:type="dxa"/>
            <w:vAlign w:val="bottom"/>
            <w:tcBorders>
              <w:bottom w:val="single" w:sz="8" w:color="auto"/>
            </w:tcBorders>
            <w:gridSpan w:val="2"/>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gridSpan w:val="2"/>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r>
        <w:trPr>
          <w:trHeight w:val="167"/>
        </w:trPr>
        <w:tc>
          <w:tcPr>
            <w:tcW w:w="160" w:type="dxa"/>
            <w:vAlign w:val="bottom"/>
          </w:tcPr>
          <w:p>
            <w:pPr>
              <w:spacing w:after="0"/>
              <w:rPr>
                <w:sz w:val="14"/>
                <w:szCs w:val="14"/>
                <w:color w:val="auto"/>
              </w:rPr>
            </w:pPr>
          </w:p>
        </w:tc>
        <w:tc>
          <w:tcPr>
            <w:tcW w:w="1160" w:type="dxa"/>
            <w:vAlign w:val="bottom"/>
            <w:gridSpan w:val="2"/>
          </w:tcPr>
          <w:p>
            <w:pPr>
              <w:jc w:val="center"/>
              <w:ind w:right="280"/>
              <w:spacing w:after="0"/>
              <w:rPr>
                <w:sz w:val="20"/>
                <w:szCs w:val="20"/>
                <w:color w:val="auto"/>
              </w:rPr>
            </w:pPr>
            <w:r>
              <w:rPr>
                <w:rFonts w:ascii="Arial" w:cs="Arial" w:eastAsia="Arial" w:hAnsi="Arial"/>
                <w:sz w:val="13"/>
                <w:szCs w:val="13"/>
                <w:color w:val="auto"/>
                <w:w w:val="90"/>
              </w:rPr>
              <w:t>Common</w:t>
            </w:r>
          </w:p>
        </w:tc>
        <w:tc>
          <w:tcPr>
            <w:tcW w:w="1320" w:type="dxa"/>
            <w:vAlign w:val="bottom"/>
            <w:gridSpan w:val="2"/>
          </w:tcPr>
          <w:p>
            <w:pPr>
              <w:ind w:left="100"/>
              <w:spacing w:after="0"/>
              <w:rPr>
                <w:sz w:val="20"/>
                <w:szCs w:val="20"/>
                <w:color w:val="auto"/>
              </w:rPr>
            </w:pPr>
            <w:r>
              <w:rPr>
                <w:rFonts w:ascii="Arial" w:cs="Arial" w:eastAsia="Arial" w:hAnsi="Arial"/>
                <w:sz w:val="13"/>
                <w:szCs w:val="13"/>
                <w:color w:val="auto"/>
              </w:rPr>
              <w:t>Unvested restricted</w:t>
            </w:r>
          </w:p>
        </w:tc>
        <w:tc>
          <w:tcPr>
            <w:tcW w:w="1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20" w:type="dxa"/>
            <w:vAlign w:val="bottom"/>
            <w:gridSpan w:val="2"/>
          </w:tcPr>
          <w:p>
            <w:pPr>
              <w:jc w:val="center"/>
              <w:ind w:right="120"/>
              <w:spacing w:after="0"/>
              <w:rPr>
                <w:sz w:val="20"/>
                <w:szCs w:val="20"/>
                <w:color w:val="auto"/>
              </w:rPr>
            </w:pPr>
            <w:r>
              <w:rPr>
                <w:rFonts w:ascii="Arial" w:cs="Arial" w:eastAsia="Arial" w:hAnsi="Arial"/>
                <w:sz w:val="13"/>
                <w:szCs w:val="13"/>
                <w:color w:val="auto"/>
                <w:w w:val="89"/>
              </w:rPr>
              <w:t>Unvested restricted</w:t>
            </w:r>
          </w:p>
        </w:tc>
        <w:tc>
          <w:tcPr>
            <w:tcW w:w="1240" w:type="dxa"/>
            <w:vAlign w:val="bottom"/>
          </w:tcPr>
          <w:p>
            <w:pPr>
              <w:spacing w:after="0"/>
              <w:rPr>
                <w:sz w:val="14"/>
                <w:szCs w:val="14"/>
                <w:color w:val="auto"/>
              </w:rPr>
            </w:pPr>
          </w:p>
        </w:tc>
      </w:tr>
      <w:tr>
        <w:trPr>
          <w:trHeight w:val="163"/>
        </w:trPr>
        <w:tc>
          <w:tcPr>
            <w:tcW w:w="160" w:type="dxa"/>
            <w:vAlign w:val="bottom"/>
          </w:tcPr>
          <w:p>
            <w:pPr>
              <w:spacing w:after="0"/>
              <w:rPr>
                <w:sz w:val="14"/>
                <w:szCs w:val="14"/>
                <w:color w:val="auto"/>
              </w:rPr>
            </w:pPr>
          </w:p>
        </w:tc>
        <w:tc>
          <w:tcPr>
            <w:tcW w:w="1160" w:type="dxa"/>
            <w:vAlign w:val="bottom"/>
            <w:gridSpan w:val="2"/>
          </w:tcPr>
          <w:p>
            <w:pPr>
              <w:jc w:val="center"/>
              <w:ind w:right="300"/>
              <w:spacing w:after="0"/>
              <w:rPr>
                <w:sz w:val="20"/>
                <w:szCs w:val="20"/>
                <w:color w:val="auto"/>
              </w:rPr>
            </w:pPr>
            <w:r>
              <w:rPr>
                <w:rFonts w:ascii="Arial" w:cs="Arial" w:eastAsia="Arial" w:hAnsi="Arial"/>
                <w:sz w:val="13"/>
                <w:szCs w:val="13"/>
                <w:color w:val="auto"/>
                <w:w w:val="87"/>
              </w:rPr>
              <w:t>shareholders</w:t>
            </w:r>
          </w:p>
        </w:tc>
        <w:tc>
          <w:tcPr>
            <w:tcW w:w="1320" w:type="dxa"/>
            <w:vAlign w:val="bottom"/>
            <w:gridSpan w:val="2"/>
          </w:tcPr>
          <w:p>
            <w:pPr>
              <w:ind w:left="100"/>
              <w:spacing w:after="0"/>
              <w:rPr>
                <w:sz w:val="20"/>
                <w:szCs w:val="20"/>
                <w:color w:val="auto"/>
              </w:rPr>
            </w:pPr>
            <w:r>
              <w:rPr>
                <w:rFonts w:ascii="Arial" w:cs="Arial" w:eastAsia="Arial" w:hAnsi="Arial"/>
                <w:sz w:val="13"/>
                <w:szCs w:val="13"/>
                <w:color w:val="auto"/>
              </w:rPr>
              <w:t>stock shareholders</w:t>
            </w:r>
          </w:p>
        </w:tc>
        <w:tc>
          <w:tcPr>
            <w:tcW w:w="1300" w:type="dxa"/>
            <w:vAlign w:val="bottom"/>
            <w:gridSpan w:val="2"/>
          </w:tcPr>
          <w:p>
            <w:pPr>
              <w:ind w:left="440"/>
              <w:spacing w:after="0"/>
              <w:rPr>
                <w:sz w:val="20"/>
                <w:szCs w:val="20"/>
                <w:color w:val="auto"/>
              </w:rPr>
            </w:pPr>
            <w:r>
              <w:rPr>
                <w:rFonts w:ascii="Arial" w:cs="Arial" w:eastAsia="Arial" w:hAnsi="Arial"/>
                <w:sz w:val="13"/>
                <w:szCs w:val="13"/>
                <w:color w:val="auto"/>
              </w:rPr>
              <w:t>Total</w:t>
            </w:r>
          </w:p>
        </w:tc>
        <w:tc>
          <w:tcPr>
            <w:tcW w:w="1340" w:type="dxa"/>
            <w:vAlign w:val="bottom"/>
            <w:gridSpan w:val="2"/>
          </w:tcPr>
          <w:p>
            <w:pPr>
              <w:ind w:left="20"/>
              <w:spacing w:after="0"/>
              <w:rPr>
                <w:sz w:val="20"/>
                <w:szCs w:val="20"/>
                <w:color w:val="auto"/>
              </w:rPr>
            </w:pPr>
            <w:r>
              <w:rPr>
                <w:rFonts w:ascii="Arial" w:cs="Arial" w:eastAsia="Arial" w:hAnsi="Arial"/>
                <w:sz w:val="13"/>
                <w:szCs w:val="13"/>
                <w:color w:val="auto"/>
                <w:w w:val="98"/>
              </w:rPr>
              <w:t>Common shareholders</w:t>
            </w:r>
          </w:p>
        </w:tc>
        <w:tc>
          <w:tcPr>
            <w:tcW w:w="1320" w:type="dxa"/>
            <w:vAlign w:val="bottom"/>
            <w:gridSpan w:val="2"/>
          </w:tcPr>
          <w:p>
            <w:pPr>
              <w:jc w:val="center"/>
              <w:ind w:right="160"/>
              <w:spacing w:after="0"/>
              <w:rPr>
                <w:sz w:val="20"/>
                <w:szCs w:val="20"/>
                <w:color w:val="auto"/>
              </w:rPr>
            </w:pPr>
            <w:r>
              <w:rPr>
                <w:rFonts w:ascii="Arial" w:cs="Arial" w:eastAsia="Arial" w:hAnsi="Arial"/>
                <w:sz w:val="13"/>
                <w:szCs w:val="13"/>
                <w:color w:val="auto"/>
                <w:w w:val="87"/>
              </w:rPr>
              <w:t>stock shareholders</w:t>
            </w:r>
          </w:p>
        </w:tc>
        <w:tc>
          <w:tcPr>
            <w:tcW w:w="1240" w:type="dxa"/>
            <w:vAlign w:val="bottom"/>
          </w:tcPr>
          <w:p>
            <w:pPr>
              <w:jc w:val="right"/>
              <w:ind w:right="435"/>
              <w:spacing w:after="0"/>
              <w:rPr>
                <w:sz w:val="20"/>
                <w:szCs w:val="20"/>
                <w:color w:val="auto"/>
              </w:rPr>
            </w:pPr>
            <w:r>
              <w:rPr>
                <w:rFonts w:ascii="Arial" w:cs="Arial" w:eastAsia="Arial" w:hAnsi="Arial"/>
                <w:sz w:val="13"/>
                <w:szCs w:val="13"/>
                <w:color w:val="auto"/>
              </w:rPr>
              <w:t>Total</w:t>
            </w:r>
          </w:p>
        </w:tc>
      </w:tr>
      <w:tr>
        <w:trPr>
          <w:trHeight w:val="27"/>
        </w:trPr>
        <w:tc>
          <w:tcPr>
            <w:tcW w:w="16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r>
        <w:trPr>
          <w:trHeight w:val="363"/>
        </w:trPr>
        <w:tc>
          <w:tcPr>
            <w:tcW w:w="160" w:type="dxa"/>
            <w:vAlign w:val="bottom"/>
          </w:tcPr>
          <w:p>
            <w:pPr>
              <w:jc w:val="right"/>
              <w:ind w:right="15"/>
              <w:spacing w:after="0"/>
              <w:rPr>
                <w:sz w:val="20"/>
                <w:szCs w:val="20"/>
                <w:color w:val="auto"/>
              </w:rPr>
            </w:pPr>
            <w:r>
              <w:rPr>
                <w:rFonts w:ascii="Arial" w:cs="Arial" w:eastAsia="Arial" w:hAnsi="Arial"/>
                <w:sz w:val="13"/>
                <w:szCs w:val="13"/>
                <w:color w:val="auto"/>
                <w:w w:val="82"/>
              </w:rPr>
              <w:t>$</w:t>
            </w:r>
          </w:p>
        </w:tc>
        <w:tc>
          <w:tcPr>
            <w:tcW w:w="1060" w:type="dxa"/>
            <w:vAlign w:val="bottom"/>
          </w:tcPr>
          <w:p>
            <w:pPr>
              <w:jc w:val="right"/>
              <w:spacing w:after="0"/>
              <w:rPr>
                <w:sz w:val="20"/>
                <w:szCs w:val="20"/>
                <w:color w:val="auto"/>
              </w:rPr>
            </w:pPr>
            <w:r>
              <w:rPr>
                <w:rFonts w:ascii="Arial" w:cs="Arial" w:eastAsia="Arial" w:hAnsi="Arial"/>
                <w:sz w:val="13"/>
                <w:szCs w:val="13"/>
                <w:color w:val="auto"/>
              </w:rPr>
              <w:t>41,057</w:t>
            </w:r>
          </w:p>
        </w:tc>
        <w:tc>
          <w:tcPr>
            <w:tcW w:w="100" w:type="dxa"/>
            <w:vAlign w:val="bottom"/>
          </w:tcPr>
          <w:p>
            <w:pPr>
              <w:spacing w:after="0"/>
              <w:rPr>
                <w:sz w:val="24"/>
                <w:szCs w:val="24"/>
                <w:color w:val="auto"/>
              </w:rPr>
            </w:pPr>
          </w:p>
        </w:tc>
        <w:tc>
          <w:tcPr>
            <w:tcW w:w="1220" w:type="dxa"/>
            <w:vAlign w:val="bottom"/>
          </w:tcPr>
          <w:p>
            <w:pPr>
              <w:jc w:val="right"/>
              <w:spacing w:after="0"/>
              <w:rPr>
                <w:sz w:val="20"/>
                <w:szCs w:val="20"/>
                <w:color w:val="auto"/>
              </w:rPr>
            </w:pPr>
            <w:r>
              <w:rPr>
                <w:rFonts w:ascii="Arial" w:cs="Arial" w:eastAsia="Arial" w:hAnsi="Arial"/>
                <w:sz w:val="13"/>
                <w:szCs w:val="13"/>
                <w:color w:val="auto"/>
              </w:rPr>
              <w:t>534</w:t>
            </w:r>
          </w:p>
        </w:tc>
        <w:tc>
          <w:tcPr>
            <w:tcW w:w="100" w:type="dxa"/>
            <w:vAlign w:val="bottom"/>
          </w:tcPr>
          <w:p>
            <w:pPr>
              <w:spacing w:after="0"/>
              <w:rPr>
                <w:sz w:val="24"/>
                <w:szCs w:val="24"/>
                <w:color w:val="auto"/>
              </w:rPr>
            </w:pPr>
          </w:p>
        </w:tc>
        <w:tc>
          <w:tcPr>
            <w:tcW w:w="1200" w:type="dxa"/>
            <w:vAlign w:val="bottom"/>
          </w:tcPr>
          <w:p>
            <w:pPr>
              <w:jc w:val="right"/>
              <w:spacing w:after="0"/>
              <w:rPr>
                <w:sz w:val="20"/>
                <w:szCs w:val="20"/>
                <w:color w:val="auto"/>
              </w:rPr>
            </w:pPr>
            <w:r>
              <w:rPr>
                <w:rFonts w:ascii="Arial" w:cs="Arial" w:eastAsia="Arial" w:hAnsi="Arial"/>
                <w:sz w:val="13"/>
                <w:szCs w:val="13"/>
                <w:color w:val="auto"/>
              </w:rPr>
              <w:t>41,591</w:t>
            </w:r>
          </w:p>
        </w:tc>
        <w:tc>
          <w:tcPr>
            <w:tcW w:w="100" w:type="dxa"/>
            <w:vAlign w:val="bottom"/>
          </w:tcPr>
          <w:p>
            <w:pPr>
              <w:spacing w:after="0"/>
              <w:rPr>
                <w:sz w:val="24"/>
                <w:szCs w:val="24"/>
                <w:color w:val="auto"/>
              </w:rPr>
            </w:pPr>
          </w:p>
        </w:tc>
        <w:tc>
          <w:tcPr>
            <w:tcW w:w="1240" w:type="dxa"/>
            <w:vAlign w:val="bottom"/>
          </w:tcPr>
          <w:p>
            <w:pPr>
              <w:jc w:val="right"/>
              <w:spacing w:after="0"/>
              <w:rPr>
                <w:sz w:val="20"/>
                <w:szCs w:val="20"/>
                <w:color w:val="auto"/>
              </w:rPr>
            </w:pPr>
            <w:r>
              <w:rPr>
                <w:rFonts w:ascii="Arial" w:cs="Arial" w:eastAsia="Arial" w:hAnsi="Arial"/>
                <w:sz w:val="13"/>
                <w:szCs w:val="13"/>
                <w:color w:val="auto"/>
              </w:rPr>
              <w:t>112,788</w:t>
            </w:r>
          </w:p>
        </w:tc>
        <w:tc>
          <w:tcPr>
            <w:tcW w:w="100" w:type="dxa"/>
            <w:vAlign w:val="bottom"/>
          </w:tcPr>
          <w:p>
            <w:pPr>
              <w:spacing w:after="0"/>
              <w:rPr>
                <w:sz w:val="24"/>
                <w:szCs w:val="24"/>
                <w:color w:val="auto"/>
              </w:rPr>
            </w:pPr>
          </w:p>
        </w:tc>
        <w:tc>
          <w:tcPr>
            <w:tcW w:w="1220" w:type="dxa"/>
            <w:vAlign w:val="bottom"/>
          </w:tcPr>
          <w:p>
            <w:pPr>
              <w:jc w:val="right"/>
              <w:spacing w:after="0"/>
              <w:rPr>
                <w:sz w:val="20"/>
                <w:szCs w:val="20"/>
                <w:color w:val="auto"/>
              </w:rPr>
            </w:pPr>
            <w:r>
              <w:rPr>
                <w:rFonts w:ascii="Arial" w:cs="Arial" w:eastAsia="Arial" w:hAnsi="Arial"/>
                <w:sz w:val="13"/>
                <w:szCs w:val="13"/>
                <w:color w:val="auto"/>
              </w:rPr>
              <w:t>1,137</w:t>
            </w:r>
          </w:p>
        </w:tc>
        <w:tc>
          <w:tcPr>
            <w:tcW w:w="100" w:type="dxa"/>
            <w:vAlign w:val="bottom"/>
          </w:tcPr>
          <w:p>
            <w:pPr>
              <w:spacing w:after="0"/>
              <w:rPr>
                <w:sz w:val="24"/>
                <w:szCs w:val="24"/>
                <w:color w:val="auto"/>
              </w:rPr>
            </w:pPr>
          </w:p>
        </w:tc>
        <w:tc>
          <w:tcPr>
            <w:tcW w:w="1240" w:type="dxa"/>
            <w:vAlign w:val="bottom"/>
          </w:tcPr>
          <w:p>
            <w:pPr>
              <w:jc w:val="right"/>
              <w:spacing w:after="0"/>
              <w:rPr>
                <w:sz w:val="20"/>
                <w:szCs w:val="20"/>
                <w:color w:val="auto"/>
              </w:rPr>
            </w:pPr>
            <w:r>
              <w:rPr>
                <w:rFonts w:ascii="Arial" w:cs="Arial" w:eastAsia="Arial" w:hAnsi="Arial"/>
                <w:sz w:val="13"/>
                <w:szCs w:val="13"/>
                <w:color w:val="auto"/>
              </w:rPr>
              <w:t>113,925</w:t>
            </w:r>
          </w:p>
        </w:tc>
      </w:tr>
      <w:tr>
        <w:trPr>
          <w:trHeight w:val="603"/>
        </w:trPr>
        <w:tc>
          <w:tcPr>
            <w:tcW w:w="160" w:type="dxa"/>
            <w:vAlign w:val="bottom"/>
          </w:tcPr>
          <w:p>
            <w:pPr>
              <w:spacing w:after="0"/>
              <w:rPr>
                <w:sz w:val="24"/>
                <w:szCs w:val="24"/>
                <w:color w:val="auto"/>
              </w:rPr>
            </w:pPr>
          </w:p>
        </w:tc>
        <w:tc>
          <w:tcPr>
            <w:tcW w:w="1060" w:type="dxa"/>
            <w:vAlign w:val="bottom"/>
          </w:tcPr>
          <w:p>
            <w:pPr>
              <w:jc w:val="right"/>
              <w:spacing w:after="0"/>
              <w:rPr>
                <w:sz w:val="20"/>
                <w:szCs w:val="20"/>
                <w:color w:val="auto"/>
              </w:rPr>
            </w:pPr>
            <w:r>
              <w:rPr>
                <w:rFonts w:ascii="Arial" w:cs="Arial" w:eastAsia="Arial" w:hAnsi="Arial"/>
                <w:sz w:val="13"/>
                <w:szCs w:val="13"/>
                <w:color w:val="auto"/>
              </w:rPr>
              <w:t>39,855,122</w:t>
            </w:r>
          </w:p>
        </w:tc>
        <w:tc>
          <w:tcPr>
            <w:tcW w:w="100" w:type="dxa"/>
            <w:vAlign w:val="bottom"/>
          </w:tcPr>
          <w:p>
            <w:pPr>
              <w:spacing w:after="0"/>
              <w:rPr>
                <w:sz w:val="24"/>
                <w:szCs w:val="24"/>
                <w:color w:val="auto"/>
              </w:rPr>
            </w:pPr>
          </w:p>
        </w:tc>
        <w:tc>
          <w:tcPr>
            <w:tcW w:w="1220" w:type="dxa"/>
            <w:vAlign w:val="bottom"/>
          </w:tcPr>
          <w:p>
            <w:pPr>
              <w:jc w:val="right"/>
              <w:spacing w:after="0"/>
              <w:rPr>
                <w:sz w:val="20"/>
                <w:szCs w:val="20"/>
                <w:color w:val="auto"/>
              </w:rPr>
            </w:pPr>
            <w:r>
              <w:rPr>
                <w:rFonts w:ascii="Arial" w:cs="Arial" w:eastAsia="Arial" w:hAnsi="Arial"/>
                <w:sz w:val="13"/>
                <w:szCs w:val="13"/>
                <w:color w:val="auto"/>
              </w:rPr>
              <w:t>518,173</w:t>
            </w:r>
          </w:p>
        </w:tc>
        <w:tc>
          <w:tcPr>
            <w:tcW w:w="100" w:type="dxa"/>
            <w:vAlign w:val="bottom"/>
          </w:tcPr>
          <w:p>
            <w:pPr>
              <w:spacing w:after="0"/>
              <w:rPr>
                <w:sz w:val="24"/>
                <w:szCs w:val="24"/>
                <w:color w:val="auto"/>
              </w:rPr>
            </w:pPr>
          </w:p>
        </w:tc>
        <w:tc>
          <w:tcPr>
            <w:tcW w:w="1200" w:type="dxa"/>
            <w:vAlign w:val="bottom"/>
          </w:tcPr>
          <w:p>
            <w:pPr>
              <w:jc w:val="right"/>
              <w:spacing w:after="0"/>
              <w:rPr>
                <w:sz w:val="20"/>
                <w:szCs w:val="20"/>
                <w:color w:val="auto"/>
              </w:rPr>
            </w:pPr>
            <w:r>
              <w:rPr>
                <w:rFonts w:ascii="Arial" w:cs="Arial" w:eastAsia="Arial" w:hAnsi="Arial"/>
                <w:sz w:val="13"/>
                <w:szCs w:val="13"/>
                <w:color w:val="auto"/>
              </w:rPr>
              <w:t>40,373,295</w:t>
            </w:r>
          </w:p>
        </w:tc>
        <w:tc>
          <w:tcPr>
            <w:tcW w:w="100" w:type="dxa"/>
            <w:vAlign w:val="bottom"/>
          </w:tcPr>
          <w:p>
            <w:pPr>
              <w:spacing w:after="0"/>
              <w:rPr>
                <w:sz w:val="24"/>
                <w:szCs w:val="24"/>
                <w:color w:val="auto"/>
              </w:rPr>
            </w:pPr>
          </w:p>
        </w:tc>
        <w:tc>
          <w:tcPr>
            <w:tcW w:w="1240" w:type="dxa"/>
            <w:vAlign w:val="bottom"/>
          </w:tcPr>
          <w:p>
            <w:pPr>
              <w:jc w:val="right"/>
              <w:spacing w:after="0"/>
              <w:rPr>
                <w:sz w:val="20"/>
                <w:szCs w:val="20"/>
                <w:color w:val="auto"/>
              </w:rPr>
            </w:pPr>
            <w:r>
              <w:rPr>
                <w:rFonts w:ascii="Arial" w:cs="Arial" w:eastAsia="Arial" w:hAnsi="Arial"/>
                <w:sz w:val="13"/>
                <w:szCs w:val="13"/>
                <w:color w:val="auto"/>
              </w:rPr>
              <w:t>40,541,870</w:t>
            </w:r>
          </w:p>
        </w:tc>
        <w:tc>
          <w:tcPr>
            <w:tcW w:w="100" w:type="dxa"/>
            <w:vAlign w:val="bottom"/>
          </w:tcPr>
          <w:p>
            <w:pPr>
              <w:spacing w:after="0"/>
              <w:rPr>
                <w:sz w:val="24"/>
                <w:szCs w:val="24"/>
                <w:color w:val="auto"/>
              </w:rPr>
            </w:pPr>
          </w:p>
        </w:tc>
        <w:tc>
          <w:tcPr>
            <w:tcW w:w="1220" w:type="dxa"/>
            <w:vAlign w:val="bottom"/>
          </w:tcPr>
          <w:p>
            <w:pPr>
              <w:jc w:val="right"/>
              <w:spacing w:after="0"/>
              <w:rPr>
                <w:sz w:val="20"/>
                <w:szCs w:val="20"/>
                <w:color w:val="auto"/>
              </w:rPr>
            </w:pPr>
            <w:r>
              <w:rPr>
                <w:rFonts w:ascii="Arial" w:cs="Arial" w:eastAsia="Arial" w:hAnsi="Arial"/>
                <w:sz w:val="13"/>
                <w:szCs w:val="13"/>
                <w:color w:val="auto"/>
              </w:rPr>
              <w:t>408,658</w:t>
            </w:r>
          </w:p>
        </w:tc>
        <w:tc>
          <w:tcPr>
            <w:tcW w:w="100" w:type="dxa"/>
            <w:vAlign w:val="bottom"/>
          </w:tcPr>
          <w:p>
            <w:pPr>
              <w:spacing w:after="0"/>
              <w:rPr>
                <w:sz w:val="24"/>
                <w:szCs w:val="24"/>
                <w:color w:val="auto"/>
              </w:rPr>
            </w:pPr>
          </w:p>
        </w:tc>
        <w:tc>
          <w:tcPr>
            <w:tcW w:w="1240" w:type="dxa"/>
            <w:vAlign w:val="bottom"/>
          </w:tcPr>
          <w:p>
            <w:pPr>
              <w:jc w:val="right"/>
              <w:spacing w:after="0"/>
              <w:rPr>
                <w:sz w:val="20"/>
                <w:szCs w:val="20"/>
                <w:color w:val="auto"/>
              </w:rPr>
            </w:pPr>
            <w:r>
              <w:rPr>
                <w:rFonts w:ascii="Arial" w:cs="Arial" w:eastAsia="Arial" w:hAnsi="Arial"/>
                <w:sz w:val="13"/>
                <w:szCs w:val="13"/>
                <w:color w:val="auto"/>
              </w:rPr>
              <w:t>40,950,528</w:t>
            </w:r>
          </w:p>
        </w:tc>
      </w:tr>
      <w:tr>
        <w:trPr>
          <w:trHeight w:val="205"/>
        </w:trPr>
        <w:tc>
          <w:tcPr>
            <w:tcW w:w="160" w:type="dxa"/>
            <w:vAlign w:val="bottom"/>
          </w:tcPr>
          <w:p>
            <w:pPr>
              <w:jc w:val="right"/>
              <w:ind w:right="15"/>
              <w:spacing w:after="0"/>
              <w:rPr>
                <w:sz w:val="20"/>
                <w:szCs w:val="20"/>
                <w:color w:val="auto"/>
              </w:rPr>
            </w:pPr>
            <w:r>
              <w:rPr>
                <w:rFonts w:ascii="Arial" w:cs="Arial" w:eastAsia="Arial" w:hAnsi="Arial"/>
                <w:sz w:val="13"/>
                <w:szCs w:val="13"/>
                <w:color w:val="auto"/>
                <w:w w:val="82"/>
              </w:rPr>
              <w:t>$</w:t>
            </w:r>
          </w:p>
        </w:tc>
        <w:tc>
          <w:tcPr>
            <w:tcW w:w="1060" w:type="dxa"/>
            <w:vAlign w:val="bottom"/>
          </w:tcPr>
          <w:p>
            <w:pPr>
              <w:jc w:val="right"/>
              <w:spacing w:after="0"/>
              <w:rPr>
                <w:sz w:val="20"/>
                <w:szCs w:val="20"/>
                <w:color w:val="auto"/>
              </w:rPr>
            </w:pPr>
            <w:r>
              <w:rPr>
                <w:rFonts w:ascii="Arial" w:cs="Arial" w:eastAsia="Arial" w:hAnsi="Arial"/>
                <w:sz w:val="13"/>
                <w:szCs w:val="13"/>
                <w:color w:val="auto"/>
              </w:rPr>
              <w:t>1.03</w:t>
            </w:r>
          </w:p>
        </w:tc>
        <w:tc>
          <w:tcPr>
            <w:tcW w:w="100" w:type="dxa"/>
            <w:vAlign w:val="bottom"/>
          </w:tcPr>
          <w:p>
            <w:pPr>
              <w:spacing w:after="0"/>
              <w:rPr>
                <w:sz w:val="17"/>
                <w:szCs w:val="17"/>
                <w:color w:val="auto"/>
              </w:rPr>
            </w:pPr>
          </w:p>
        </w:tc>
        <w:tc>
          <w:tcPr>
            <w:tcW w:w="1220" w:type="dxa"/>
            <w:vAlign w:val="bottom"/>
          </w:tcPr>
          <w:p>
            <w:pPr>
              <w:jc w:val="right"/>
              <w:spacing w:after="0"/>
              <w:rPr>
                <w:sz w:val="20"/>
                <w:szCs w:val="20"/>
                <w:color w:val="auto"/>
              </w:rPr>
            </w:pPr>
            <w:r>
              <w:rPr>
                <w:rFonts w:ascii="Arial" w:cs="Arial" w:eastAsia="Arial" w:hAnsi="Arial"/>
                <w:sz w:val="13"/>
                <w:szCs w:val="13"/>
                <w:color w:val="auto"/>
              </w:rPr>
              <w:t>1.03</w:t>
            </w:r>
          </w:p>
        </w:tc>
        <w:tc>
          <w:tcPr>
            <w:tcW w:w="10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3"/>
                <w:szCs w:val="13"/>
                <w:color w:val="auto"/>
              </w:rPr>
              <w:t>1.03</w:t>
            </w:r>
          </w:p>
        </w:tc>
        <w:tc>
          <w:tcPr>
            <w:tcW w:w="100" w:type="dxa"/>
            <w:vAlign w:val="bottom"/>
          </w:tcPr>
          <w:p>
            <w:pPr>
              <w:spacing w:after="0"/>
              <w:rPr>
                <w:sz w:val="17"/>
                <w:szCs w:val="17"/>
                <w:color w:val="auto"/>
              </w:rPr>
            </w:pPr>
          </w:p>
        </w:tc>
        <w:tc>
          <w:tcPr>
            <w:tcW w:w="1240" w:type="dxa"/>
            <w:vAlign w:val="bottom"/>
          </w:tcPr>
          <w:p>
            <w:pPr>
              <w:jc w:val="right"/>
              <w:spacing w:after="0"/>
              <w:rPr>
                <w:sz w:val="20"/>
                <w:szCs w:val="20"/>
                <w:color w:val="auto"/>
              </w:rPr>
            </w:pPr>
            <w:r>
              <w:rPr>
                <w:rFonts w:ascii="Arial" w:cs="Arial" w:eastAsia="Arial" w:hAnsi="Arial"/>
                <w:sz w:val="13"/>
                <w:szCs w:val="13"/>
                <w:color w:val="auto"/>
              </w:rPr>
              <w:t>2.78</w:t>
            </w:r>
          </w:p>
        </w:tc>
        <w:tc>
          <w:tcPr>
            <w:tcW w:w="100" w:type="dxa"/>
            <w:vAlign w:val="bottom"/>
          </w:tcPr>
          <w:p>
            <w:pPr>
              <w:spacing w:after="0"/>
              <w:rPr>
                <w:sz w:val="17"/>
                <w:szCs w:val="17"/>
                <w:color w:val="auto"/>
              </w:rPr>
            </w:pPr>
          </w:p>
        </w:tc>
        <w:tc>
          <w:tcPr>
            <w:tcW w:w="1220" w:type="dxa"/>
            <w:vAlign w:val="bottom"/>
          </w:tcPr>
          <w:p>
            <w:pPr>
              <w:jc w:val="right"/>
              <w:spacing w:after="0"/>
              <w:rPr>
                <w:sz w:val="20"/>
                <w:szCs w:val="20"/>
                <w:color w:val="auto"/>
              </w:rPr>
            </w:pPr>
            <w:r>
              <w:rPr>
                <w:rFonts w:ascii="Arial" w:cs="Arial" w:eastAsia="Arial" w:hAnsi="Arial"/>
                <w:sz w:val="13"/>
                <w:szCs w:val="13"/>
                <w:color w:val="auto"/>
              </w:rPr>
              <w:t>2.78</w:t>
            </w:r>
          </w:p>
        </w:tc>
        <w:tc>
          <w:tcPr>
            <w:tcW w:w="100" w:type="dxa"/>
            <w:vAlign w:val="bottom"/>
          </w:tcPr>
          <w:p>
            <w:pPr>
              <w:spacing w:after="0"/>
              <w:rPr>
                <w:sz w:val="17"/>
                <w:szCs w:val="17"/>
                <w:color w:val="auto"/>
              </w:rPr>
            </w:pPr>
          </w:p>
        </w:tc>
        <w:tc>
          <w:tcPr>
            <w:tcW w:w="1240" w:type="dxa"/>
            <w:vAlign w:val="bottom"/>
          </w:tcPr>
          <w:p>
            <w:pPr>
              <w:jc w:val="right"/>
              <w:spacing w:after="0"/>
              <w:rPr>
                <w:sz w:val="20"/>
                <w:szCs w:val="20"/>
                <w:color w:val="auto"/>
              </w:rPr>
            </w:pPr>
            <w:r>
              <w:rPr>
                <w:rFonts w:ascii="Arial" w:cs="Arial" w:eastAsia="Arial" w:hAnsi="Arial"/>
                <w:sz w:val="13"/>
                <w:szCs w:val="13"/>
                <w:color w:val="auto"/>
              </w:rPr>
              <w:t>2.78</w:t>
            </w:r>
          </w:p>
        </w:tc>
      </w:tr>
      <w:tr>
        <w:trPr>
          <w:trHeight w:val="27"/>
        </w:trPr>
        <w:tc>
          <w:tcPr>
            <w:tcW w:w="16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r>
        <w:trPr>
          <w:trHeight w:val="20"/>
        </w:trPr>
        <w:tc>
          <w:tcPr>
            <w:tcW w:w="16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-2214880</wp:posOffset>
            </wp:positionH>
            <wp:positionV relativeFrom="paragraph">
              <wp:posOffset>-669925</wp:posOffset>
            </wp:positionV>
            <wp:extent cx="7198995" cy="130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98995" cy="130175"/>
                    </a:xfrm>
                    <a:prstGeom prst="rect">
                      <a:avLst/>
                    </a:prstGeom>
                    <a:noFill/>
                  </pic:spPr>
                </pic:pic>
              </a:graphicData>
            </a:graphic>
          </wp:anchor>
        </w:drawing>
        <w:drawing>
          <wp:anchor simplePos="0" relativeHeight="251657728" behindDoc="1" locked="0" layoutInCell="0" allowOverlap="1">
            <wp:simplePos x="0" y="0"/>
            <wp:positionH relativeFrom="column">
              <wp:posOffset>-2214880</wp:posOffset>
            </wp:positionH>
            <wp:positionV relativeFrom="paragraph">
              <wp:posOffset>-348615</wp:posOffset>
            </wp:positionV>
            <wp:extent cx="7198995" cy="1917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98995" cy="19177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3180" w:space="380"/>
            <w:col w:w="7900"/>
          </w:cols>
          <w:pgMar w:left="220" w:top="739" w:right="21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19</w:t>
      </w:r>
    </w:p>
    <w:p>
      <w:pPr>
        <w:sectPr>
          <w:pgSz w:w="11900" w:h="16838" w:orient="portrait"/>
          <w:cols w:equalWidth="0" w:num="1">
            <w:col w:w="11460"/>
          </w:cols>
          <w:pgMar w:left="220" w:top="739" w:right="219" w:bottom="1440" w:gutter="0" w:footer="0" w:header="0"/>
          <w:type w:val="continuous"/>
        </w:sectPr>
      </w:pPr>
    </w:p>
    <w:bookmarkStart w:id="20" w:name="page21"/>
    <w:bookmarkEnd w:id="20"/>
    <w:p>
      <w:pPr>
        <w:spacing w:after="0"/>
        <w:rPr>
          <w:sz w:val="20"/>
          <w:szCs w:val="20"/>
          <w:color w:val="auto"/>
        </w:rPr>
      </w:pPr>
      <w:r>
        <w:rPr>
          <w:rFonts w:ascii="Arial" w:cs="Arial" w:eastAsia="Arial" w:hAnsi="Arial"/>
          <w:sz w:val="14"/>
          <w:szCs w:val="14"/>
          <w:b w:val="1"/>
          <w:bCs w:val="1"/>
          <w:color w:val="auto"/>
        </w:rPr>
        <w:t>10. Segment Reporting</w:t>
      </w:r>
    </w:p>
    <w:p>
      <w:pPr>
        <w:spacing w:after="0" w:line="145" w:lineRule="exact"/>
        <w:rPr>
          <w:sz w:val="20"/>
          <w:szCs w:val="20"/>
          <w:color w:val="auto"/>
        </w:rPr>
      </w:pPr>
    </w:p>
    <w:p>
      <w:pPr>
        <w:spacing w:after="0" w:line="284" w:lineRule="auto"/>
        <w:rPr>
          <w:sz w:val="20"/>
          <w:szCs w:val="20"/>
          <w:color w:val="auto"/>
        </w:rPr>
      </w:pPr>
      <w:r>
        <w:rPr>
          <w:rFonts w:ascii="Arial" w:cs="Arial" w:eastAsia="Arial" w:hAnsi="Arial"/>
          <w:sz w:val="14"/>
          <w:szCs w:val="14"/>
          <w:color w:val="auto"/>
        </w:rPr>
        <w:t>See note 14 of the notes to consolidated financial statements included in the 2018 Annual Report for a description of the Company's operating segments. The following tables include the results of each of the Company's operating segments reconciled to the consolidated financial statements.</w:t>
      </w:r>
    </w:p>
    <w:tbl>
      <w:tblPr>
        <w:tblLayout w:type="fixed"/>
        <w:tblInd w:w="60" w:type="dxa"/>
        <w:tblCellMar>
          <w:top w:w="0" w:type="dxa"/>
          <w:left w:w="0" w:type="dxa"/>
          <w:bottom w:w="0" w:type="dxa"/>
          <w:right w:w="0" w:type="dxa"/>
        </w:tblCellMar>
      </w:tblPr>
      <w:tr>
        <w:trPr>
          <w:trHeight w:val="153"/>
        </w:trPr>
        <w:tc>
          <w:tcPr>
            <w:tcW w:w="4080" w:type="dxa"/>
            <w:vAlign w:val="bottom"/>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100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2400" w:type="dxa"/>
            <w:vAlign w:val="bottom"/>
            <w:tcBorders>
              <w:bottom w:val="single" w:sz="8" w:color="auto"/>
            </w:tcBorders>
            <w:gridSpan w:val="5"/>
          </w:tcPr>
          <w:p>
            <w:pPr>
              <w:ind w:left="600"/>
              <w:spacing w:after="0"/>
              <w:rPr>
                <w:sz w:val="20"/>
                <w:szCs w:val="20"/>
                <w:color w:val="auto"/>
              </w:rPr>
            </w:pPr>
            <w:r>
              <w:rPr>
                <w:rFonts w:ascii="Arial" w:cs="Arial" w:eastAsia="Arial" w:hAnsi="Arial"/>
                <w:sz w:val="11"/>
                <w:szCs w:val="11"/>
                <w:b w:val="1"/>
                <w:bCs w:val="1"/>
                <w:color w:val="auto"/>
                <w:w w:val="93"/>
              </w:rPr>
              <w:t>Three months ended March 31, 2019</w:t>
            </w:r>
          </w:p>
        </w:tc>
        <w:tc>
          <w:tcPr>
            <w:tcW w:w="76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94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spacing w:after="0"/>
              <w:rPr>
                <w:sz w:val="13"/>
                <w:szCs w:val="13"/>
                <w:color w:val="auto"/>
              </w:rPr>
            </w:pPr>
          </w:p>
        </w:tc>
      </w:tr>
      <w:tr>
        <w:trPr>
          <w:trHeight w:val="114"/>
        </w:trPr>
        <w:tc>
          <w:tcPr>
            <w:tcW w:w="4080" w:type="dxa"/>
            <w:vAlign w:val="bottom"/>
          </w:tcPr>
          <w:p>
            <w:pPr>
              <w:spacing w:after="0"/>
              <w:rPr>
                <w:sz w:val="9"/>
                <w:szCs w:val="9"/>
                <w:color w:val="auto"/>
              </w:rPr>
            </w:pPr>
          </w:p>
        </w:tc>
        <w:tc>
          <w:tcPr>
            <w:tcW w:w="60" w:type="dxa"/>
            <w:vAlign w:val="bottom"/>
          </w:tcPr>
          <w:p>
            <w:pPr>
              <w:spacing w:after="0"/>
              <w:rPr>
                <w:sz w:val="9"/>
                <w:szCs w:val="9"/>
                <w:color w:val="auto"/>
              </w:rPr>
            </w:pPr>
          </w:p>
        </w:tc>
        <w:tc>
          <w:tcPr>
            <w:tcW w:w="880" w:type="dxa"/>
            <w:vAlign w:val="bottom"/>
          </w:tcPr>
          <w:p>
            <w:pPr>
              <w:spacing w:after="0"/>
              <w:rPr>
                <w:sz w:val="9"/>
                <w:szCs w:val="9"/>
                <w:color w:val="auto"/>
              </w:rPr>
            </w:pPr>
          </w:p>
        </w:tc>
        <w:tc>
          <w:tcPr>
            <w:tcW w:w="80" w:type="dxa"/>
            <w:vAlign w:val="bottom"/>
          </w:tcPr>
          <w:p>
            <w:pPr>
              <w:spacing w:after="0"/>
              <w:rPr>
                <w:sz w:val="9"/>
                <w:szCs w:val="9"/>
                <w:color w:val="auto"/>
              </w:rPr>
            </w:pPr>
          </w:p>
        </w:tc>
        <w:tc>
          <w:tcPr>
            <w:tcW w:w="1100" w:type="dxa"/>
            <w:vAlign w:val="bottom"/>
            <w:gridSpan w:val="2"/>
          </w:tcPr>
          <w:p>
            <w:pPr>
              <w:jc w:val="center"/>
              <w:ind w:right="80"/>
              <w:spacing w:after="0"/>
              <w:rPr>
                <w:sz w:val="20"/>
                <w:szCs w:val="20"/>
                <w:color w:val="auto"/>
              </w:rPr>
            </w:pPr>
            <w:r>
              <w:rPr>
                <w:rFonts w:ascii="Arial" w:cs="Arial" w:eastAsia="Arial" w:hAnsi="Arial"/>
                <w:sz w:val="10"/>
                <w:szCs w:val="10"/>
                <w:b w:val="1"/>
                <w:bCs w:val="1"/>
                <w:color w:val="auto"/>
                <w:w w:val="85"/>
              </w:rPr>
              <w:t>Education Technology,</w:t>
            </w:r>
          </w:p>
        </w:tc>
        <w:tc>
          <w:tcPr>
            <w:tcW w:w="12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80" w:type="dxa"/>
            <w:vAlign w:val="bottom"/>
            <w:gridSpan w:val="3"/>
          </w:tcPr>
          <w:p>
            <w:pPr>
              <w:jc w:val="center"/>
              <w:ind w:right="140"/>
              <w:spacing w:after="0"/>
              <w:rPr>
                <w:sz w:val="20"/>
                <w:szCs w:val="20"/>
                <w:color w:val="auto"/>
              </w:rPr>
            </w:pPr>
            <w:r>
              <w:rPr>
                <w:rFonts w:ascii="Arial" w:cs="Arial" w:eastAsia="Arial" w:hAnsi="Arial"/>
                <w:sz w:val="10"/>
                <w:szCs w:val="10"/>
                <w:b w:val="1"/>
                <w:bCs w:val="1"/>
                <w:color w:val="auto"/>
                <w:w w:val="80"/>
              </w:rPr>
              <w:t>Asset</w:t>
            </w:r>
          </w:p>
        </w:tc>
        <w:tc>
          <w:tcPr>
            <w:tcW w:w="760" w:type="dxa"/>
            <w:vAlign w:val="bottom"/>
          </w:tcPr>
          <w:p>
            <w:pPr>
              <w:spacing w:after="0"/>
              <w:rPr>
                <w:sz w:val="9"/>
                <w:szCs w:val="9"/>
                <w:color w:val="auto"/>
              </w:rPr>
            </w:pPr>
          </w:p>
        </w:tc>
        <w:tc>
          <w:tcPr>
            <w:tcW w:w="100" w:type="dxa"/>
            <w:vAlign w:val="bottom"/>
          </w:tcPr>
          <w:p>
            <w:pPr>
              <w:spacing w:after="0"/>
              <w:rPr>
                <w:sz w:val="9"/>
                <w:szCs w:val="9"/>
                <w:color w:val="auto"/>
              </w:rPr>
            </w:pPr>
          </w:p>
        </w:tc>
        <w:tc>
          <w:tcPr>
            <w:tcW w:w="940" w:type="dxa"/>
            <w:vAlign w:val="bottom"/>
          </w:tcPr>
          <w:p>
            <w:pPr>
              <w:spacing w:after="0"/>
              <w:rPr>
                <w:sz w:val="9"/>
                <w:szCs w:val="9"/>
                <w:color w:val="auto"/>
              </w:rPr>
            </w:pPr>
          </w:p>
        </w:tc>
        <w:tc>
          <w:tcPr>
            <w:tcW w:w="100" w:type="dxa"/>
            <w:vAlign w:val="bottom"/>
          </w:tcPr>
          <w:p>
            <w:pPr>
              <w:spacing w:after="0"/>
              <w:rPr>
                <w:sz w:val="9"/>
                <w:szCs w:val="9"/>
                <w:color w:val="auto"/>
              </w:rPr>
            </w:pPr>
          </w:p>
        </w:tc>
        <w:tc>
          <w:tcPr>
            <w:tcW w:w="840" w:type="dxa"/>
            <w:vAlign w:val="bottom"/>
          </w:tcPr>
          <w:p>
            <w:pPr>
              <w:spacing w:after="0"/>
              <w:rPr>
                <w:sz w:val="9"/>
                <w:szCs w:val="9"/>
                <w:color w:val="auto"/>
              </w:rPr>
            </w:pPr>
          </w:p>
        </w:tc>
      </w:tr>
      <w:tr>
        <w:trPr>
          <w:trHeight w:val="108"/>
        </w:trPr>
        <w:tc>
          <w:tcPr>
            <w:tcW w:w="4080" w:type="dxa"/>
            <w:vAlign w:val="bottom"/>
          </w:tcPr>
          <w:p>
            <w:pPr>
              <w:spacing w:after="0"/>
              <w:rPr>
                <w:sz w:val="9"/>
                <w:szCs w:val="9"/>
                <w:color w:val="auto"/>
              </w:rPr>
            </w:pPr>
          </w:p>
        </w:tc>
        <w:tc>
          <w:tcPr>
            <w:tcW w:w="60" w:type="dxa"/>
            <w:vAlign w:val="bottom"/>
          </w:tcPr>
          <w:p>
            <w:pPr>
              <w:spacing w:after="0"/>
              <w:rPr>
                <w:sz w:val="9"/>
                <w:szCs w:val="9"/>
                <w:color w:val="auto"/>
              </w:rPr>
            </w:pPr>
          </w:p>
        </w:tc>
        <w:tc>
          <w:tcPr>
            <w:tcW w:w="960" w:type="dxa"/>
            <w:vAlign w:val="bottom"/>
            <w:gridSpan w:val="2"/>
          </w:tcPr>
          <w:p>
            <w:pPr>
              <w:spacing w:after="0" w:line="108" w:lineRule="exact"/>
              <w:rPr>
                <w:sz w:val="20"/>
                <w:szCs w:val="20"/>
                <w:color w:val="auto"/>
              </w:rPr>
            </w:pPr>
            <w:r>
              <w:rPr>
                <w:rFonts w:ascii="Arial" w:cs="Arial" w:eastAsia="Arial" w:hAnsi="Arial"/>
                <w:sz w:val="10"/>
                <w:szCs w:val="10"/>
                <w:b w:val="1"/>
                <w:bCs w:val="1"/>
                <w:color w:val="auto"/>
              </w:rPr>
              <w:t>Loan Servicing and</w:t>
            </w:r>
          </w:p>
        </w:tc>
        <w:tc>
          <w:tcPr>
            <w:tcW w:w="1100" w:type="dxa"/>
            <w:vAlign w:val="bottom"/>
            <w:gridSpan w:val="2"/>
          </w:tcPr>
          <w:p>
            <w:pPr>
              <w:jc w:val="center"/>
              <w:ind w:right="80"/>
              <w:spacing w:after="0" w:line="108" w:lineRule="exact"/>
              <w:rPr>
                <w:sz w:val="20"/>
                <w:szCs w:val="20"/>
                <w:color w:val="auto"/>
              </w:rPr>
            </w:pPr>
            <w:r>
              <w:rPr>
                <w:rFonts w:ascii="Arial" w:cs="Arial" w:eastAsia="Arial" w:hAnsi="Arial"/>
                <w:sz w:val="10"/>
                <w:szCs w:val="10"/>
                <w:b w:val="1"/>
                <w:bCs w:val="1"/>
                <w:color w:val="auto"/>
                <w:w w:val="86"/>
              </w:rPr>
              <w:t>Services, and Payment</w:t>
            </w:r>
          </w:p>
        </w:tc>
        <w:tc>
          <w:tcPr>
            <w:tcW w:w="12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80" w:type="dxa"/>
            <w:vAlign w:val="bottom"/>
            <w:gridSpan w:val="3"/>
          </w:tcPr>
          <w:p>
            <w:pPr>
              <w:jc w:val="center"/>
              <w:ind w:right="140"/>
              <w:spacing w:after="0" w:line="108" w:lineRule="exact"/>
              <w:rPr>
                <w:sz w:val="20"/>
                <w:szCs w:val="20"/>
                <w:color w:val="auto"/>
              </w:rPr>
            </w:pPr>
            <w:r>
              <w:rPr>
                <w:rFonts w:ascii="Arial" w:cs="Arial" w:eastAsia="Arial" w:hAnsi="Arial"/>
                <w:sz w:val="10"/>
                <w:szCs w:val="10"/>
                <w:b w:val="1"/>
                <w:bCs w:val="1"/>
                <w:color w:val="auto"/>
                <w:w w:val="89"/>
              </w:rPr>
              <w:t>Generation and</w:t>
            </w:r>
          </w:p>
        </w:tc>
        <w:tc>
          <w:tcPr>
            <w:tcW w:w="860" w:type="dxa"/>
            <w:vAlign w:val="bottom"/>
            <w:gridSpan w:val="2"/>
          </w:tcPr>
          <w:p>
            <w:pPr>
              <w:jc w:val="center"/>
              <w:ind w:right="140"/>
              <w:spacing w:after="0" w:line="108" w:lineRule="exact"/>
              <w:rPr>
                <w:sz w:val="20"/>
                <w:szCs w:val="20"/>
                <w:color w:val="auto"/>
              </w:rPr>
            </w:pPr>
            <w:r>
              <w:rPr>
                <w:rFonts w:ascii="Arial" w:cs="Arial" w:eastAsia="Arial" w:hAnsi="Arial"/>
                <w:sz w:val="10"/>
                <w:szCs w:val="10"/>
                <w:b w:val="1"/>
                <w:bCs w:val="1"/>
                <w:color w:val="auto"/>
                <w:w w:val="87"/>
              </w:rPr>
              <w:t>Corporate and</w:t>
            </w:r>
          </w:p>
        </w:tc>
        <w:tc>
          <w:tcPr>
            <w:tcW w:w="940" w:type="dxa"/>
            <w:vAlign w:val="bottom"/>
          </w:tcPr>
          <w:p>
            <w:pPr>
              <w:spacing w:after="0"/>
              <w:rPr>
                <w:sz w:val="9"/>
                <w:szCs w:val="9"/>
                <w:color w:val="auto"/>
              </w:rPr>
            </w:pPr>
          </w:p>
        </w:tc>
        <w:tc>
          <w:tcPr>
            <w:tcW w:w="100" w:type="dxa"/>
            <w:vAlign w:val="bottom"/>
          </w:tcPr>
          <w:p>
            <w:pPr>
              <w:spacing w:after="0"/>
              <w:rPr>
                <w:sz w:val="9"/>
                <w:szCs w:val="9"/>
                <w:color w:val="auto"/>
              </w:rPr>
            </w:pPr>
          </w:p>
        </w:tc>
        <w:tc>
          <w:tcPr>
            <w:tcW w:w="840" w:type="dxa"/>
            <w:vAlign w:val="bottom"/>
          </w:tcPr>
          <w:p>
            <w:pPr>
              <w:spacing w:after="0"/>
              <w:rPr>
                <w:sz w:val="9"/>
                <w:szCs w:val="9"/>
                <w:color w:val="auto"/>
              </w:rPr>
            </w:pPr>
          </w:p>
        </w:tc>
      </w:tr>
      <w:tr>
        <w:trPr>
          <w:trHeight w:val="132"/>
        </w:trPr>
        <w:tc>
          <w:tcPr>
            <w:tcW w:w="40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60" w:type="dxa"/>
            <w:vAlign w:val="bottom"/>
            <w:gridSpan w:val="2"/>
          </w:tcPr>
          <w:p>
            <w:pPr>
              <w:ind w:left="220"/>
              <w:spacing w:after="0"/>
              <w:rPr>
                <w:sz w:val="20"/>
                <w:szCs w:val="20"/>
                <w:color w:val="auto"/>
              </w:rPr>
            </w:pPr>
            <w:r>
              <w:rPr>
                <w:rFonts w:ascii="Arial" w:cs="Arial" w:eastAsia="Arial" w:hAnsi="Arial"/>
                <w:sz w:val="10"/>
                <w:szCs w:val="10"/>
                <w:b w:val="1"/>
                <w:bCs w:val="1"/>
                <w:color w:val="auto"/>
              </w:rPr>
              <w:t>Systems</w:t>
            </w:r>
          </w:p>
        </w:tc>
        <w:tc>
          <w:tcPr>
            <w:tcW w:w="1100" w:type="dxa"/>
            <w:vAlign w:val="bottom"/>
            <w:gridSpan w:val="2"/>
          </w:tcPr>
          <w:p>
            <w:pPr>
              <w:jc w:val="center"/>
              <w:ind w:right="100"/>
              <w:spacing w:after="0"/>
              <w:rPr>
                <w:sz w:val="20"/>
                <w:szCs w:val="20"/>
                <w:color w:val="auto"/>
              </w:rPr>
            </w:pPr>
            <w:r>
              <w:rPr>
                <w:rFonts w:ascii="Arial" w:cs="Arial" w:eastAsia="Arial" w:hAnsi="Arial"/>
                <w:sz w:val="10"/>
                <w:szCs w:val="10"/>
                <w:b w:val="1"/>
                <w:bCs w:val="1"/>
                <w:color w:val="auto"/>
                <w:w w:val="81"/>
              </w:rPr>
              <w:t>Processing</w:t>
            </w:r>
          </w:p>
        </w:tc>
        <w:tc>
          <w:tcPr>
            <w:tcW w:w="1320" w:type="dxa"/>
            <w:vAlign w:val="bottom"/>
            <w:gridSpan w:val="2"/>
          </w:tcPr>
          <w:p>
            <w:pPr>
              <w:ind w:left="240"/>
              <w:spacing w:after="0"/>
              <w:rPr>
                <w:sz w:val="20"/>
                <w:szCs w:val="20"/>
                <w:color w:val="auto"/>
              </w:rPr>
            </w:pPr>
            <w:r>
              <w:rPr>
                <w:rFonts w:ascii="Arial" w:cs="Arial" w:eastAsia="Arial" w:hAnsi="Arial"/>
                <w:sz w:val="10"/>
                <w:szCs w:val="10"/>
                <w:b w:val="1"/>
                <w:bCs w:val="1"/>
                <w:color w:val="auto"/>
              </w:rPr>
              <w:t>Communications</w:t>
            </w:r>
          </w:p>
        </w:tc>
        <w:tc>
          <w:tcPr>
            <w:tcW w:w="1080" w:type="dxa"/>
            <w:vAlign w:val="bottom"/>
            <w:gridSpan w:val="3"/>
          </w:tcPr>
          <w:p>
            <w:pPr>
              <w:jc w:val="center"/>
              <w:ind w:right="160"/>
              <w:spacing w:after="0"/>
              <w:rPr>
                <w:sz w:val="20"/>
                <w:szCs w:val="20"/>
                <w:color w:val="auto"/>
              </w:rPr>
            </w:pPr>
            <w:r>
              <w:rPr>
                <w:rFonts w:ascii="Arial" w:cs="Arial" w:eastAsia="Arial" w:hAnsi="Arial"/>
                <w:sz w:val="10"/>
                <w:szCs w:val="10"/>
                <w:b w:val="1"/>
                <w:bCs w:val="1"/>
                <w:color w:val="auto"/>
                <w:w w:val="91"/>
              </w:rPr>
              <w:t>Management</w:t>
            </w:r>
          </w:p>
        </w:tc>
        <w:tc>
          <w:tcPr>
            <w:tcW w:w="860" w:type="dxa"/>
            <w:vAlign w:val="bottom"/>
            <w:gridSpan w:val="2"/>
          </w:tcPr>
          <w:p>
            <w:pPr>
              <w:jc w:val="center"/>
              <w:ind w:right="160"/>
              <w:spacing w:after="0"/>
              <w:rPr>
                <w:sz w:val="20"/>
                <w:szCs w:val="20"/>
                <w:color w:val="auto"/>
              </w:rPr>
            </w:pPr>
            <w:r>
              <w:rPr>
                <w:rFonts w:ascii="Arial" w:cs="Arial" w:eastAsia="Arial" w:hAnsi="Arial"/>
                <w:sz w:val="10"/>
                <w:szCs w:val="10"/>
                <w:b w:val="1"/>
                <w:bCs w:val="1"/>
                <w:color w:val="auto"/>
                <w:w w:val="89"/>
              </w:rPr>
              <w:t>Other Activities</w:t>
            </w:r>
          </w:p>
        </w:tc>
        <w:tc>
          <w:tcPr>
            <w:tcW w:w="1040" w:type="dxa"/>
            <w:vAlign w:val="bottom"/>
            <w:gridSpan w:val="2"/>
          </w:tcPr>
          <w:p>
            <w:pPr>
              <w:ind w:left="180"/>
              <w:spacing w:after="0"/>
              <w:rPr>
                <w:sz w:val="20"/>
                <w:szCs w:val="20"/>
                <w:color w:val="auto"/>
              </w:rPr>
            </w:pPr>
            <w:r>
              <w:rPr>
                <w:rFonts w:ascii="Arial" w:cs="Arial" w:eastAsia="Arial" w:hAnsi="Arial"/>
                <w:sz w:val="10"/>
                <w:szCs w:val="10"/>
                <w:b w:val="1"/>
                <w:bCs w:val="1"/>
                <w:color w:val="auto"/>
              </w:rPr>
              <w:t>Eliminations</w:t>
            </w:r>
          </w:p>
        </w:tc>
        <w:tc>
          <w:tcPr>
            <w:tcW w:w="840" w:type="dxa"/>
            <w:vAlign w:val="bottom"/>
          </w:tcPr>
          <w:p>
            <w:pPr>
              <w:jc w:val="right"/>
              <w:ind w:right="270"/>
              <w:spacing w:after="0"/>
              <w:rPr>
                <w:sz w:val="20"/>
                <w:szCs w:val="20"/>
                <w:color w:val="auto"/>
              </w:rPr>
            </w:pPr>
            <w:r>
              <w:rPr>
                <w:rFonts w:ascii="Arial" w:cs="Arial" w:eastAsia="Arial" w:hAnsi="Arial"/>
                <w:sz w:val="10"/>
                <w:szCs w:val="10"/>
                <w:b w:val="1"/>
                <w:bCs w:val="1"/>
                <w:color w:val="auto"/>
              </w:rPr>
              <w:t>Total</w:t>
            </w:r>
          </w:p>
        </w:tc>
      </w:tr>
      <w:tr>
        <w:trPr>
          <w:trHeight w:val="149"/>
        </w:trPr>
        <w:tc>
          <w:tcPr>
            <w:tcW w:w="408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0"/>
                <w:szCs w:val="10"/>
                <w:color w:val="auto"/>
              </w:rPr>
              <w:t>Total interest income</w:t>
            </w:r>
          </w:p>
        </w:tc>
        <w:tc>
          <w:tcPr>
            <w:tcW w:w="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497</w:t>
            </w:r>
          </w:p>
        </w:tc>
        <w:tc>
          <w:tcPr>
            <w:tcW w:w="80" w:type="dxa"/>
            <w:vAlign w:val="bottom"/>
            <w:tcBorders>
              <w:top w:val="single" w:sz="8" w:color="CCEEFF"/>
            </w:tcBorders>
            <w:shd w:val="clear" w:color="auto" w:fill="CCEEFF"/>
          </w:tcPr>
          <w:p>
            <w:pPr>
              <w:spacing w:after="0"/>
              <w:rPr>
                <w:sz w:val="12"/>
                <w:szCs w:val="12"/>
                <w:color w:val="auto"/>
              </w:rPr>
            </w:pPr>
          </w:p>
        </w:tc>
        <w:tc>
          <w:tcPr>
            <w:tcW w:w="10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2,017</w:t>
            </w:r>
          </w:p>
        </w:tc>
        <w:tc>
          <w:tcPr>
            <w:tcW w:w="100" w:type="dxa"/>
            <w:vAlign w:val="bottom"/>
            <w:tcBorders>
              <w:top w:val="single" w:sz="8" w:color="CCEEFF"/>
            </w:tcBorders>
            <w:shd w:val="clear" w:color="auto" w:fill="CCEEFF"/>
          </w:tcPr>
          <w:p>
            <w:pPr>
              <w:spacing w:after="0"/>
              <w:rPr>
                <w:sz w:val="12"/>
                <w:szCs w:val="12"/>
                <w:color w:val="auto"/>
              </w:rPr>
            </w:pPr>
          </w:p>
        </w:tc>
        <w:tc>
          <w:tcPr>
            <w:tcW w:w="12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2</w:t>
            </w:r>
          </w:p>
        </w:tc>
        <w:tc>
          <w:tcPr>
            <w:tcW w:w="100" w:type="dxa"/>
            <w:vAlign w:val="bottom"/>
            <w:tcBorders>
              <w:top w:val="single" w:sz="8" w:color="CCEEFF"/>
            </w:tcBorders>
            <w:shd w:val="clear" w:color="auto" w:fill="CCEEFF"/>
          </w:tcPr>
          <w:p>
            <w:pPr>
              <w:spacing w:after="0"/>
              <w:rPr>
                <w:sz w:val="12"/>
                <w:szCs w:val="12"/>
                <w:color w:val="auto"/>
              </w:rPr>
            </w:pPr>
          </w:p>
        </w:tc>
        <w:tc>
          <w:tcPr>
            <w:tcW w:w="9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246,867</w:t>
            </w:r>
          </w:p>
        </w:tc>
        <w:tc>
          <w:tcPr>
            <w:tcW w:w="80" w:type="dxa"/>
            <w:vAlign w:val="bottom"/>
            <w:tcBorders>
              <w:top w:val="single" w:sz="8" w:color="CCEEFF"/>
            </w:tcBorders>
            <w:shd w:val="clear" w:color="auto" w:fill="CCEEFF"/>
          </w:tcPr>
          <w:p>
            <w:pPr>
              <w:spacing w:after="0"/>
              <w:rPr>
                <w:sz w:val="12"/>
                <w:szCs w:val="12"/>
                <w:color w:val="auto"/>
              </w:rPr>
            </w:pPr>
          </w:p>
        </w:tc>
        <w:tc>
          <w:tcPr>
            <w:tcW w:w="40" w:type="dxa"/>
            <w:vAlign w:val="bottom"/>
            <w:tcBorders>
              <w:top w:val="single" w:sz="8" w:color="auto"/>
            </w:tcBorders>
            <w:shd w:val="clear" w:color="auto" w:fill="CCEEFF"/>
          </w:tcPr>
          <w:p>
            <w:pPr>
              <w:spacing w:after="0"/>
              <w:rPr>
                <w:sz w:val="12"/>
                <w:szCs w:val="12"/>
                <w:color w:val="auto"/>
              </w:rPr>
            </w:pP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2,053</w:t>
            </w:r>
          </w:p>
        </w:tc>
        <w:tc>
          <w:tcPr>
            <w:tcW w:w="100" w:type="dxa"/>
            <w:vAlign w:val="bottom"/>
            <w:tcBorders>
              <w:top w:val="single" w:sz="8" w:color="CCEEFF"/>
            </w:tcBorders>
            <w:shd w:val="clear" w:color="auto" w:fill="CCEEFF"/>
          </w:tcPr>
          <w:p>
            <w:pPr>
              <w:spacing w:after="0"/>
              <w:rPr>
                <w:sz w:val="12"/>
                <w:szCs w:val="12"/>
                <w:color w:val="auto"/>
              </w:rPr>
            </w:pP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(851)</w:t>
            </w:r>
          </w:p>
        </w:tc>
        <w:tc>
          <w:tcPr>
            <w:tcW w:w="100" w:type="dxa"/>
            <w:vAlign w:val="bottom"/>
            <w:tcBorders>
              <w:top w:val="single" w:sz="8" w:color="CCEEFF"/>
            </w:tcBorders>
            <w:shd w:val="clear" w:color="auto" w:fill="CCEEFF"/>
          </w:tcPr>
          <w:p>
            <w:pPr>
              <w:spacing w:after="0"/>
              <w:rPr>
                <w:sz w:val="12"/>
                <w:szCs w:val="12"/>
                <w:color w:val="auto"/>
              </w:rPr>
            </w:pP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250,586</w:t>
            </w:r>
          </w:p>
        </w:tc>
      </w:tr>
      <w:tr>
        <w:trPr>
          <w:trHeight w:val="144"/>
        </w:trPr>
        <w:tc>
          <w:tcPr>
            <w:tcW w:w="4080" w:type="dxa"/>
            <w:vAlign w:val="bottom"/>
            <w:tcBorders>
              <w:bottom w:val="single" w:sz="8" w:color="CCEEFF"/>
            </w:tcBorders>
          </w:tcPr>
          <w:p>
            <w:pPr>
              <w:ind w:left="20"/>
              <w:spacing w:after="0"/>
              <w:rPr>
                <w:sz w:val="20"/>
                <w:szCs w:val="20"/>
                <w:color w:val="auto"/>
              </w:rPr>
            </w:pPr>
            <w:r>
              <w:rPr>
                <w:rFonts w:ascii="Arial" w:cs="Arial" w:eastAsia="Arial" w:hAnsi="Arial"/>
                <w:sz w:val="10"/>
                <w:szCs w:val="10"/>
                <w:color w:val="auto"/>
              </w:rPr>
              <w:t>Interest expense</w:t>
            </w:r>
          </w:p>
        </w:tc>
        <w:tc>
          <w:tcPr>
            <w:tcW w:w="60" w:type="dxa"/>
            <w:vAlign w:val="bottom"/>
            <w:tcBorders>
              <w:bottom w:val="single" w:sz="8" w:color="auto"/>
            </w:tcBorders>
          </w:tcPr>
          <w:p>
            <w:pPr>
              <w:spacing w:after="0"/>
              <w:rPr>
                <w:sz w:val="12"/>
                <w:szCs w:val="12"/>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w:t>
            </w:r>
          </w:p>
        </w:tc>
        <w:tc>
          <w:tcPr>
            <w:tcW w:w="80" w:type="dxa"/>
            <w:vAlign w:val="bottom"/>
            <w:tcBorders>
              <w:bottom w:val="single" w:sz="8" w:color="CCEEFF"/>
            </w:tcBorders>
          </w:tcPr>
          <w:p>
            <w:pPr>
              <w:spacing w:after="0"/>
              <w:rPr>
                <w:sz w:val="12"/>
                <w:szCs w:val="12"/>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8</w:t>
            </w:r>
          </w:p>
        </w:tc>
        <w:tc>
          <w:tcPr>
            <w:tcW w:w="100" w:type="dxa"/>
            <w:vAlign w:val="bottom"/>
            <w:tcBorders>
              <w:bottom w:val="single" w:sz="8" w:color="CCEEFF"/>
            </w:tcBorders>
          </w:tcPr>
          <w:p>
            <w:pPr>
              <w:spacing w:after="0"/>
              <w:rPr>
                <w:sz w:val="12"/>
                <w:szCs w:val="12"/>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w:t>
            </w:r>
          </w:p>
        </w:tc>
        <w:tc>
          <w:tcPr>
            <w:tcW w:w="100" w:type="dxa"/>
            <w:vAlign w:val="bottom"/>
            <w:tcBorders>
              <w:bottom w:val="single" w:sz="8" w:color="CCEEFF"/>
            </w:tcBorders>
          </w:tcPr>
          <w:p>
            <w:pPr>
              <w:spacing w:after="0"/>
              <w:rPr>
                <w:sz w:val="12"/>
                <w:szCs w:val="12"/>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188,799</w:t>
            </w:r>
          </w:p>
        </w:tc>
        <w:tc>
          <w:tcPr>
            <w:tcW w:w="80" w:type="dxa"/>
            <w:vAlign w:val="bottom"/>
            <w:tcBorders>
              <w:bottom w:val="single" w:sz="8" w:color="CCEEFF"/>
            </w:tcBorders>
          </w:tcPr>
          <w:p>
            <w:pPr>
              <w:spacing w:after="0"/>
              <w:rPr>
                <w:sz w:val="12"/>
                <w:szCs w:val="12"/>
                <w:color w:val="auto"/>
              </w:rPr>
            </w:pPr>
          </w:p>
        </w:tc>
        <w:tc>
          <w:tcPr>
            <w:tcW w:w="4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3,814</w:t>
            </w:r>
          </w:p>
        </w:tc>
        <w:tc>
          <w:tcPr>
            <w:tcW w:w="100" w:type="dxa"/>
            <w:vAlign w:val="bottom"/>
            <w:tcBorders>
              <w:bottom w:val="single" w:sz="8" w:color="CCEEFF"/>
            </w:tcBorders>
          </w:tcPr>
          <w:p>
            <w:pPr>
              <w:spacing w:after="0"/>
              <w:rPr>
                <w:sz w:val="12"/>
                <w:szCs w:val="1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(851)</w:t>
            </w:r>
          </w:p>
        </w:tc>
        <w:tc>
          <w:tcPr>
            <w:tcW w:w="100" w:type="dxa"/>
            <w:vAlign w:val="bottom"/>
            <w:tcBorders>
              <w:bottom w:val="single" w:sz="8" w:color="CCEEFF"/>
            </w:tcBorders>
          </w:tcPr>
          <w:p>
            <w:pPr>
              <w:spacing w:after="0"/>
              <w:rPr>
                <w:sz w:val="12"/>
                <w:szCs w:val="12"/>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191,770</w:t>
            </w:r>
          </w:p>
        </w:tc>
      </w:tr>
      <w:tr>
        <w:trPr>
          <w:trHeight w:val="148"/>
        </w:trPr>
        <w:tc>
          <w:tcPr>
            <w:tcW w:w="4080" w:type="dxa"/>
            <w:vAlign w:val="bottom"/>
            <w:shd w:val="clear" w:color="auto" w:fill="CCEEFF"/>
          </w:tcPr>
          <w:p>
            <w:pPr>
              <w:ind w:left="100"/>
              <w:spacing w:after="0"/>
              <w:rPr>
                <w:sz w:val="20"/>
                <w:szCs w:val="20"/>
                <w:color w:val="auto"/>
              </w:rPr>
            </w:pPr>
            <w:r>
              <w:rPr>
                <w:rFonts w:ascii="Arial" w:cs="Arial" w:eastAsia="Arial" w:hAnsi="Arial"/>
                <w:sz w:val="10"/>
                <w:szCs w:val="10"/>
                <w:color w:val="auto"/>
              </w:rPr>
              <w:t>Net interest income (expense)</w:t>
            </w: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0"/>
                <w:szCs w:val="10"/>
                <w:color w:val="auto"/>
              </w:rPr>
              <w:t>497</w:t>
            </w:r>
          </w:p>
        </w:tc>
        <w:tc>
          <w:tcPr>
            <w:tcW w:w="80" w:type="dxa"/>
            <w:vAlign w:val="bottom"/>
            <w:shd w:val="clear" w:color="auto" w:fill="CCEEFF"/>
          </w:tcPr>
          <w:p>
            <w:pPr>
              <w:spacing w:after="0"/>
              <w:rPr>
                <w:sz w:val="12"/>
                <w:szCs w:val="12"/>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0"/>
                <w:szCs w:val="10"/>
                <w:color w:val="auto"/>
              </w:rPr>
              <w:t>2,009</w:t>
            </w:r>
          </w:p>
        </w:tc>
        <w:tc>
          <w:tcPr>
            <w:tcW w:w="10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0"/>
                <w:szCs w:val="10"/>
                <w:color w:val="auto"/>
              </w:rPr>
              <w:t>2</w:t>
            </w:r>
          </w:p>
        </w:tc>
        <w:tc>
          <w:tcPr>
            <w:tcW w:w="100" w:type="dxa"/>
            <w:vAlign w:val="bottom"/>
            <w:shd w:val="clear" w:color="auto" w:fill="CCEEFF"/>
          </w:tcPr>
          <w:p>
            <w:pPr>
              <w:spacing w:after="0"/>
              <w:rPr>
                <w:sz w:val="12"/>
                <w:szCs w:val="12"/>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0"/>
                <w:szCs w:val="10"/>
                <w:color w:val="auto"/>
              </w:rPr>
              <w:t>58,068</w:t>
            </w:r>
          </w:p>
        </w:tc>
        <w:tc>
          <w:tcPr>
            <w:tcW w:w="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0"/>
                <w:szCs w:val="10"/>
                <w:color w:val="auto"/>
              </w:rPr>
              <w:t>(1,761)</w:t>
            </w:r>
          </w:p>
        </w:tc>
        <w:tc>
          <w:tcPr>
            <w:tcW w:w="10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ind w:left="800"/>
              <w:spacing w:after="0"/>
              <w:rPr>
                <w:sz w:val="20"/>
                <w:szCs w:val="20"/>
                <w:color w:val="auto"/>
              </w:rPr>
            </w:pPr>
            <w:r>
              <w:rPr>
                <w:rFonts w:ascii="Arial" w:cs="Arial" w:eastAsia="Arial" w:hAnsi="Arial"/>
                <w:sz w:val="10"/>
                <w:szCs w:val="10"/>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0"/>
                <w:szCs w:val="10"/>
                <w:color w:val="auto"/>
              </w:rPr>
              <w:t>58,816</w:t>
            </w:r>
          </w:p>
        </w:tc>
      </w:tr>
      <w:tr>
        <w:trPr>
          <w:trHeight w:val="144"/>
        </w:trPr>
        <w:tc>
          <w:tcPr>
            <w:tcW w:w="4080" w:type="dxa"/>
            <w:vAlign w:val="bottom"/>
            <w:tcBorders>
              <w:bottom w:val="single" w:sz="8" w:color="CCEEFF"/>
            </w:tcBorders>
          </w:tcPr>
          <w:p>
            <w:pPr>
              <w:ind w:left="20"/>
              <w:spacing w:after="0"/>
              <w:rPr>
                <w:sz w:val="20"/>
                <w:szCs w:val="20"/>
                <w:color w:val="auto"/>
              </w:rPr>
            </w:pPr>
            <w:r>
              <w:rPr>
                <w:rFonts w:ascii="Arial" w:cs="Arial" w:eastAsia="Arial" w:hAnsi="Arial"/>
                <w:sz w:val="10"/>
                <w:szCs w:val="10"/>
                <w:color w:val="auto"/>
              </w:rPr>
              <w:t>Less provision for loan losses</w:t>
            </w:r>
          </w:p>
        </w:tc>
        <w:tc>
          <w:tcPr>
            <w:tcW w:w="60" w:type="dxa"/>
            <w:vAlign w:val="bottom"/>
            <w:tcBorders>
              <w:bottom w:val="single" w:sz="8" w:color="auto"/>
            </w:tcBorders>
          </w:tcPr>
          <w:p>
            <w:pPr>
              <w:spacing w:after="0"/>
              <w:rPr>
                <w:sz w:val="12"/>
                <w:szCs w:val="12"/>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w:t>
            </w:r>
          </w:p>
        </w:tc>
        <w:tc>
          <w:tcPr>
            <w:tcW w:w="80" w:type="dxa"/>
            <w:vAlign w:val="bottom"/>
            <w:tcBorders>
              <w:bottom w:val="single" w:sz="8" w:color="CCEEFF"/>
            </w:tcBorders>
          </w:tcPr>
          <w:p>
            <w:pPr>
              <w:spacing w:after="0"/>
              <w:rPr>
                <w:sz w:val="12"/>
                <w:szCs w:val="12"/>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w:t>
            </w:r>
          </w:p>
        </w:tc>
        <w:tc>
          <w:tcPr>
            <w:tcW w:w="100" w:type="dxa"/>
            <w:vAlign w:val="bottom"/>
            <w:tcBorders>
              <w:bottom w:val="single" w:sz="8" w:color="CCEEFF"/>
            </w:tcBorders>
          </w:tcPr>
          <w:p>
            <w:pPr>
              <w:spacing w:after="0"/>
              <w:rPr>
                <w:sz w:val="12"/>
                <w:szCs w:val="12"/>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w:t>
            </w:r>
          </w:p>
        </w:tc>
        <w:tc>
          <w:tcPr>
            <w:tcW w:w="100" w:type="dxa"/>
            <w:vAlign w:val="bottom"/>
            <w:tcBorders>
              <w:bottom w:val="single" w:sz="8" w:color="CCEEFF"/>
            </w:tcBorders>
          </w:tcPr>
          <w:p>
            <w:pPr>
              <w:spacing w:after="0"/>
              <w:rPr>
                <w:sz w:val="12"/>
                <w:szCs w:val="12"/>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7,000</w:t>
            </w:r>
          </w:p>
        </w:tc>
        <w:tc>
          <w:tcPr>
            <w:tcW w:w="80" w:type="dxa"/>
            <w:vAlign w:val="bottom"/>
            <w:tcBorders>
              <w:bottom w:val="single" w:sz="8" w:color="CCEEFF"/>
            </w:tcBorders>
          </w:tcPr>
          <w:p>
            <w:pPr>
              <w:spacing w:after="0"/>
              <w:rPr>
                <w:sz w:val="12"/>
                <w:szCs w:val="12"/>
                <w:color w:val="auto"/>
              </w:rPr>
            </w:pPr>
          </w:p>
        </w:tc>
        <w:tc>
          <w:tcPr>
            <w:tcW w:w="4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w:t>
            </w:r>
          </w:p>
        </w:tc>
        <w:tc>
          <w:tcPr>
            <w:tcW w:w="100" w:type="dxa"/>
            <w:vAlign w:val="bottom"/>
            <w:tcBorders>
              <w:bottom w:val="single" w:sz="8" w:color="CCEEFF"/>
            </w:tcBorders>
          </w:tcPr>
          <w:p>
            <w:pPr>
              <w:spacing w:after="0"/>
              <w:rPr>
                <w:sz w:val="12"/>
                <w:szCs w:val="12"/>
                <w:color w:val="auto"/>
              </w:rPr>
            </w:pPr>
          </w:p>
        </w:tc>
        <w:tc>
          <w:tcPr>
            <w:tcW w:w="940" w:type="dxa"/>
            <w:vAlign w:val="bottom"/>
            <w:tcBorders>
              <w:bottom w:val="single" w:sz="8" w:color="auto"/>
            </w:tcBorders>
          </w:tcPr>
          <w:p>
            <w:pPr>
              <w:ind w:left="800"/>
              <w:spacing w:after="0"/>
              <w:rPr>
                <w:sz w:val="20"/>
                <w:szCs w:val="20"/>
                <w:color w:val="auto"/>
              </w:rPr>
            </w:pPr>
            <w:r>
              <w:rPr>
                <w:rFonts w:ascii="Arial" w:cs="Arial" w:eastAsia="Arial" w:hAnsi="Arial"/>
                <w:sz w:val="10"/>
                <w:szCs w:val="10"/>
                <w:color w:val="auto"/>
              </w:rPr>
              <w:t>—</w:t>
            </w:r>
          </w:p>
        </w:tc>
        <w:tc>
          <w:tcPr>
            <w:tcW w:w="100" w:type="dxa"/>
            <w:vAlign w:val="bottom"/>
            <w:tcBorders>
              <w:bottom w:val="single" w:sz="8" w:color="CCEEFF"/>
            </w:tcBorders>
          </w:tcPr>
          <w:p>
            <w:pPr>
              <w:spacing w:after="0"/>
              <w:rPr>
                <w:sz w:val="12"/>
                <w:szCs w:val="12"/>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7,000</w:t>
            </w:r>
          </w:p>
        </w:tc>
      </w:tr>
      <w:tr>
        <w:trPr>
          <w:trHeight w:val="148"/>
        </w:trPr>
        <w:tc>
          <w:tcPr>
            <w:tcW w:w="4080" w:type="dxa"/>
            <w:vAlign w:val="bottom"/>
            <w:shd w:val="clear" w:color="auto" w:fill="CCEEFF"/>
          </w:tcPr>
          <w:p>
            <w:pPr>
              <w:ind w:left="100"/>
              <w:spacing w:after="0"/>
              <w:rPr>
                <w:sz w:val="20"/>
                <w:szCs w:val="20"/>
                <w:color w:val="auto"/>
              </w:rPr>
            </w:pPr>
            <w:r>
              <w:rPr>
                <w:rFonts w:ascii="Arial" w:cs="Arial" w:eastAsia="Arial" w:hAnsi="Arial"/>
                <w:sz w:val="10"/>
                <w:szCs w:val="10"/>
                <w:color w:val="auto"/>
              </w:rPr>
              <w:t>Net interest income (loss) after provision for loan losses</w:t>
            </w: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0"/>
                <w:szCs w:val="10"/>
                <w:color w:val="auto"/>
              </w:rPr>
              <w:t>497</w:t>
            </w:r>
          </w:p>
        </w:tc>
        <w:tc>
          <w:tcPr>
            <w:tcW w:w="80" w:type="dxa"/>
            <w:vAlign w:val="bottom"/>
            <w:shd w:val="clear" w:color="auto" w:fill="CCEEFF"/>
          </w:tcPr>
          <w:p>
            <w:pPr>
              <w:spacing w:after="0"/>
              <w:rPr>
                <w:sz w:val="12"/>
                <w:szCs w:val="12"/>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0"/>
                <w:szCs w:val="10"/>
                <w:color w:val="auto"/>
              </w:rPr>
              <w:t>2,009</w:t>
            </w:r>
          </w:p>
        </w:tc>
        <w:tc>
          <w:tcPr>
            <w:tcW w:w="10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0"/>
                <w:szCs w:val="10"/>
                <w:color w:val="auto"/>
              </w:rPr>
              <w:t>2</w:t>
            </w:r>
          </w:p>
        </w:tc>
        <w:tc>
          <w:tcPr>
            <w:tcW w:w="100" w:type="dxa"/>
            <w:vAlign w:val="bottom"/>
            <w:shd w:val="clear" w:color="auto" w:fill="CCEEFF"/>
          </w:tcPr>
          <w:p>
            <w:pPr>
              <w:spacing w:after="0"/>
              <w:rPr>
                <w:sz w:val="12"/>
                <w:szCs w:val="12"/>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0"/>
                <w:szCs w:val="10"/>
                <w:color w:val="auto"/>
              </w:rPr>
              <w:t>51,068</w:t>
            </w:r>
          </w:p>
        </w:tc>
        <w:tc>
          <w:tcPr>
            <w:tcW w:w="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0"/>
                <w:szCs w:val="10"/>
                <w:color w:val="auto"/>
              </w:rPr>
              <w:t>(1,761)</w:t>
            </w:r>
          </w:p>
        </w:tc>
        <w:tc>
          <w:tcPr>
            <w:tcW w:w="10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ind w:left="800"/>
              <w:spacing w:after="0"/>
              <w:rPr>
                <w:sz w:val="20"/>
                <w:szCs w:val="20"/>
                <w:color w:val="auto"/>
              </w:rPr>
            </w:pPr>
            <w:r>
              <w:rPr>
                <w:rFonts w:ascii="Arial" w:cs="Arial" w:eastAsia="Arial" w:hAnsi="Arial"/>
                <w:sz w:val="10"/>
                <w:szCs w:val="10"/>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0"/>
                <w:szCs w:val="10"/>
                <w:color w:val="auto"/>
              </w:rPr>
              <w:t>51,816</w:t>
            </w:r>
          </w:p>
        </w:tc>
      </w:tr>
      <w:tr>
        <w:trPr>
          <w:trHeight w:val="114"/>
        </w:trPr>
        <w:tc>
          <w:tcPr>
            <w:tcW w:w="4080" w:type="dxa"/>
            <w:vAlign w:val="bottom"/>
          </w:tcPr>
          <w:p>
            <w:pPr>
              <w:ind w:left="20"/>
              <w:spacing w:after="0" w:line="108" w:lineRule="exact"/>
              <w:rPr>
                <w:sz w:val="20"/>
                <w:szCs w:val="20"/>
                <w:color w:val="auto"/>
              </w:rPr>
            </w:pPr>
            <w:r>
              <w:rPr>
                <w:rFonts w:ascii="Arial" w:cs="Arial" w:eastAsia="Arial" w:hAnsi="Arial"/>
                <w:sz w:val="10"/>
                <w:szCs w:val="10"/>
                <w:color w:val="auto"/>
              </w:rPr>
              <w:t>Other income:</w:t>
            </w:r>
          </w:p>
        </w:tc>
        <w:tc>
          <w:tcPr>
            <w:tcW w:w="60" w:type="dxa"/>
            <w:vAlign w:val="bottom"/>
            <w:tcBorders>
              <w:top w:val="single" w:sz="8" w:color="auto"/>
            </w:tcBorders>
          </w:tcPr>
          <w:p>
            <w:pPr>
              <w:spacing w:after="0"/>
              <w:rPr>
                <w:sz w:val="9"/>
                <w:szCs w:val="9"/>
                <w:color w:val="auto"/>
              </w:rPr>
            </w:pPr>
          </w:p>
        </w:tc>
        <w:tc>
          <w:tcPr>
            <w:tcW w:w="880" w:type="dxa"/>
            <w:vAlign w:val="bottom"/>
            <w:tcBorders>
              <w:top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1000" w:type="dxa"/>
            <w:vAlign w:val="bottom"/>
            <w:tcBorders>
              <w:top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1220" w:type="dxa"/>
            <w:vAlign w:val="bottom"/>
            <w:tcBorders>
              <w:top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960" w:type="dxa"/>
            <w:vAlign w:val="bottom"/>
            <w:tcBorders>
              <w:top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40" w:type="dxa"/>
            <w:vAlign w:val="bottom"/>
            <w:tcBorders>
              <w:top w:val="single" w:sz="8" w:color="auto"/>
            </w:tcBorders>
          </w:tcPr>
          <w:p>
            <w:pPr>
              <w:spacing w:after="0"/>
              <w:rPr>
                <w:sz w:val="9"/>
                <w:szCs w:val="9"/>
                <w:color w:val="auto"/>
              </w:rPr>
            </w:pPr>
          </w:p>
        </w:tc>
        <w:tc>
          <w:tcPr>
            <w:tcW w:w="760" w:type="dxa"/>
            <w:vAlign w:val="bottom"/>
            <w:tcBorders>
              <w:top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940" w:type="dxa"/>
            <w:vAlign w:val="bottom"/>
            <w:tcBorders>
              <w:top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840" w:type="dxa"/>
            <w:vAlign w:val="bottom"/>
            <w:tcBorders>
              <w:top w:val="single" w:sz="8" w:color="auto"/>
            </w:tcBorders>
          </w:tcPr>
          <w:p>
            <w:pPr>
              <w:spacing w:after="0"/>
              <w:rPr>
                <w:sz w:val="9"/>
                <w:szCs w:val="9"/>
                <w:color w:val="auto"/>
              </w:rPr>
            </w:pPr>
          </w:p>
        </w:tc>
      </w:tr>
      <w:tr>
        <w:trPr>
          <w:trHeight w:val="157"/>
        </w:trPr>
        <w:tc>
          <w:tcPr>
            <w:tcW w:w="4080" w:type="dxa"/>
            <w:vAlign w:val="bottom"/>
            <w:shd w:val="clear" w:color="auto" w:fill="CCEEFF"/>
          </w:tcPr>
          <w:p>
            <w:pPr>
              <w:ind w:left="100"/>
              <w:spacing w:after="0"/>
              <w:rPr>
                <w:sz w:val="20"/>
                <w:szCs w:val="20"/>
                <w:color w:val="auto"/>
              </w:rPr>
            </w:pPr>
            <w:r>
              <w:rPr>
                <w:rFonts w:ascii="Arial" w:cs="Arial" w:eastAsia="Arial" w:hAnsi="Arial"/>
                <w:sz w:val="10"/>
                <w:szCs w:val="10"/>
                <w:color w:val="auto"/>
              </w:rPr>
              <w:t>Loan servicing and systems revenue</w:t>
            </w:r>
          </w:p>
        </w:tc>
        <w:tc>
          <w:tcPr>
            <w:tcW w:w="60" w:type="dxa"/>
            <w:vAlign w:val="bottom"/>
            <w:shd w:val="clear" w:color="auto" w:fill="CCEEFF"/>
          </w:tcPr>
          <w:p>
            <w:pPr>
              <w:spacing w:after="0"/>
              <w:rPr>
                <w:sz w:val="13"/>
                <w:szCs w:val="13"/>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0"/>
                <w:szCs w:val="10"/>
                <w:color w:val="auto"/>
              </w:rPr>
              <w:t>114,898</w:t>
            </w:r>
          </w:p>
        </w:tc>
        <w:tc>
          <w:tcPr>
            <w:tcW w:w="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0"/>
                <w:szCs w:val="10"/>
                <w:color w:val="auto"/>
              </w:rPr>
              <w:t>—</w:t>
            </w:r>
          </w:p>
        </w:tc>
        <w:tc>
          <w:tcPr>
            <w:tcW w:w="1320" w:type="dxa"/>
            <w:vAlign w:val="bottom"/>
            <w:gridSpan w:val="2"/>
            <w:shd w:val="clear" w:color="auto" w:fill="CCEEFF"/>
          </w:tcPr>
          <w:p>
            <w:pPr>
              <w:jc w:val="right"/>
              <w:ind w:right="140"/>
              <w:spacing w:after="0"/>
              <w:rPr>
                <w:sz w:val="20"/>
                <w:szCs w:val="20"/>
                <w:color w:val="auto"/>
              </w:rPr>
            </w:pPr>
            <w:r>
              <w:rPr>
                <w:rFonts w:ascii="Arial" w:cs="Arial" w:eastAsia="Arial" w:hAnsi="Arial"/>
                <w:sz w:val="10"/>
                <w:szCs w:val="10"/>
                <w:color w:val="auto"/>
              </w:rPr>
              <w:t>—</w:t>
            </w:r>
          </w:p>
        </w:tc>
        <w:tc>
          <w:tcPr>
            <w:tcW w:w="1080" w:type="dxa"/>
            <w:vAlign w:val="bottom"/>
            <w:gridSpan w:val="3"/>
            <w:shd w:val="clear" w:color="auto" w:fill="CCEEFF"/>
          </w:tcPr>
          <w:p>
            <w:pPr>
              <w:jc w:val="right"/>
              <w:ind w:right="160"/>
              <w:spacing w:after="0"/>
              <w:rPr>
                <w:sz w:val="20"/>
                <w:szCs w:val="20"/>
                <w:color w:val="auto"/>
              </w:rPr>
            </w:pPr>
            <w:r>
              <w:rPr>
                <w:rFonts w:ascii="Arial" w:cs="Arial" w:eastAsia="Arial" w:hAnsi="Arial"/>
                <w:sz w:val="10"/>
                <w:szCs w:val="10"/>
                <w:color w:val="auto"/>
              </w:rPr>
              <w:t>—</w:t>
            </w: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0"/>
                <w:szCs w:val="10"/>
                <w:color w:val="auto"/>
              </w:rPr>
              <w:t>—</w:t>
            </w:r>
          </w:p>
        </w:tc>
        <w:tc>
          <w:tcPr>
            <w:tcW w:w="1040" w:type="dxa"/>
            <w:vAlign w:val="bottom"/>
            <w:gridSpan w:val="2"/>
            <w:shd w:val="clear" w:color="auto" w:fill="CCEEFF"/>
          </w:tcPr>
          <w:p>
            <w:pPr>
              <w:ind w:left="800"/>
              <w:spacing w:after="0"/>
              <w:rPr>
                <w:sz w:val="20"/>
                <w:szCs w:val="20"/>
                <w:color w:val="auto"/>
              </w:rPr>
            </w:pPr>
            <w:r>
              <w:rPr>
                <w:rFonts w:ascii="Arial" w:cs="Arial" w:eastAsia="Arial" w:hAnsi="Arial"/>
                <w:sz w:val="10"/>
                <w:szCs w:val="10"/>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0"/>
                <w:szCs w:val="10"/>
                <w:color w:val="auto"/>
              </w:rPr>
              <w:t>114,898</w:t>
            </w:r>
          </w:p>
        </w:tc>
      </w:tr>
      <w:tr>
        <w:trPr>
          <w:trHeight w:val="144"/>
        </w:trPr>
        <w:tc>
          <w:tcPr>
            <w:tcW w:w="4080" w:type="dxa"/>
            <w:vAlign w:val="bottom"/>
          </w:tcPr>
          <w:p>
            <w:pPr>
              <w:ind w:left="100"/>
              <w:spacing w:after="0"/>
              <w:rPr>
                <w:sz w:val="20"/>
                <w:szCs w:val="20"/>
                <w:color w:val="auto"/>
              </w:rPr>
            </w:pPr>
            <w:r>
              <w:rPr>
                <w:rFonts w:ascii="Arial" w:cs="Arial" w:eastAsia="Arial" w:hAnsi="Arial"/>
                <w:sz w:val="10"/>
                <w:szCs w:val="10"/>
                <w:color w:val="auto"/>
              </w:rPr>
              <w:t>Intersegment servicing revenue</w:t>
            </w:r>
          </w:p>
        </w:tc>
        <w:tc>
          <w:tcPr>
            <w:tcW w:w="60" w:type="dxa"/>
            <w:vAlign w:val="bottom"/>
          </w:tcPr>
          <w:p>
            <w:pPr>
              <w:spacing w:after="0"/>
              <w:rPr>
                <w:sz w:val="12"/>
                <w:szCs w:val="12"/>
                <w:color w:val="auto"/>
              </w:rPr>
            </w:pPr>
          </w:p>
        </w:tc>
        <w:tc>
          <w:tcPr>
            <w:tcW w:w="880" w:type="dxa"/>
            <w:vAlign w:val="bottom"/>
          </w:tcPr>
          <w:p>
            <w:pPr>
              <w:jc w:val="right"/>
              <w:spacing w:after="0"/>
              <w:rPr>
                <w:sz w:val="20"/>
                <w:szCs w:val="20"/>
                <w:color w:val="auto"/>
              </w:rPr>
            </w:pPr>
            <w:r>
              <w:rPr>
                <w:rFonts w:ascii="Arial" w:cs="Arial" w:eastAsia="Arial" w:hAnsi="Arial"/>
                <w:sz w:val="10"/>
                <w:szCs w:val="10"/>
                <w:color w:val="auto"/>
              </w:rPr>
              <w:t>12,217</w:t>
            </w:r>
          </w:p>
        </w:tc>
        <w:tc>
          <w:tcPr>
            <w:tcW w:w="80" w:type="dxa"/>
            <w:vAlign w:val="bottom"/>
          </w:tcPr>
          <w:p>
            <w:pPr>
              <w:spacing w:after="0"/>
              <w:rPr>
                <w:sz w:val="12"/>
                <w:szCs w:val="12"/>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0"/>
                <w:szCs w:val="10"/>
                <w:color w:val="auto"/>
              </w:rPr>
              <w:t>—</w:t>
            </w:r>
          </w:p>
        </w:tc>
        <w:tc>
          <w:tcPr>
            <w:tcW w:w="1320" w:type="dxa"/>
            <w:vAlign w:val="bottom"/>
            <w:gridSpan w:val="2"/>
          </w:tcPr>
          <w:p>
            <w:pPr>
              <w:jc w:val="right"/>
              <w:ind w:right="140"/>
              <w:spacing w:after="0"/>
              <w:rPr>
                <w:sz w:val="20"/>
                <w:szCs w:val="20"/>
                <w:color w:val="auto"/>
              </w:rPr>
            </w:pPr>
            <w:r>
              <w:rPr>
                <w:rFonts w:ascii="Arial" w:cs="Arial" w:eastAsia="Arial" w:hAnsi="Arial"/>
                <w:sz w:val="10"/>
                <w:szCs w:val="10"/>
                <w:color w:val="auto"/>
              </w:rPr>
              <w:t>—</w:t>
            </w:r>
          </w:p>
        </w:tc>
        <w:tc>
          <w:tcPr>
            <w:tcW w:w="1080" w:type="dxa"/>
            <w:vAlign w:val="bottom"/>
            <w:gridSpan w:val="3"/>
          </w:tcPr>
          <w:p>
            <w:pPr>
              <w:jc w:val="right"/>
              <w:ind w:right="160"/>
              <w:spacing w:after="0"/>
              <w:rPr>
                <w:sz w:val="20"/>
                <w:szCs w:val="20"/>
                <w:color w:val="auto"/>
              </w:rPr>
            </w:pPr>
            <w:r>
              <w:rPr>
                <w:rFonts w:ascii="Arial" w:cs="Arial" w:eastAsia="Arial" w:hAnsi="Arial"/>
                <w:sz w:val="10"/>
                <w:szCs w:val="10"/>
                <w:color w:val="auto"/>
              </w:rPr>
              <w:t>—</w:t>
            </w:r>
          </w:p>
        </w:tc>
        <w:tc>
          <w:tcPr>
            <w:tcW w:w="860" w:type="dxa"/>
            <w:vAlign w:val="bottom"/>
            <w:gridSpan w:val="2"/>
          </w:tcPr>
          <w:p>
            <w:pPr>
              <w:jc w:val="right"/>
              <w:ind w:right="140"/>
              <w:spacing w:after="0"/>
              <w:rPr>
                <w:sz w:val="20"/>
                <w:szCs w:val="20"/>
                <w:color w:val="auto"/>
              </w:rPr>
            </w:pPr>
            <w:r>
              <w:rPr>
                <w:rFonts w:ascii="Arial" w:cs="Arial" w:eastAsia="Arial" w:hAnsi="Arial"/>
                <w:sz w:val="10"/>
                <w:szCs w:val="10"/>
                <w:color w:val="auto"/>
              </w:rPr>
              <w:t>—</w:t>
            </w:r>
          </w:p>
        </w:tc>
        <w:tc>
          <w:tcPr>
            <w:tcW w:w="940" w:type="dxa"/>
            <w:vAlign w:val="bottom"/>
          </w:tcPr>
          <w:p>
            <w:pPr>
              <w:jc w:val="right"/>
              <w:spacing w:after="0"/>
              <w:rPr>
                <w:sz w:val="20"/>
                <w:szCs w:val="20"/>
                <w:color w:val="auto"/>
              </w:rPr>
            </w:pPr>
            <w:r>
              <w:rPr>
                <w:rFonts w:ascii="Arial" w:cs="Arial" w:eastAsia="Arial" w:hAnsi="Arial"/>
                <w:sz w:val="10"/>
                <w:szCs w:val="10"/>
                <w:color w:val="auto"/>
              </w:rPr>
              <w:t>(12,217)</w:t>
            </w:r>
          </w:p>
        </w:tc>
        <w:tc>
          <w:tcPr>
            <w:tcW w:w="100" w:type="dxa"/>
            <w:vAlign w:val="bottom"/>
          </w:tcPr>
          <w:p>
            <w:pPr>
              <w:spacing w:after="0"/>
              <w:rPr>
                <w:sz w:val="12"/>
                <w:szCs w:val="12"/>
                <w:color w:val="auto"/>
              </w:rPr>
            </w:pPr>
          </w:p>
        </w:tc>
        <w:tc>
          <w:tcPr>
            <w:tcW w:w="840" w:type="dxa"/>
            <w:vAlign w:val="bottom"/>
          </w:tcPr>
          <w:p>
            <w:pPr>
              <w:jc w:val="right"/>
              <w:spacing w:after="0"/>
              <w:rPr>
                <w:sz w:val="20"/>
                <w:szCs w:val="20"/>
                <w:color w:val="auto"/>
              </w:rPr>
            </w:pPr>
            <w:r>
              <w:rPr>
                <w:rFonts w:ascii="Arial" w:cs="Arial" w:eastAsia="Arial" w:hAnsi="Arial"/>
                <w:sz w:val="10"/>
                <w:szCs w:val="10"/>
                <w:color w:val="auto"/>
              </w:rPr>
              <w:t>—</w:t>
            </w:r>
          </w:p>
        </w:tc>
      </w:tr>
      <w:tr>
        <w:trPr>
          <w:trHeight w:val="157"/>
        </w:trPr>
        <w:tc>
          <w:tcPr>
            <w:tcW w:w="4080" w:type="dxa"/>
            <w:vAlign w:val="bottom"/>
            <w:shd w:val="clear" w:color="auto" w:fill="CCEEFF"/>
          </w:tcPr>
          <w:p>
            <w:pPr>
              <w:ind w:left="100"/>
              <w:spacing w:after="0"/>
              <w:rPr>
                <w:sz w:val="20"/>
                <w:szCs w:val="20"/>
                <w:color w:val="auto"/>
              </w:rPr>
            </w:pPr>
            <w:r>
              <w:rPr>
                <w:rFonts w:ascii="Arial" w:cs="Arial" w:eastAsia="Arial" w:hAnsi="Arial"/>
                <w:sz w:val="10"/>
                <w:szCs w:val="10"/>
                <w:color w:val="auto"/>
              </w:rPr>
              <w:t>Education technology, services, and payment processing revenue</w:t>
            </w:r>
          </w:p>
        </w:tc>
        <w:tc>
          <w:tcPr>
            <w:tcW w:w="60" w:type="dxa"/>
            <w:vAlign w:val="bottom"/>
            <w:shd w:val="clear" w:color="auto" w:fill="CCEEFF"/>
          </w:tcPr>
          <w:p>
            <w:pPr>
              <w:spacing w:after="0"/>
              <w:rPr>
                <w:sz w:val="13"/>
                <w:szCs w:val="13"/>
                <w:color w:val="auto"/>
              </w:rPr>
            </w:pPr>
          </w:p>
        </w:tc>
        <w:tc>
          <w:tcPr>
            <w:tcW w:w="960" w:type="dxa"/>
            <w:vAlign w:val="bottom"/>
            <w:gridSpan w:val="2"/>
            <w:shd w:val="clear" w:color="auto" w:fill="CCEEFF"/>
          </w:tcPr>
          <w:p>
            <w:pPr>
              <w:jc w:val="right"/>
              <w:ind w:right="120"/>
              <w:spacing w:after="0"/>
              <w:rPr>
                <w:sz w:val="20"/>
                <w:szCs w:val="20"/>
                <w:color w:val="auto"/>
              </w:rPr>
            </w:pPr>
            <w:r>
              <w:rPr>
                <w:rFonts w:ascii="Arial" w:cs="Arial" w:eastAsia="Arial" w:hAnsi="Arial"/>
                <w:sz w:val="10"/>
                <w:szCs w:val="10"/>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0"/>
                <w:szCs w:val="10"/>
                <w:color w:val="auto"/>
              </w:rPr>
              <w:t>79,159</w:t>
            </w:r>
          </w:p>
        </w:tc>
        <w:tc>
          <w:tcPr>
            <w:tcW w:w="100" w:type="dxa"/>
            <w:vAlign w:val="bottom"/>
            <w:shd w:val="clear" w:color="auto" w:fill="CCEEFF"/>
          </w:tcPr>
          <w:p>
            <w:pPr>
              <w:spacing w:after="0"/>
              <w:rPr>
                <w:sz w:val="13"/>
                <w:szCs w:val="13"/>
                <w:color w:val="auto"/>
              </w:rPr>
            </w:pPr>
          </w:p>
        </w:tc>
        <w:tc>
          <w:tcPr>
            <w:tcW w:w="1320" w:type="dxa"/>
            <w:vAlign w:val="bottom"/>
            <w:gridSpan w:val="2"/>
            <w:shd w:val="clear" w:color="auto" w:fill="CCEEFF"/>
          </w:tcPr>
          <w:p>
            <w:pPr>
              <w:jc w:val="right"/>
              <w:ind w:right="140"/>
              <w:spacing w:after="0"/>
              <w:rPr>
                <w:sz w:val="20"/>
                <w:szCs w:val="20"/>
                <w:color w:val="auto"/>
              </w:rPr>
            </w:pPr>
            <w:r>
              <w:rPr>
                <w:rFonts w:ascii="Arial" w:cs="Arial" w:eastAsia="Arial" w:hAnsi="Arial"/>
                <w:sz w:val="10"/>
                <w:szCs w:val="10"/>
                <w:color w:val="auto"/>
              </w:rPr>
              <w:t>—</w:t>
            </w:r>
          </w:p>
        </w:tc>
        <w:tc>
          <w:tcPr>
            <w:tcW w:w="1080" w:type="dxa"/>
            <w:vAlign w:val="bottom"/>
            <w:gridSpan w:val="3"/>
            <w:shd w:val="clear" w:color="auto" w:fill="CCEEFF"/>
          </w:tcPr>
          <w:p>
            <w:pPr>
              <w:jc w:val="right"/>
              <w:ind w:right="160"/>
              <w:spacing w:after="0"/>
              <w:rPr>
                <w:sz w:val="20"/>
                <w:szCs w:val="20"/>
                <w:color w:val="auto"/>
              </w:rPr>
            </w:pPr>
            <w:r>
              <w:rPr>
                <w:rFonts w:ascii="Arial" w:cs="Arial" w:eastAsia="Arial" w:hAnsi="Arial"/>
                <w:sz w:val="10"/>
                <w:szCs w:val="10"/>
                <w:color w:val="auto"/>
              </w:rPr>
              <w:t>—</w:t>
            </w: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0"/>
                <w:szCs w:val="10"/>
                <w:color w:val="auto"/>
              </w:rPr>
              <w:t>—</w:t>
            </w:r>
          </w:p>
        </w:tc>
        <w:tc>
          <w:tcPr>
            <w:tcW w:w="1040" w:type="dxa"/>
            <w:vAlign w:val="bottom"/>
            <w:gridSpan w:val="2"/>
            <w:shd w:val="clear" w:color="auto" w:fill="CCEEFF"/>
          </w:tcPr>
          <w:p>
            <w:pPr>
              <w:ind w:left="800"/>
              <w:spacing w:after="0"/>
              <w:rPr>
                <w:sz w:val="20"/>
                <w:szCs w:val="20"/>
                <w:color w:val="auto"/>
              </w:rPr>
            </w:pPr>
            <w:r>
              <w:rPr>
                <w:rFonts w:ascii="Arial" w:cs="Arial" w:eastAsia="Arial" w:hAnsi="Arial"/>
                <w:sz w:val="10"/>
                <w:szCs w:val="10"/>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0"/>
                <w:szCs w:val="10"/>
                <w:color w:val="auto"/>
              </w:rPr>
              <w:t>79,159</w:t>
            </w:r>
          </w:p>
        </w:tc>
      </w:tr>
      <w:tr>
        <w:trPr>
          <w:trHeight w:val="144"/>
        </w:trPr>
        <w:tc>
          <w:tcPr>
            <w:tcW w:w="4080" w:type="dxa"/>
            <w:vAlign w:val="bottom"/>
          </w:tcPr>
          <w:p>
            <w:pPr>
              <w:ind w:left="100"/>
              <w:spacing w:after="0"/>
              <w:rPr>
                <w:sz w:val="20"/>
                <w:szCs w:val="20"/>
                <w:color w:val="auto"/>
              </w:rPr>
            </w:pPr>
            <w:r>
              <w:rPr>
                <w:rFonts w:ascii="Arial" w:cs="Arial" w:eastAsia="Arial" w:hAnsi="Arial"/>
                <w:sz w:val="10"/>
                <w:szCs w:val="10"/>
                <w:color w:val="auto"/>
              </w:rPr>
              <w:t>Communications revenue</w:t>
            </w:r>
          </w:p>
        </w:tc>
        <w:tc>
          <w:tcPr>
            <w:tcW w:w="60" w:type="dxa"/>
            <w:vAlign w:val="bottom"/>
          </w:tcPr>
          <w:p>
            <w:pPr>
              <w:spacing w:after="0"/>
              <w:rPr>
                <w:sz w:val="12"/>
                <w:szCs w:val="12"/>
                <w:color w:val="auto"/>
              </w:rPr>
            </w:pPr>
          </w:p>
        </w:tc>
        <w:tc>
          <w:tcPr>
            <w:tcW w:w="96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1100" w:type="dxa"/>
            <w:vAlign w:val="bottom"/>
            <w:gridSpan w:val="2"/>
          </w:tcPr>
          <w:p>
            <w:pPr>
              <w:jc w:val="right"/>
              <w:ind w:right="140"/>
              <w:spacing w:after="0"/>
              <w:rPr>
                <w:sz w:val="20"/>
                <w:szCs w:val="20"/>
                <w:color w:val="auto"/>
              </w:rPr>
            </w:pPr>
            <w:r>
              <w:rPr>
                <w:rFonts w:ascii="Arial" w:cs="Arial" w:eastAsia="Arial" w:hAnsi="Arial"/>
                <w:sz w:val="10"/>
                <w:szCs w:val="10"/>
                <w:color w:val="auto"/>
              </w:rPr>
              <w:t>—</w:t>
            </w:r>
          </w:p>
        </w:tc>
        <w:tc>
          <w:tcPr>
            <w:tcW w:w="1220" w:type="dxa"/>
            <w:vAlign w:val="bottom"/>
          </w:tcPr>
          <w:p>
            <w:pPr>
              <w:jc w:val="right"/>
              <w:spacing w:after="0"/>
              <w:rPr>
                <w:sz w:val="20"/>
                <w:szCs w:val="20"/>
                <w:color w:val="auto"/>
              </w:rPr>
            </w:pPr>
            <w:r>
              <w:rPr>
                <w:rFonts w:ascii="Arial" w:cs="Arial" w:eastAsia="Arial" w:hAnsi="Arial"/>
                <w:sz w:val="10"/>
                <w:szCs w:val="10"/>
                <w:color w:val="auto"/>
              </w:rPr>
              <w:t>14,543</w:t>
            </w:r>
          </w:p>
        </w:tc>
        <w:tc>
          <w:tcPr>
            <w:tcW w:w="100" w:type="dxa"/>
            <w:vAlign w:val="bottom"/>
          </w:tcPr>
          <w:p>
            <w:pPr>
              <w:spacing w:after="0"/>
              <w:rPr>
                <w:sz w:val="12"/>
                <w:szCs w:val="12"/>
                <w:color w:val="auto"/>
              </w:rPr>
            </w:pPr>
          </w:p>
        </w:tc>
        <w:tc>
          <w:tcPr>
            <w:tcW w:w="1080" w:type="dxa"/>
            <w:vAlign w:val="bottom"/>
            <w:gridSpan w:val="3"/>
          </w:tcPr>
          <w:p>
            <w:pPr>
              <w:jc w:val="right"/>
              <w:ind w:right="160"/>
              <w:spacing w:after="0"/>
              <w:rPr>
                <w:sz w:val="20"/>
                <w:szCs w:val="20"/>
                <w:color w:val="auto"/>
              </w:rPr>
            </w:pPr>
            <w:r>
              <w:rPr>
                <w:rFonts w:ascii="Arial" w:cs="Arial" w:eastAsia="Arial" w:hAnsi="Arial"/>
                <w:sz w:val="10"/>
                <w:szCs w:val="10"/>
                <w:color w:val="auto"/>
              </w:rPr>
              <w:t>—</w:t>
            </w:r>
          </w:p>
        </w:tc>
        <w:tc>
          <w:tcPr>
            <w:tcW w:w="860" w:type="dxa"/>
            <w:vAlign w:val="bottom"/>
            <w:gridSpan w:val="2"/>
          </w:tcPr>
          <w:p>
            <w:pPr>
              <w:jc w:val="right"/>
              <w:ind w:right="140"/>
              <w:spacing w:after="0"/>
              <w:rPr>
                <w:sz w:val="20"/>
                <w:szCs w:val="20"/>
                <w:color w:val="auto"/>
              </w:rPr>
            </w:pPr>
            <w:r>
              <w:rPr>
                <w:rFonts w:ascii="Arial" w:cs="Arial" w:eastAsia="Arial" w:hAnsi="Arial"/>
                <w:sz w:val="10"/>
                <w:szCs w:val="10"/>
                <w:color w:val="auto"/>
              </w:rPr>
              <w:t>—</w:t>
            </w:r>
          </w:p>
        </w:tc>
        <w:tc>
          <w:tcPr>
            <w:tcW w:w="1040" w:type="dxa"/>
            <w:vAlign w:val="bottom"/>
            <w:gridSpan w:val="2"/>
          </w:tcPr>
          <w:p>
            <w:pPr>
              <w:ind w:left="800"/>
              <w:spacing w:after="0"/>
              <w:rPr>
                <w:sz w:val="20"/>
                <w:szCs w:val="20"/>
                <w:color w:val="auto"/>
              </w:rPr>
            </w:pPr>
            <w:r>
              <w:rPr>
                <w:rFonts w:ascii="Arial" w:cs="Arial" w:eastAsia="Arial" w:hAnsi="Arial"/>
                <w:sz w:val="10"/>
                <w:szCs w:val="10"/>
                <w:color w:val="auto"/>
              </w:rPr>
              <w:t>—</w:t>
            </w:r>
          </w:p>
        </w:tc>
        <w:tc>
          <w:tcPr>
            <w:tcW w:w="840" w:type="dxa"/>
            <w:vAlign w:val="bottom"/>
          </w:tcPr>
          <w:p>
            <w:pPr>
              <w:jc w:val="right"/>
              <w:spacing w:after="0"/>
              <w:rPr>
                <w:sz w:val="20"/>
                <w:szCs w:val="20"/>
                <w:color w:val="auto"/>
              </w:rPr>
            </w:pPr>
            <w:r>
              <w:rPr>
                <w:rFonts w:ascii="Arial" w:cs="Arial" w:eastAsia="Arial" w:hAnsi="Arial"/>
                <w:sz w:val="10"/>
                <w:szCs w:val="10"/>
                <w:color w:val="auto"/>
              </w:rPr>
              <w:t>14,543</w:t>
            </w:r>
          </w:p>
        </w:tc>
      </w:tr>
      <w:tr>
        <w:trPr>
          <w:trHeight w:val="157"/>
        </w:trPr>
        <w:tc>
          <w:tcPr>
            <w:tcW w:w="4080" w:type="dxa"/>
            <w:vAlign w:val="bottom"/>
            <w:shd w:val="clear" w:color="auto" w:fill="CCEEFF"/>
          </w:tcPr>
          <w:p>
            <w:pPr>
              <w:ind w:left="100"/>
              <w:spacing w:after="0"/>
              <w:rPr>
                <w:sz w:val="20"/>
                <w:szCs w:val="20"/>
                <w:color w:val="auto"/>
              </w:rPr>
            </w:pPr>
            <w:r>
              <w:rPr>
                <w:rFonts w:ascii="Arial" w:cs="Arial" w:eastAsia="Arial" w:hAnsi="Arial"/>
                <w:sz w:val="10"/>
                <w:szCs w:val="10"/>
                <w:color w:val="auto"/>
              </w:rPr>
              <w:t>Other income</w:t>
            </w:r>
          </w:p>
        </w:tc>
        <w:tc>
          <w:tcPr>
            <w:tcW w:w="60" w:type="dxa"/>
            <w:vAlign w:val="bottom"/>
            <w:shd w:val="clear" w:color="auto" w:fill="CCEEFF"/>
          </w:tcPr>
          <w:p>
            <w:pPr>
              <w:spacing w:after="0"/>
              <w:rPr>
                <w:sz w:val="13"/>
                <w:szCs w:val="13"/>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0"/>
                <w:szCs w:val="10"/>
                <w:color w:val="auto"/>
              </w:rPr>
              <w:t>2,074</w:t>
            </w:r>
          </w:p>
        </w:tc>
        <w:tc>
          <w:tcPr>
            <w:tcW w:w="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0"/>
                <w:szCs w:val="10"/>
                <w:color w:val="auto"/>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0"/>
                <w:szCs w:val="10"/>
                <w:color w:val="auto"/>
              </w:rPr>
              <w:t>125</w:t>
            </w:r>
          </w:p>
        </w:tc>
        <w:tc>
          <w:tcPr>
            <w:tcW w:w="100" w:type="dxa"/>
            <w:vAlign w:val="bottom"/>
            <w:shd w:val="clear" w:color="auto" w:fill="CCEEFF"/>
          </w:tcPr>
          <w:p>
            <w:pPr>
              <w:spacing w:after="0"/>
              <w:rPr>
                <w:sz w:val="13"/>
                <w:szCs w:val="13"/>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0"/>
                <w:szCs w:val="10"/>
                <w:color w:val="auto"/>
              </w:rPr>
              <w:t>3,525</w:t>
            </w:r>
          </w:p>
        </w:tc>
        <w:tc>
          <w:tcPr>
            <w:tcW w:w="8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0"/>
                <w:szCs w:val="10"/>
                <w:color w:val="auto"/>
              </w:rPr>
              <w:t>3,344</w:t>
            </w:r>
          </w:p>
        </w:tc>
        <w:tc>
          <w:tcPr>
            <w:tcW w:w="100" w:type="dxa"/>
            <w:vAlign w:val="bottom"/>
            <w:shd w:val="clear" w:color="auto" w:fill="CCEEFF"/>
          </w:tcPr>
          <w:p>
            <w:pPr>
              <w:spacing w:after="0"/>
              <w:rPr>
                <w:sz w:val="13"/>
                <w:szCs w:val="13"/>
                <w:color w:val="auto"/>
              </w:rPr>
            </w:pPr>
          </w:p>
        </w:tc>
        <w:tc>
          <w:tcPr>
            <w:tcW w:w="1040" w:type="dxa"/>
            <w:vAlign w:val="bottom"/>
            <w:gridSpan w:val="2"/>
            <w:shd w:val="clear" w:color="auto" w:fill="CCEEFF"/>
          </w:tcPr>
          <w:p>
            <w:pPr>
              <w:ind w:left="800"/>
              <w:spacing w:after="0"/>
              <w:rPr>
                <w:sz w:val="20"/>
                <w:szCs w:val="20"/>
                <w:color w:val="auto"/>
              </w:rPr>
            </w:pPr>
            <w:r>
              <w:rPr>
                <w:rFonts w:ascii="Arial" w:cs="Arial" w:eastAsia="Arial" w:hAnsi="Arial"/>
                <w:sz w:val="10"/>
                <w:szCs w:val="10"/>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0"/>
                <w:szCs w:val="10"/>
                <w:color w:val="auto"/>
              </w:rPr>
              <w:t>9,067</w:t>
            </w:r>
          </w:p>
        </w:tc>
      </w:tr>
      <w:tr>
        <w:trPr>
          <w:trHeight w:val="144"/>
        </w:trPr>
        <w:tc>
          <w:tcPr>
            <w:tcW w:w="4080" w:type="dxa"/>
            <w:vAlign w:val="bottom"/>
          </w:tcPr>
          <w:p>
            <w:pPr>
              <w:ind w:left="100"/>
              <w:spacing w:after="0"/>
              <w:rPr>
                <w:sz w:val="20"/>
                <w:szCs w:val="20"/>
                <w:color w:val="auto"/>
              </w:rPr>
            </w:pPr>
            <w:r>
              <w:rPr>
                <w:rFonts w:ascii="Arial" w:cs="Arial" w:eastAsia="Arial" w:hAnsi="Arial"/>
                <w:sz w:val="10"/>
                <w:szCs w:val="10"/>
                <w:color w:val="auto"/>
              </w:rPr>
              <w:t>Derivative settlements, net</w:t>
            </w:r>
          </w:p>
        </w:tc>
        <w:tc>
          <w:tcPr>
            <w:tcW w:w="60" w:type="dxa"/>
            <w:vAlign w:val="bottom"/>
          </w:tcPr>
          <w:p>
            <w:pPr>
              <w:spacing w:after="0"/>
              <w:rPr>
                <w:sz w:val="12"/>
                <w:szCs w:val="12"/>
                <w:color w:val="auto"/>
              </w:rPr>
            </w:pPr>
          </w:p>
        </w:tc>
        <w:tc>
          <w:tcPr>
            <w:tcW w:w="96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1100" w:type="dxa"/>
            <w:vAlign w:val="bottom"/>
            <w:gridSpan w:val="2"/>
          </w:tcPr>
          <w:p>
            <w:pPr>
              <w:jc w:val="right"/>
              <w:ind w:right="140"/>
              <w:spacing w:after="0"/>
              <w:rPr>
                <w:sz w:val="20"/>
                <w:szCs w:val="20"/>
                <w:color w:val="auto"/>
              </w:rPr>
            </w:pPr>
            <w:r>
              <w:rPr>
                <w:rFonts w:ascii="Arial" w:cs="Arial" w:eastAsia="Arial" w:hAnsi="Arial"/>
                <w:sz w:val="10"/>
                <w:szCs w:val="10"/>
                <w:color w:val="auto"/>
              </w:rPr>
              <w:t>—</w:t>
            </w:r>
          </w:p>
        </w:tc>
        <w:tc>
          <w:tcPr>
            <w:tcW w:w="1320" w:type="dxa"/>
            <w:vAlign w:val="bottom"/>
            <w:gridSpan w:val="2"/>
          </w:tcPr>
          <w:p>
            <w:pPr>
              <w:jc w:val="right"/>
              <w:ind w:right="140"/>
              <w:spacing w:after="0"/>
              <w:rPr>
                <w:sz w:val="20"/>
                <w:szCs w:val="20"/>
                <w:color w:val="auto"/>
              </w:rPr>
            </w:pPr>
            <w:r>
              <w:rPr>
                <w:rFonts w:ascii="Arial" w:cs="Arial" w:eastAsia="Arial" w:hAnsi="Arial"/>
                <w:sz w:val="10"/>
                <w:szCs w:val="10"/>
                <w:color w:val="auto"/>
              </w:rPr>
              <w:t>—</w:t>
            </w:r>
          </w:p>
        </w:tc>
        <w:tc>
          <w:tcPr>
            <w:tcW w:w="960" w:type="dxa"/>
            <w:vAlign w:val="bottom"/>
          </w:tcPr>
          <w:p>
            <w:pPr>
              <w:jc w:val="right"/>
              <w:spacing w:after="0"/>
              <w:rPr>
                <w:sz w:val="20"/>
                <w:szCs w:val="20"/>
                <w:color w:val="auto"/>
              </w:rPr>
            </w:pPr>
            <w:r>
              <w:rPr>
                <w:rFonts w:ascii="Arial" w:cs="Arial" w:eastAsia="Arial" w:hAnsi="Arial"/>
                <w:sz w:val="10"/>
                <w:szCs w:val="10"/>
                <w:color w:val="auto"/>
              </w:rPr>
              <w:t>19,035</w:t>
            </w: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0"/>
                <w:szCs w:val="10"/>
                <w:color w:val="auto"/>
              </w:rPr>
              <w:t>—</w:t>
            </w:r>
          </w:p>
        </w:tc>
        <w:tc>
          <w:tcPr>
            <w:tcW w:w="1040" w:type="dxa"/>
            <w:vAlign w:val="bottom"/>
            <w:gridSpan w:val="2"/>
          </w:tcPr>
          <w:p>
            <w:pPr>
              <w:ind w:left="800"/>
              <w:spacing w:after="0"/>
              <w:rPr>
                <w:sz w:val="20"/>
                <w:szCs w:val="20"/>
                <w:color w:val="auto"/>
              </w:rPr>
            </w:pPr>
            <w:r>
              <w:rPr>
                <w:rFonts w:ascii="Arial" w:cs="Arial" w:eastAsia="Arial" w:hAnsi="Arial"/>
                <w:sz w:val="10"/>
                <w:szCs w:val="10"/>
                <w:color w:val="auto"/>
              </w:rPr>
              <w:t>—</w:t>
            </w:r>
          </w:p>
        </w:tc>
        <w:tc>
          <w:tcPr>
            <w:tcW w:w="840" w:type="dxa"/>
            <w:vAlign w:val="bottom"/>
          </w:tcPr>
          <w:p>
            <w:pPr>
              <w:jc w:val="right"/>
              <w:spacing w:after="0"/>
              <w:rPr>
                <w:sz w:val="20"/>
                <w:szCs w:val="20"/>
                <w:color w:val="auto"/>
              </w:rPr>
            </w:pPr>
            <w:r>
              <w:rPr>
                <w:rFonts w:ascii="Arial" w:cs="Arial" w:eastAsia="Arial" w:hAnsi="Arial"/>
                <w:sz w:val="10"/>
                <w:szCs w:val="10"/>
                <w:color w:val="auto"/>
              </w:rPr>
              <w:t>19,035</w:t>
            </w:r>
          </w:p>
        </w:tc>
      </w:tr>
      <w:tr>
        <w:trPr>
          <w:trHeight w:val="151"/>
        </w:trPr>
        <w:tc>
          <w:tcPr>
            <w:tcW w:w="4080" w:type="dxa"/>
            <w:vAlign w:val="bottom"/>
            <w:shd w:val="clear" w:color="auto" w:fill="CCEEFF"/>
          </w:tcPr>
          <w:p>
            <w:pPr>
              <w:ind w:left="100"/>
              <w:spacing w:after="0"/>
              <w:rPr>
                <w:sz w:val="20"/>
                <w:szCs w:val="20"/>
                <w:color w:val="auto"/>
              </w:rPr>
            </w:pPr>
            <w:r>
              <w:rPr>
                <w:rFonts w:ascii="Arial" w:cs="Arial" w:eastAsia="Arial" w:hAnsi="Arial"/>
                <w:sz w:val="10"/>
                <w:szCs w:val="10"/>
                <w:color w:val="auto"/>
              </w:rPr>
              <w:t>Derivative market value adjustments, net</w:t>
            </w:r>
          </w:p>
        </w:tc>
        <w:tc>
          <w:tcPr>
            <w:tcW w:w="60" w:type="dxa"/>
            <w:vAlign w:val="bottom"/>
            <w:shd w:val="clear" w:color="auto" w:fill="CCEEFF"/>
          </w:tcPr>
          <w:p>
            <w:pPr>
              <w:spacing w:after="0"/>
              <w:rPr>
                <w:sz w:val="13"/>
                <w:szCs w:val="13"/>
                <w:color w:val="auto"/>
              </w:rPr>
            </w:pPr>
          </w:p>
        </w:tc>
        <w:tc>
          <w:tcPr>
            <w:tcW w:w="960" w:type="dxa"/>
            <w:vAlign w:val="bottom"/>
            <w:gridSpan w:val="2"/>
            <w:shd w:val="clear" w:color="auto" w:fill="CCEEFF"/>
          </w:tcPr>
          <w:p>
            <w:pPr>
              <w:jc w:val="right"/>
              <w:ind w:right="120"/>
              <w:spacing w:after="0"/>
              <w:rPr>
                <w:sz w:val="20"/>
                <w:szCs w:val="20"/>
                <w:color w:val="auto"/>
              </w:rPr>
            </w:pPr>
            <w:r>
              <w:rPr>
                <w:rFonts w:ascii="Arial" w:cs="Arial" w:eastAsia="Arial" w:hAnsi="Arial"/>
                <w:sz w:val="10"/>
                <w:szCs w:val="10"/>
                <w:color w:val="auto"/>
              </w:rPr>
              <w:t>—</w:t>
            </w: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0"/>
                <w:szCs w:val="10"/>
                <w:color w:val="auto"/>
              </w:rPr>
              <w:t>—</w:t>
            </w:r>
          </w:p>
        </w:tc>
        <w:tc>
          <w:tcPr>
            <w:tcW w:w="1320" w:type="dxa"/>
            <w:vAlign w:val="bottom"/>
            <w:gridSpan w:val="2"/>
            <w:shd w:val="clear" w:color="auto" w:fill="CCEEFF"/>
          </w:tcPr>
          <w:p>
            <w:pPr>
              <w:jc w:val="right"/>
              <w:ind w:right="140"/>
              <w:spacing w:after="0"/>
              <w:rPr>
                <w:sz w:val="20"/>
                <w:szCs w:val="20"/>
                <w:color w:val="auto"/>
              </w:rPr>
            </w:pPr>
            <w:r>
              <w:rPr>
                <w:rFonts w:ascii="Arial" w:cs="Arial" w:eastAsia="Arial" w:hAnsi="Arial"/>
                <w:sz w:val="10"/>
                <w:szCs w:val="10"/>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0"/>
                <w:szCs w:val="10"/>
                <w:color w:val="auto"/>
              </w:rPr>
              <w:t>(30,574)</w:t>
            </w:r>
          </w:p>
        </w:tc>
        <w:tc>
          <w:tcPr>
            <w:tcW w:w="8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0"/>
                <w:szCs w:val="10"/>
                <w:color w:val="auto"/>
              </w:rPr>
              <w:t>—</w:t>
            </w:r>
          </w:p>
        </w:tc>
        <w:tc>
          <w:tcPr>
            <w:tcW w:w="1040" w:type="dxa"/>
            <w:vAlign w:val="bottom"/>
            <w:gridSpan w:val="2"/>
            <w:shd w:val="clear" w:color="auto" w:fill="CCEEFF"/>
          </w:tcPr>
          <w:p>
            <w:pPr>
              <w:ind w:left="800"/>
              <w:spacing w:after="0"/>
              <w:rPr>
                <w:sz w:val="20"/>
                <w:szCs w:val="20"/>
                <w:color w:val="auto"/>
              </w:rPr>
            </w:pPr>
            <w:r>
              <w:rPr>
                <w:rFonts w:ascii="Arial" w:cs="Arial" w:eastAsia="Arial" w:hAnsi="Arial"/>
                <w:sz w:val="10"/>
                <w:szCs w:val="10"/>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0"/>
                <w:szCs w:val="10"/>
                <w:color w:val="auto"/>
              </w:rPr>
              <w:t>(30,574)</w:t>
            </w:r>
          </w:p>
        </w:tc>
      </w:tr>
      <w:tr>
        <w:trPr>
          <w:trHeight w:val="142"/>
        </w:trPr>
        <w:tc>
          <w:tcPr>
            <w:tcW w:w="4080" w:type="dxa"/>
            <w:vAlign w:val="bottom"/>
            <w:tcBorders>
              <w:bottom w:val="single" w:sz="8" w:color="CCEEFF"/>
            </w:tcBorders>
          </w:tcPr>
          <w:p>
            <w:pPr>
              <w:ind w:left="20"/>
              <w:spacing w:after="0"/>
              <w:rPr>
                <w:sz w:val="20"/>
                <w:szCs w:val="20"/>
                <w:color w:val="auto"/>
              </w:rPr>
            </w:pPr>
            <w:r>
              <w:rPr>
                <w:rFonts w:ascii="Arial" w:cs="Arial" w:eastAsia="Arial" w:hAnsi="Arial"/>
                <w:sz w:val="10"/>
                <w:szCs w:val="10"/>
                <w:color w:val="auto"/>
              </w:rPr>
              <w:t>Total other income</w:t>
            </w:r>
          </w:p>
        </w:tc>
        <w:tc>
          <w:tcPr>
            <w:tcW w:w="60" w:type="dxa"/>
            <w:vAlign w:val="bottom"/>
            <w:tcBorders>
              <w:top w:val="single" w:sz="8" w:color="auto"/>
              <w:bottom w:val="single" w:sz="8" w:color="auto"/>
            </w:tcBorders>
          </w:tcPr>
          <w:p>
            <w:pPr>
              <w:spacing w:after="0"/>
              <w:rPr>
                <w:sz w:val="12"/>
                <w:szCs w:val="12"/>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rPr>
              <w:t>129,189</w:t>
            </w:r>
          </w:p>
        </w:tc>
        <w:tc>
          <w:tcPr>
            <w:tcW w:w="80" w:type="dxa"/>
            <w:vAlign w:val="bottom"/>
            <w:tcBorders>
              <w:bottom w:val="single" w:sz="8" w:color="CCEEFF"/>
            </w:tcBorders>
          </w:tcPr>
          <w:p>
            <w:pPr>
              <w:spacing w:after="0"/>
              <w:rPr>
                <w:sz w:val="12"/>
                <w:szCs w:val="12"/>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rPr>
              <w:t>79,159</w:t>
            </w:r>
          </w:p>
        </w:tc>
        <w:tc>
          <w:tcPr>
            <w:tcW w:w="100" w:type="dxa"/>
            <w:vAlign w:val="bottom"/>
            <w:tcBorders>
              <w:bottom w:val="single" w:sz="8" w:color="CCEEFF"/>
            </w:tcBorders>
          </w:tcPr>
          <w:p>
            <w:pPr>
              <w:spacing w:after="0"/>
              <w:rPr>
                <w:sz w:val="12"/>
                <w:szCs w:val="12"/>
                <w:color w:val="auto"/>
              </w:rPr>
            </w:pPr>
          </w:p>
        </w:tc>
        <w:tc>
          <w:tcPr>
            <w:tcW w:w="1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rPr>
              <w:t>14,668</w:t>
            </w:r>
          </w:p>
        </w:tc>
        <w:tc>
          <w:tcPr>
            <w:tcW w:w="100" w:type="dxa"/>
            <w:vAlign w:val="bottom"/>
            <w:tcBorders>
              <w:bottom w:val="single" w:sz="8" w:color="CCEEFF"/>
            </w:tcBorders>
          </w:tcPr>
          <w:p>
            <w:pPr>
              <w:spacing w:after="0"/>
              <w:rPr>
                <w:sz w:val="12"/>
                <w:szCs w:val="12"/>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rPr>
              <w:t>(8,014)</w:t>
            </w:r>
          </w:p>
        </w:tc>
        <w:tc>
          <w:tcPr>
            <w:tcW w:w="80" w:type="dxa"/>
            <w:vAlign w:val="bottom"/>
            <w:tcBorders>
              <w:bottom w:val="single" w:sz="8" w:color="CCEEFF"/>
            </w:tcBorders>
          </w:tcPr>
          <w:p>
            <w:pPr>
              <w:spacing w:after="0"/>
              <w:rPr>
                <w:sz w:val="12"/>
                <w:szCs w:val="12"/>
                <w:color w:val="auto"/>
              </w:rPr>
            </w:pPr>
          </w:p>
        </w:tc>
        <w:tc>
          <w:tcPr>
            <w:tcW w:w="40" w:type="dxa"/>
            <w:vAlign w:val="bottom"/>
            <w:tcBorders>
              <w:top w:val="single" w:sz="8" w:color="auto"/>
              <w:bottom w:val="single" w:sz="8" w:color="auto"/>
            </w:tcBorders>
          </w:tcPr>
          <w:p>
            <w:pPr>
              <w:spacing w:after="0"/>
              <w:rPr>
                <w:sz w:val="12"/>
                <w:szCs w:val="12"/>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rPr>
              <w:t>3,344</w:t>
            </w:r>
          </w:p>
        </w:tc>
        <w:tc>
          <w:tcPr>
            <w:tcW w:w="100" w:type="dxa"/>
            <w:vAlign w:val="bottom"/>
            <w:tcBorders>
              <w:bottom w:val="single" w:sz="8" w:color="CCEEFF"/>
            </w:tcBorders>
          </w:tcPr>
          <w:p>
            <w:pPr>
              <w:spacing w:after="0"/>
              <w:rPr>
                <w:sz w:val="12"/>
                <w:szCs w:val="12"/>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rPr>
              <w:t>(12,217)</w:t>
            </w:r>
          </w:p>
        </w:tc>
        <w:tc>
          <w:tcPr>
            <w:tcW w:w="100" w:type="dxa"/>
            <w:vAlign w:val="bottom"/>
            <w:tcBorders>
              <w:bottom w:val="single" w:sz="8" w:color="CCEEFF"/>
            </w:tcBorders>
          </w:tcPr>
          <w:p>
            <w:pPr>
              <w:spacing w:after="0"/>
              <w:rPr>
                <w:sz w:val="12"/>
                <w:szCs w:val="12"/>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rPr>
              <w:t>206,128</w:t>
            </w:r>
          </w:p>
        </w:tc>
      </w:tr>
      <w:tr>
        <w:trPr>
          <w:trHeight w:val="127"/>
        </w:trPr>
        <w:tc>
          <w:tcPr>
            <w:tcW w:w="4080" w:type="dxa"/>
            <w:vAlign w:val="bottom"/>
            <w:shd w:val="clear" w:color="auto" w:fill="CCEEFF"/>
          </w:tcPr>
          <w:p>
            <w:pPr>
              <w:ind w:left="20"/>
              <w:spacing w:after="0"/>
              <w:rPr>
                <w:sz w:val="20"/>
                <w:szCs w:val="20"/>
                <w:color w:val="auto"/>
              </w:rPr>
            </w:pPr>
            <w:r>
              <w:rPr>
                <w:rFonts w:ascii="Arial" w:cs="Arial" w:eastAsia="Arial" w:hAnsi="Arial"/>
                <w:sz w:val="10"/>
                <w:szCs w:val="10"/>
                <w:color w:val="auto"/>
              </w:rPr>
              <w:t>Cost of services:</w:t>
            </w:r>
          </w:p>
        </w:tc>
        <w:tc>
          <w:tcPr>
            <w:tcW w:w="6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r>
      <w:tr>
        <w:trPr>
          <w:trHeight w:val="144"/>
        </w:trPr>
        <w:tc>
          <w:tcPr>
            <w:tcW w:w="4080" w:type="dxa"/>
            <w:vAlign w:val="bottom"/>
          </w:tcPr>
          <w:p>
            <w:pPr>
              <w:ind w:left="100"/>
              <w:spacing w:after="0"/>
              <w:rPr>
                <w:sz w:val="20"/>
                <w:szCs w:val="20"/>
                <w:color w:val="auto"/>
              </w:rPr>
            </w:pPr>
            <w:r>
              <w:rPr>
                <w:rFonts w:ascii="Arial" w:cs="Arial" w:eastAsia="Arial" w:hAnsi="Arial"/>
                <w:sz w:val="10"/>
                <w:szCs w:val="10"/>
                <w:color w:val="auto"/>
              </w:rPr>
              <w:t>Cost to provide education technology, services, and payment processing services</w:t>
            </w:r>
          </w:p>
        </w:tc>
        <w:tc>
          <w:tcPr>
            <w:tcW w:w="60" w:type="dxa"/>
            <w:vAlign w:val="bottom"/>
          </w:tcPr>
          <w:p>
            <w:pPr>
              <w:spacing w:after="0"/>
              <w:rPr>
                <w:sz w:val="12"/>
                <w:szCs w:val="12"/>
                <w:color w:val="auto"/>
              </w:rPr>
            </w:pPr>
          </w:p>
        </w:tc>
        <w:tc>
          <w:tcPr>
            <w:tcW w:w="96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1000" w:type="dxa"/>
            <w:vAlign w:val="bottom"/>
          </w:tcPr>
          <w:p>
            <w:pPr>
              <w:jc w:val="right"/>
              <w:spacing w:after="0"/>
              <w:rPr>
                <w:sz w:val="20"/>
                <w:szCs w:val="20"/>
                <w:color w:val="auto"/>
              </w:rPr>
            </w:pPr>
            <w:r>
              <w:rPr>
                <w:rFonts w:ascii="Arial" w:cs="Arial" w:eastAsia="Arial" w:hAnsi="Arial"/>
                <w:sz w:val="10"/>
                <w:szCs w:val="10"/>
                <w:color w:val="auto"/>
              </w:rPr>
              <w:t>21,059</w:t>
            </w:r>
          </w:p>
        </w:tc>
        <w:tc>
          <w:tcPr>
            <w:tcW w:w="100" w:type="dxa"/>
            <w:vAlign w:val="bottom"/>
          </w:tcPr>
          <w:p>
            <w:pPr>
              <w:spacing w:after="0"/>
              <w:rPr>
                <w:sz w:val="12"/>
                <w:szCs w:val="12"/>
                <w:color w:val="auto"/>
              </w:rPr>
            </w:pPr>
          </w:p>
        </w:tc>
        <w:tc>
          <w:tcPr>
            <w:tcW w:w="1320" w:type="dxa"/>
            <w:vAlign w:val="bottom"/>
            <w:gridSpan w:val="2"/>
          </w:tcPr>
          <w:p>
            <w:pPr>
              <w:jc w:val="right"/>
              <w:ind w:right="140"/>
              <w:spacing w:after="0"/>
              <w:rPr>
                <w:sz w:val="20"/>
                <w:szCs w:val="20"/>
                <w:color w:val="auto"/>
              </w:rPr>
            </w:pPr>
            <w:r>
              <w:rPr>
                <w:rFonts w:ascii="Arial" w:cs="Arial" w:eastAsia="Arial" w:hAnsi="Arial"/>
                <w:sz w:val="10"/>
                <w:szCs w:val="10"/>
                <w:color w:val="auto"/>
              </w:rPr>
              <w:t>—</w:t>
            </w:r>
          </w:p>
        </w:tc>
        <w:tc>
          <w:tcPr>
            <w:tcW w:w="1080" w:type="dxa"/>
            <w:vAlign w:val="bottom"/>
            <w:gridSpan w:val="3"/>
          </w:tcPr>
          <w:p>
            <w:pPr>
              <w:jc w:val="right"/>
              <w:ind w:right="160"/>
              <w:spacing w:after="0"/>
              <w:rPr>
                <w:sz w:val="20"/>
                <w:szCs w:val="20"/>
                <w:color w:val="auto"/>
              </w:rPr>
            </w:pPr>
            <w:r>
              <w:rPr>
                <w:rFonts w:ascii="Arial" w:cs="Arial" w:eastAsia="Arial" w:hAnsi="Arial"/>
                <w:sz w:val="10"/>
                <w:szCs w:val="10"/>
                <w:color w:val="auto"/>
              </w:rPr>
              <w:t>—</w:t>
            </w:r>
          </w:p>
        </w:tc>
        <w:tc>
          <w:tcPr>
            <w:tcW w:w="860" w:type="dxa"/>
            <w:vAlign w:val="bottom"/>
            <w:gridSpan w:val="2"/>
          </w:tcPr>
          <w:p>
            <w:pPr>
              <w:jc w:val="right"/>
              <w:ind w:right="140"/>
              <w:spacing w:after="0"/>
              <w:rPr>
                <w:sz w:val="20"/>
                <w:szCs w:val="20"/>
                <w:color w:val="auto"/>
              </w:rPr>
            </w:pPr>
            <w:r>
              <w:rPr>
                <w:rFonts w:ascii="Arial" w:cs="Arial" w:eastAsia="Arial" w:hAnsi="Arial"/>
                <w:sz w:val="10"/>
                <w:szCs w:val="10"/>
                <w:color w:val="auto"/>
              </w:rPr>
              <w:t>—</w:t>
            </w:r>
          </w:p>
        </w:tc>
        <w:tc>
          <w:tcPr>
            <w:tcW w:w="1040" w:type="dxa"/>
            <w:vAlign w:val="bottom"/>
            <w:gridSpan w:val="2"/>
          </w:tcPr>
          <w:p>
            <w:pPr>
              <w:ind w:left="800"/>
              <w:spacing w:after="0"/>
              <w:rPr>
                <w:sz w:val="20"/>
                <w:szCs w:val="20"/>
                <w:color w:val="auto"/>
              </w:rPr>
            </w:pPr>
            <w:r>
              <w:rPr>
                <w:rFonts w:ascii="Arial" w:cs="Arial" w:eastAsia="Arial" w:hAnsi="Arial"/>
                <w:sz w:val="10"/>
                <w:szCs w:val="10"/>
                <w:color w:val="auto"/>
              </w:rPr>
              <w:t>—</w:t>
            </w:r>
          </w:p>
        </w:tc>
        <w:tc>
          <w:tcPr>
            <w:tcW w:w="840" w:type="dxa"/>
            <w:vAlign w:val="bottom"/>
          </w:tcPr>
          <w:p>
            <w:pPr>
              <w:jc w:val="right"/>
              <w:spacing w:after="0"/>
              <w:rPr>
                <w:sz w:val="20"/>
                <w:szCs w:val="20"/>
                <w:color w:val="auto"/>
              </w:rPr>
            </w:pPr>
            <w:r>
              <w:rPr>
                <w:rFonts w:ascii="Arial" w:cs="Arial" w:eastAsia="Arial" w:hAnsi="Arial"/>
                <w:sz w:val="10"/>
                <w:szCs w:val="10"/>
                <w:color w:val="auto"/>
              </w:rPr>
              <w:t>21,059</w:t>
            </w:r>
          </w:p>
        </w:tc>
      </w:tr>
      <w:tr>
        <w:trPr>
          <w:trHeight w:val="151"/>
        </w:trPr>
        <w:tc>
          <w:tcPr>
            <w:tcW w:w="4080" w:type="dxa"/>
            <w:vAlign w:val="bottom"/>
            <w:shd w:val="clear" w:color="auto" w:fill="CCEEFF"/>
          </w:tcPr>
          <w:p>
            <w:pPr>
              <w:ind w:left="100"/>
              <w:spacing w:after="0"/>
              <w:rPr>
                <w:sz w:val="20"/>
                <w:szCs w:val="20"/>
                <w:color w:val="auto"/>
              </w:rPr>
            </w:pPr>
            <w:r>
              <w:rPr>
                <w:rFonts w:ascii="Arial" w:cs="Arial" w:eastAsia="Arial" w:hAnsi="Arial"/>
                <w:sz w:val="10"/>
                <w:szCs w:val="10"/>
                <w:color w:val="auto"/>
              </w:rPr>
              <w:t>Cost to provide communications services</w:t>
            </w:r>
          </w:p>
        </w:tc>
        <w:tc>
          <w:tcPr>
            <w:tcW w:w="60" w:type="dxa"/>
            <w:vAlign w:val="bottom"/>
            <w:tcBorders>
              <w:bottom w:val="single" w:sz="8" w:color="auto"/>
            </w:tcBorders>
            <w:shd w:val="clear" w:color="auto" w:fill="CCEEFF"/>
          </w:tcPr>
          <w:p>
            <w:pPr>
              <w:spacing w:after="0"/>
              <w:rPr>
                <w:sz w:val="13"/>
                <w:szCs w:val="13"/>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w:t>
            </w:r>
          </w:p>
        </w:tc>
        <w:tc>
          <w:tcPr>
            <w:tcW w:w="80" w:type="dxa"/>
            <w:vAlign w:val="bottom"/>
            <w:shd w:val="clear" w:color="auto" w:fill="CCEEFF"/>
          </w:tcPr>
          <w:p>
            <w:pPr>
              <w:spacing w:after="0"/>
              <w:rPr>
                <w:sz w:val="13"/>
                <w:szCs w:val="13"/>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w:t>
            </w:r>
          </w:p>
        </w:tc>
        <w:tc>
          <w:tcPr>
            <w:tcW w:w="100" w:type="dxa"/>
            <w:vAlign w:val="bottom"/>
            <w:shd w:val="clear" w:color="auto" w:fill="CCEEFF"/>
          </w:tcPr>
          <w:p>
            <w:pPr>
              <w:spacing w:after="0"/>
              <w:rPr>
                <w:sz w:val="13"/>
                <w:szCs w:val="13"/>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4,759</w:t>
            </w:r>
          </w:p>
        </w:tc>
        <w:tc>
          <w:tcPr>
            <w:tcW w:w="100" w:type="dxa"/>
            <w:vAlign w:val="bottom"/>
            <w:shd w:val="clear" w:color="auto" w:fill="CCEEFF"/>
          </w:tcPr>
          <w:p>
            <w:pPr>
              <w:spacing w:after="0"/>
              <w:rPr>
                <w:sz w:val="13"/>
                <w:szCs w:val="13"/>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w:t>
            </w:r>
          </w:p>
        </w:tc>
        <w:tc>
          <w:tcPr>
            <w:tcW w:w="80" w:type="dxa"/>
            <w:vAlign w:val="bottom"/>
            <w:shd w:val="clear" w:color="auto" w:fill="CCEEFF"/>
          </w:tcPr>
          <w:p>
            <w:pPr>
              <w:spacing w:after="0"/>
              <w:rPr>
                <w:sz w:val="13"/>
                <w:szCs w:val="13"/>
                <w:color w:val="auto"/>
              </w:rPr>
            </w:pPr>
          </w:p>
        </w:tc>
        <w:tc>
          <w:tcPr>
            <w:tcW w:w="40" w:type="dxa"/>
            <w:vAlign w:val="bottom"/>
            <w:tcBorders>
              <w:bottom w:val="single" w:sz="8" w:color="auto"/>
            </w:tcBorders>
            <w:shd w:val="clear" w:color="auto" w:fill="CCEEFF"/>
          </w:tcPr>
          <w:p>
            <w:pPr>
              <w:spacing w:after="0"/>
              <w:rPr>
                <w:sz w:val="13"/>
                <w:szCs w:val="13"/>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w:t>
            </w:r>
          </w:p>
        </w:tc>
        <w:tc>
          <w:tcPr>
            <w:tcW w:w="100" w:type="dxa"/>
            <w:vAlign w:val="bottom"/>
            <w:shd w:val="clear" w:color="auto" w:fill="CCEEFF"/>
          </w:tcPr>
          <w:p>
            <w:pPr>
              <w:spacing w:after="0"/>
              <w:rPr>
                <w:sz w:val="13"/>
                <w:szCs w:val="13"/>
                <w:color w:val="auto"/>
              </w:rPr>
            </w:pPr>
          </w:p>
        </w:tc>
        <w:tc>
          <w:tcPr>
            <w:tcW w:w="940" w:type="dxa"/>
            <w:vAlign w:val="bottom"/>
            <w:tcBorders>
              <w:bottom w:val="single" w:sz="8" w:color="auto"/>
            </w:tcBorders>
            <w:shd w:val="clear" w:color="auto" w:fill="CCEEFF"/>
          </w:tcPr>
          <w:p>
            <w:pPr>
              <w:ind w:left="800"/>
              <w:spacing w:after="0"/>
              <w:rPr>
                <w:sz w:val="20"/>
                <w:szCs w:val="20"/>
                <w:color w:val="auto"/>
              </w:rPr>
            </w:pPr>
            <w:r>
              <w:rPr>
                <w:rFonts w:ascii="Arial" w:cs="Arial" w:eastAsia="Arial" w:hAnsi="Arial"/>
                <w:sz w:val="10"/>
                <w:szCs w:val="10"/>
                <w:color w:val="auto"/>
              </w:rPr>
              <w:t>—</w:t>
            </w:r>
          </w:p>
        </w:tc>
        <w:tc>
          <w:tcPr>
            <w:tcW w:w="100" w:type="dxa"/>
            <w:vAlign w:val="bottom"/>
            <w:shd w:val="clear" w:color="auto" w:fill="CCEEFF"/>
          </w:tcPr>
          <w:p>
            <w:pPr>
              <w:spacing w:after="0"/>
              <w:rPr>
                <w:sz w:val="13"/>
                <w:szCs w:val="13"/>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4,759</w:t>
            </w:r>
          </w:p>
        </w:tc>
      </w:tr>
      <w:tr>
        <w:trPr>
          <w:trHeight w:val="142"/>
        </w:trPr>
        <w:tc>
          <w:tcPr>
            <w:tcW w:w="4080" w:type="dxa"/>
            <w:vAlign w:val="bottom"/>
          </w:tcPr>
          <w:p>
            <w:pPr>
              <w:ind w:left="180"/>
              <w:spacing w:after="0"/>
              <w:rPr>
                <w:sz w:val="20"/>
                <w:szCs w:val="20"/>
                <w:color w:val="auto"/>
              </w:rPr>
            </w:pPr>
            <w:r>
              <w:rPr>
                <w:rFonts w:ascii="Arial" w:cs="Arial" w:eastAsia="Arial" w:hAnsi="Arial"/>
                <w:sz w:val="10"/>
                <w:szCs w:val="10"/>
                <w:color w:val="auto"/>
              </w:rPr>
              <w:t>Total cost of services</w:t>
            </w:r>
          </w:p>
        </w:tc>
        <w:tc>
          <w:tcPr>
            <w:tcW w:w="60" w:type="dxa"/>
            <w:vAlign w:val="bottom"/>
          </w:tcPr>
          <w:p>
            <w:pPr>
              <w:spacing w:after="0"/>
              <w:rPr>
                <w:sz w:val="12"/>
                <w:szCs w:val="12"/>
                <w:color w:val="auto"/>
              </w:rPr>
            </w:pPr>
          </w:p>
        </w:tc>
        <w:tc>
          <w:tcPr>
            <w:tcW w:w="96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1000" w:type="dxa"/>
            <w:vAlign w:val="bottom"/>
          </w:tcPr>
          <w:p>
            <w:pPr>
              <w:jc w:val="right"/>
              <w:spacing w:after="0"/>
              <w:rPr>
                <w:sz w:val="20"/>
                <w:szCs w:val="20"/>
                <w:color w:val="auto"/>
              </w:rPr>
            </w:pPr>
            <w:r>
              <w:rPr>
                <w:rFonts w:ascii="Arial" w:cs="Arial" w:eastAsia="Arial" w:hAnsi="Arial"/>
                <w:sz w:val="10"/>
                <w:szCs w:val="10"/>
                <w:color w:val="auto"/>
              </w:rPr>
              <w:t>21,059</w:t>
            </w:r>
          </w:p>
        </w:tc>
        <w:tc>
          <w:tcPr>
            <w:tcW w:w="100" w:type="dxa"/>
            <w:vAlign w:val="bottom"/>
          </w:tcPr>
          <w:p>
            <w:pPr>
              <w:spacing w:after="0"/>
              <w:rPr>
                <w:sz w:val="12"/>
                <w:szCs w:val="12"/>
                <w:color w:val="auto"/>
              </w:rPr>
            </w:pPr>
          </w:p>
        </w:tc>
        <w:tc>
          <w:tcPr>
            <w:tcW w:w="1220" w:type="dxa"/>
            <w:vAlign w:val="bottom"/>
          </w:tcPr>
          <w:p>
            <w:pPr>
              <w:jc w:val="right"/>
              <w:spacing w:after="0"/>
              <w:rPr>
                <w:sz w:val="20"/>
                <w:szCs w:val="20"/>
                <w:color w:val="auto"/>
              </w:rPr>
            </w:pPr>
            <w:r>
              <w:rPr>
                <w:rFonts w:ascii="Arial" w:cs="Arial" w:eastAsia="Arial" w:hAnsi="Arial"/>
                <w:sz w:val="10"/>
                <w:szCs w:val="10"/>
                <w:color w:val="auto"/>
              </w:rPr>
              <w:t>4,759</w:t>
            </w:r>
          </w:p>
        </w:tc>
        <w:tc>
          <w:tcPr>
            <w:tcW w:w="100" w:type="dxa"/>
            <w:vAlign w:val="bottom"/>
          </w:tcPr>
          <w:p>
            <w:pPr>
              <w:spacing w:after="0"/>
              <w:rPr>
                <w:sz w:val="12"/>
                <w:szCs w:val="12"/>
                <w:color w:val="auto"/>
              </w:rPr>
            </w:pPr>
          </w:p>
        </w:tc>
        <w:tc>
          <w:tcPr>
            <w:tcW w:w="1080" w:type="dxa"/>
            <w:vAlign w:val="bottom"/>
            <w:gridSpan w:val="3"/>
          </w:tcPr>
          <w:p>
            <w:pPr>
              <w:jc w:val="right"/>
              <w:ind w:right="160"/>
              <w:spacing w:after="0"/>
              <w:rPr>
                <w:sz w:val="20"/>
                <w:szCs w:val="20"/>
                <w:color w:val="auto"/>
              </w:rPr>
            </w:pPr>
            <w:r>
              <w:rPr>
                <w:rFonts w:ascii="Arial" w:cs="Arial" w:eastAsia="Arial" w:hAnsi="Arial"/>
                <w:sz w:val="10"/>
                <w:szCs w:val="10"/>
                <w:color w:val="auto"/>
              </w:rPr>
              <w:t>—</w:t>
            </w:r>
          </w:p>
        </w:tc>
        <w:tc>
          <w:tcPr>
            <w:tcW w:w="860" w:type="dxa"/>
            <w:vAlign w:val="bottom"/>
            <w:gridSpan w:val="2"/>
          </w:tcPr>
          <w:p>
            <w:pPr>
              <w:jc w:val="right"/>
              <w:ind w:right="140"/>
              <w:spacing w:after="0"/>
              <w:rPr>
                <w:sz w:val="20"/>
                <w:szCs w:val="20"/>
                <w:color w:val="auto"/>
              </w:rPr>
            </w:pPr>
            <w:r>
              <w:rPr>
                <w:rFonts w:ascii="Arial" w:cs="Arial" w:eastAsia="Arial" w:hAnsi="Arial"/>
                <w:sz w:val="10"/>
                <w:szCs w:val="10"/>
                <w:color w:val="auto"/>
              </w:rPr>
              <w:t>—</w:t>
            </w:r>
          </w:p>
        </w:tc>
        <w:tc>
          <w:tcPr>
            <w:tcW w:w="1040" w:type="dxa"/>
            <w:vAlign w:val="bottom"/>
            <w:gridSpan w:val="2"/>
          </w:tcPr>
          <w:p>
            <w:pPr>
              <w:ind w:left="800"/>
              <w:spacing w:after="0"/>
              <w:rPr>
                <w:sz w:val="20"/>
                <w:szCs w:val="20"/>
                <w:color w:val="auto"/>
              </w:rPr>
            </w:pPr>
            <w:r>
              <w:rPr>
                <w:rFonts w:ascii="Arial" w:cs="Arial" w:eastAsia="Arial" w:hAnsi="Arial"/>
                <w:sz w:val="10"/>
                <w:szCs w:val="10"/>
                <w:color w:val="auto"/>
              </w:rPr>
              <w:t>—</w:t>
            </w:r>
          </w:p>
        </w:tc>
        <w:tc>
          <w:tcPr>
            <w:tcW w:w="840" w:type="dxa"/>
            <w:vAlign w:val="bottom"/>
          </w:tcPr>
          <w:p>
            <w:pPr>
              <w:jc w:val="right"/>
              <w:spacing w:after="0"/>
              <w:rPr>
                <w:sz w:val="20"/>
                <w:szCs w:val="20"/>
                <w:color w:val="auto"/>
              </w:rPr>
            </w:pPr>
            <w:r>
              <w:rPr>
                <w:rFonts w:ascii="Arial" w:cs="Arial" w:eastAsia="Arial" w:hAnsi="Arial"/>
                <w:sz w:val="10"/>
                <w:szCs w:val="10"/>
                <w:color w:val="auto"/>
              </w:rPr>
              <w:t>25,818</w:t>
            </w:r>
          </w:p>
        </w:tc>
      </w:tr>
      <w:tr>
        <w:trPr>
          <w:trHeight w:val="127"/>
        </w:trPr>
        <w:tc>
          <w:tcPr>
            <w:tcW w:w="408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0"/>
                <w:szCs w:val="10"/>
                <w:color w:val="auto"/>
              </w:rPr>
              <w:t>Operating expenses:</w:t>
            </w:r>
          </w:p>
        </w:tc>
        <w:tc>
          <w:tcPr>
            <w:tcW w:w="60" w:type="dxa"/>
            <w:vAlign w:val="bottom"/>
            <w:tcBorders>
              <w:top w:val="single" w:sz="8" w:color="auto"/>
            </w:tcBorders>
            <w:shd w:val="clear" w:color="auto" w:fill="CCEEFF"/>
          </w:tcPr>
          <w:p>
            <w:pPr>
              <w:spacing w:after="0"/>
              <w:rPr>
                <w:sz w:val="11"/>
                <w:szCs w:val="11"/>
                <w:color w:val="auto"/>
              </w:rPr>
            </w:pPr>
          </w:p>
        </w:tc>
        <w:tc>
          <w:tcPr>
            <w:tcW w:w="880" w:type="dxa"/>
            <w:vAlign w:val="bottom"/>
            <w:tcBorders>
              <w:top w:val="single" w:sz="8" w:color="auto"/>
            </w:tcBorders>
            <w:shd w:val="clear" w:color="auto" w:fill="CCEEFF"/>
          </w:tcPr>
          <w:p>
            <w:pPr>
              <w:spacing w:after="0"/>
              <w:rPr>
                <w:sz w:val="11"/>
                <w:szCs w:val="11"/>
                <w:color w:val="auto"/>
              </w:rPr>
            </w:pPr>
          </w:p>
        </w:tc>
        <w:tc>
          <w:tcPr>
            <w:tcW w:w="80" w:type="dxa"/>
            <w:vAlign w:val="bottom"/>
            <w:tcBorders>
              <w:top w:val="single" w:sz="8" w:color="CCEEFF"/>
            </w:tcBorders>
            <w:shd w:val="clear" w:color="auto" w:fill="CCEEFF"/>
          </w:tcPr>
          <w:p>
            <w:pPr>
              <w:spacing w:after="0"/>
              <w:rPr>
                <w:sz w:val="11"/>
                <w:szCs w:val="11"/>
                <w:color w:val="auto"/>
              </w:rPr>
            </w:pPr>
          </w:p>
        </w:tc>
        <w:tc>
          <w:tcPr>
            <w:tcW w:w="1000" w:type="dxa"/>
            <w:vAlign w:val="bottom"/>
            <w:tcBorders>
              <w:top w:val="single" w:sz="8" w:color="auto"/>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c>
          <w:tcPr>
            <w:tcW w:w="1220" w:type="dxa"/>
            <w:vAlign w:val="bottom"/>
            <w:tcBorders>
              <w:top w:val="single" w:sz="8" w:color="auto"/>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c>
          <w:tcPr>
            <w:tcW w:w="960" w:type="dxa"/>
            <w:vAlign w:val="bottom"/>
            <w:tcBorders>
              <w:top w:val="single" w:sz="8" w:color="auto"/>
            </w:tcBorders>
            <w:shd w:val="clear" w:color="auto" w:fill="CCEEFF"/>
          </w:tcPr>
          <w:p>
            <w:pPr>
              <w:spacing w:after="0"/>
              <w:rPr>
                <w:sz w:val="11"/>
                <w:szCs w:val="11"/>
                <w:color w:val="auto"/>
              </w:rPr>
            </w:pPr>
          </w:p>
        </w:tc>
        <w:tc>
          <w:tcPr>
            <w:tcW w:w="80" w:type="dxa"/>
            <w:vAlign w:val="bottom"/>
            <w:tcBorders>
              <w:top w:val="single" w:sz="8" w:color="CCEEFF"/>
            </w:tcBorders>
            <w:shd w:val="clear" w:color="auto" w:fill="CCEEFF"/>
          </w:tcPr>
          <w:p>
            <w:pPr>
              <w:spacing w:after="0"/>
              <w:rPr>
                <w:sz w:val="11"/>
                <w:szCs w:val="11"/>
                <w:color w:val="auto"/>
              </w:rPr>
            </w:pPr>
          </w:p>
        </w:tc>
        <w:tc>
          <w:tcPr>
            <w:tcW w:w="40" w:type="dxa"/>
            <w:vAlign w:val="bottom"/>
            <w:tcBorders>
              <w:top w:val="single" w:sz="8" w:color="auto"/>
            </w:tcBorders>
            <w:shd w:val="clear" w:color="auto" w:fill="CCEEFF"/>
          </w:tcPr>
          <w:p>
            <w:pPr>
              <w:spacing w:after="0"/>
              <w:rPr>
                <w:sz w:val="11"/>
                <w:szCs w:val="11"/>
                <w:color w:val="auto"/>
              </w:rPr>
            </w:pPr>
          </w:p>
        </w:tc>
        <w:tc>
          <w:tcPr>
            <w:tcW w:w="760" w:type="dxa"/>
            <w:vAlign w:val="bottom"/>
            <w:tcBorders>
              <w:top w:val="single" w:sz="8" w:color="auto"/>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c>
          <w:tcPr>
            <w:tcW w:w="940" w:type="dxa"/>
            <w:vAlign w:val="bottom"/>
            <w:tcBorders>
              <w:top w:val="single" w:sz="8" w:color="auto"/>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c>
          <w:tcPr>
            <w:tcW w:w="840" w:type="dxa"/>
            <w:vAlign w:val="bottom"/>
            <w:tcBorders>
              <w:top w:val="single" w:sz="8" w:color="auto"/>
            </w:tcBorders>
            <w:shd w:val="clear" w:color="auto" w:fill="CCEEFF"/>
          </w:tcPr>
          <w:p>
            <w:pPr>
              <w:spacing w:after="0"/>
              <w:rPr>
                <w:sz w:val="11"/>
                <w:szCs w:val="11"/>
                <w:color w:val="auto"/>
              </w:rPr>
            </w:pPr>
          </w:p>
        </w:tc>
      </w:tr>
      <w:tr>
        <w:trPr>
          <w:trHeight w:val="144"/>
        </w:trPr>
        <w:tc>
          <w:tcPr>
            <w:tcW w:w="4080" w:type="dxa"/>
            <w:vAlign w:val="bottom"/>
          </w:tcPr>
          <w:p>
            <w:pPr>
              <w:ind w:left="100"/>
              <w:spacing w:after="0"/>
              <w:rPr>
                <w:sz w:val="20"/>
                <w:szCs w:val="20"/>
                <w:color w:val="auto"/>
              </w:rPr>
            </w:pPr>
            <w:r>
              <w:rPr>
                <w:rFonts w:ascii="Arial" w:cs="Arial" w:eastAsia="Arial" w:hAnsi="Arial"/>
                <w:sz w:val="10"/>
                <w:szCs w:val="10"/>
                <w:color w:val="auto"/>
              </w:rPr>
              <w:t>Salaries and benefits</w:t>
            </w:r>
          </w:p>
        </w:tc>
        <w:tc>
          <w:tcPr>
            <w:tcW w:w="60" w:type="dxa"/>
            <w:vAlign w:val="bottom"/>
          </w:tcPr>
          <w:p>
            <w:pPr>
              <w:spacing w:after="0"/>
              <w:rPr>
                <w:sz w:val="12"/>
                <w:szCs w:val="12"/>
                <w:color w:val="auto"/>
              </w:rPr>
            </w:pPr>
          </w:p>
        </w:tc>
        <w:tc>
          <w:tcPr>
            <w:tcW w:w="880" w:type="dxa"/>
            <w:vAlign w:val="bottom"/>
          </w:tcPr>
          <w:p>
            <w:pPr>
              <w:jc w:val="right"/>
              <w:spacing w:after="0"/>
              <w:rPr>
                <w:sz w:val="20"/>
                <w:szCs w:val="20"/>
                <w:color w:val="auto"/>
              </w:rPr>
            </w:pPr>
            <w:r>
              <w:rPr>
                <w:rFonts w:ascii="Arial" w:cs="Arial" w:eastAsia="Arial" w:hAnsi="Arial"/>
                <w:sz w:val="10"/>
                <w:szCs w:val="10"/>
                <w:color w:val="auto"/>
              </w:rPr>
              <w:t>66,220</w:t>
            </w:r>
          </w:p>
        </w:tc>
        <w:tc>
          <w:tcPr>
            <w:tcW w:w="80" w:type="dxa"/>
            <w:vAlign w:val="bottom"/>
          </w:tcPr>
          <w:p>
            <w:pPr>
              <w:spacing w:after="0"/>
              <w:rPr>
                <w:sz w:val="12"/>
                <w:szCs w:val="12"/>
                <w:color w:val="auto"/>
              </w:rPr>
            </w:pPr>
          </w:p>
        </w:tc>
        <w:tc>
          <w:tcPr>
            <w:tcW w:w="1000" w:type="dxa"/>
            <w:vAlign w:val="bottom"/>
          </w:tcPr>
          <w:p>
            <w:pPr>
              <w:jc w:val="right"/>
              <w:spacing w:after="0"/>
              <w:rPr>
                <w:sz w:val="20"/>
                <w:szCs w:val="20"/>
                <w:color w:val="auto"/>
              </w:rPr>
            </w:pPr>
            <w:r>
              <w:rPr>
                <w:rFonts w:ascii="Arial" w:cs="Arial" w:eastAsia="Arial" w:hAnsi="Arial"/>
                <w:sz w:val="10"/>
                <w:szCs w:val="10"/>
                <w:color w:val="auto"/>
              </w:rPr>
              <w:t>23,008</w:t>
            </w:r>
          </w:p>
        </w:tc>
        <w:tc>
          <w:tcPr>
            <w:tcW w:w="100" w:type="dxa"/>
            <w:vAlign w:val="bottom"/>
          </w:tcPr>
          <w:p>
            <w:pPr>
              <w:spacing w:after="0"/>
              <w:rPr>
                <w:sz w:val="12"/>
                <w:szCs w:val="12"/>
                <w:color w:val="auto"/>
              </w:rPr>
            </w:pPr>
          </w:p>
        </w:tc>
        <w:tc>
          <w:tcPr>
            <w:tcW w:w="1220" w:type="dxa"/>
            <w:vAlign w:val="bottom"/>
          </w:tcPr>
          <w:p>
            <w:pPr>
              <w:jc w:val="right"/>
              <w:spacing w:after="0"/>
              <w:rPr>
                <w:sz w:val="20"/>
                <w:szCs w:val="20"/>
                <w:color w:val="auto"/>
              </w:rPr>
            </w:pPr>
            <w:r>
              <w:rPr>
                <w:rFonts w:ascii="Arial" w:cs="Arial" w:eastAsia="Arial" w:hAnsi="Arial"/>
                <w:sz w:val="10"/>
                <w:szCs w:val="10"/>
                <w:color w:val="auto"/>
              </w:rPr>
              <w:t>4,737</w:t>
            </w:r>
          </w:p>
        </w:tc>
        <w:tc>
          <w:tcPr>
            <w:tcW w:w="100" w:type="dxa"/>
            <w:vAlign w:val="bottom"/>
          </w:tcPr>
          <w:p>
            <w:pPr>
              <w:spacing w:after="0"/>
              <w:rPr>
                <w:sz w:val="12"/>
                <w:szCs w:val="12"/>
                <w:color w:val="auto"/>
              </w:rPr>
            </w:pPr>
          </w:p>
        </w:tc>
        <w:tc>
          <w:tcPr>
            <w:tcW w:w="960" w:type="dxa"/>
            <w:vAlign w:val="bottom"/>
          </w:tcPr>
          <w:p>
            <w:pPr>
              <w:jc w:val="right"/>
              <w:spacing w:after="0"/>
              <w:rPr>
                <w:sz w:val="20"/>
                <w:szCs w:val="20"/>
                <w:color w:val="auto"/>
              </w:rPr>
            </w:pPr>
            <w:r>
              <w:rPr>
                <w:rFonts w:ascii="Arial" w:cs="Arial" w:eastAsia="Arial" w:hAnsi="Arial"/>
                <w:sz w:val="10"/>
                <w:szCs w:val="10"/>
                <w:color w:val="auto"/>
              </w:rPr>
              <w:t>378</w:t>
            </w: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60" w:type="dxa"/>
            <w:vAlign w:val="bottom"/>
          </w:tcPr>
          <w:p>
            <w:pPr>
              <w:jc w:val="right"/>
              <w:spacing w:after="0"/>
              <w:rPr>
                <w:sz w:val="20"/>
                <w:szCs w:val="20"/>
                <w:color w:val="auto"/>
              </w:rPr>
            </w:pPr>
            <w:r>
              <w:rPr>
                <w:rFonts w:ascii="Arial" w:cs="Arial" w:eastAsia="Arial" w:hAnsi="Arial"/>
                <w:sz w:val="10"/>
                <w:szCs w:val="10"/>
                <w:color w:val="auto"/>
              </w:rPr>
              <w:t>16,716</w:t>
            </w:r>
          </w:p>
        </w:tc>
        <w:tc>
          <w:tcPr>
            <w:tcW w:w="100" w:type="dxa"/>
            <w:vAlign w:val="bottom"/>
          </w:tcPr>
          <w:p>
            <w:pPr>
              <w:spacing w:after="0"/>
              <w:rPr>
                <w:sz w:val="12"/>
                <w:szCs w:val="12"/>
                <w:color w:val="auto"/>
              </w:rPr>
            </w:pPr>
          </w:p>
        </w:tc>
        <w:tc>
          <w:tcPr>
            <w:tcW w:w="1040" w:type="dxa"/>
            <w:vAlign w:val="bottom"/>
            <w:gridSpan w:val="2"/>
          </w:tcPr>
          <w:p>
            <w:pPr>
              <w:ind w:left="800"/>
              <w:spacing w:after="0"/>
              <w:rPr>
                <w:sz w:val="20"/>
                <w:szCs w:val="20"/>
                <w:color w:val="auto"/>
              </w:rPr>
            </w:pPr>
            <w:r>
              <w:rPr>
                <w:rFonts w:ascii="Arial" w:cs="Arial" w:eastAsia="Arial" w:hAnsi="Arial"/>
                <w:sz w:val="10"/>
                <w:szCs w:val="10"/>
                <w:color w:val="auto"/>
              </w:rPr>
              <w:t>—</w:t>
            </w:r>
          </w:p>
        </w:tc>
        <w:tc>
          <w:tcPr>
            <w:tcW w:w="840" w:type="dxa"/>
            <w:vAlign w:val="bottom"/>
          </w:tcPr>
          <w:p>
            <w:pPr>
              <w:jc w:val="right"/>
              <w:spacing w:after="0"/>
              <w:rPr>
                <w:sz w:val="20"/>
                <w:szCs w:val="20"/>
                <w:color w:val="auto"/>
              </w:rPr>
            </w:pPr>
            <w:r>
              <w:rPr>
                <w:rFonts w:ascii="Arial" w:cs="Arial" w:eastAsia="Arial" w:hAnsi="Arial"/>
                <w:sz w:val="10"/>
                <w:szCs w:val="10"/>
                <w:color w:val="auto"/>
              </w:rPr>
              <w:t>111,059</w:t>
            </w:r>
          </w:p>
        </w:tc>
      </w:tr>
      <w:tr>
        <w:trPr>
          <w:trHeight w:val="157"/>
        </w:trPr>
        <w:tc>
          <w:tcPr>
            <w:tcW w:w="4080" w:type="dxa"/>
            <w:vAlign w:val="bottom"/>
            <w:shd w:val="clear" w:color="auto" w:fill="CCEEFF"/>
          </w:tcPr>
          <w:p>
            <w:pPr>
              <w:ind w:left="100"/>
              <w:spacing w:after="0"/>
              <w:rPr>
                <w:sz w:val="20"/>
                <w:szCs w:val="20"/>
                <w:color w:val="auto"/>
              </w:rPr>
            </w:pPr>
            <w:r>
              <w:rPr>
                <w:rFonts w:ascii="Arial" w:cs="Arial" w:eastAsia="Arial" w:hAnsi="Arial"/>
                <w:sz w:val="10"/>
                <w:szCs w:val="10"/>
                <w:color w:val="auto"/>
              </w:rPr>
              <w:t>Depreciation and amortization</w:t>
            </w:r>
          </w:p>
        </w:tc>
        <w:tc>
          <w:tcPr>
            <w:tcW w:w="60" w:type="dxa"/>
            <w:vAlign w:val="bottom"/>
            <w:shd w:val="clear" w:color="auto" w:fill="CCEEFF"/>
          </w:tcPr>
          <w:p>
            <w:pPr>
              <w:spacing w:after="0"/>
              <w:rPr>
                <w:sz w:val="13"/>
                <w:szCs w:val="13"/>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0"/>
                <w:szCs w:val="10"/>
                <w:color w:val="auto"/>
              </w:rPr>
              <w:t>8,871</w:t>
            </w:r>
          </w:p>
        </w:tc>
        <w:tc>
          <w:tcPr>
            <w:tcW w:w="80" w:type="dxa"/>
            <w:vAlign w:val="bottom"/>
            <w:shd w:val="clear" w:color="auto" w:fill="CCEEFF"/>
          </w:tcPr>
          <w:p>
            <w:pPr>
              <w:spacing w:after="0"/>
              <w:rPr>
                <w:sz w:val="13"/>
                <w:szCs w:val="13"/>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0"/>
                <w:szCs w:val="10"/>
                <w:color w:val="auto"/>
              </w:rPr>
              <w:t>3,510</w:t>
            </w:r>
          </w:p>
        </w:tc>
        <w:tc>
          <w:tcPr>
            <w:tcW w:w="100" w:type="dxa"/>
            <w:vAlign w:val="bottom"/>
            <w:shd w:val="clear" w:color="auto" w:fill="CCEEFF"/>
          </w:tcPr>
          <w:p>
            <w:pPr>
              <w:spacing w:after="0"/>
              <w:rPr>
                <w:sz w:val="13"/>
                <w:szCs w:val="13"/>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0"/>
                <w:szCs w:val="10"/>
                <w:color w:val="auto"/>
              </w:rPr>
              <w:t>7,362</w:t>
            </w:r>
          </w:p>
        </w:tc>
        <w:tc>
          <w:tcPr>
            <w:tcW w:w="100" w:type="dxa"/>
            <w:vAlign w:val="bottom"/>
            <w:shd w:val="clear" w:color="auto" w:fill="CCEEFF"/>
          </w:tcPr>
          <w:p>
            <w:pPr>
              <w:spacing w:after="0"/>
              <w:rPr>
                <w:sz w:val="13"/>
                <w:szCs w:val="13"/>
                <w:color w:val="auto"/>
              </w:rPr>
            </w:pPr>
          </w:p>
        </w:tc>
        <w:tc>
          <w:tcPr>
            <w:tcW w:w="1080" w:type="dxa"/>
            <w:vAlign w:val="bottom"/>
            <w:gridSpan w:val="3"/>
            <w:shd w:val="clear" w:color="auto" w:fill="CCEEFF"/>
          </w:tcPr>
          <w:p>
            <w:pPr>
              <w:jc w:val="right"/>
              <w:ind w:right="160"/>
              <w:spacing w:after="0"/>
              <w:rPr>
                <w:sz w:val="20"/>
                <w:szCs w:val="20"/>
                <w:color w:val="auto"/>
              </w:rPr>
            </w:pPr>
            <w:r>
              <w:rPr>
                <w:rFonts w:ascii="Arial" w:cs="Arial" w:eastAsia="Arial" w:hAnsi="Arial"/>
                <w:sz w:val="10"/>
                <w:szCs w:val="10"/>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0"/>
                <w:szCs w:val="10"/>
                <w:color w:val="auto"/>
              </w:rPr>
              <w:t>4,469</w:t>
            </w:r>
          </w:p>
        </w:tc>
        <w:tc>
          <w:tcPr>
            <w:tcW w:w="100" w:type="dxa"/>
            <w:vAlign w:val="bottom"/>
            <w:shd w:val="clear" w:color="auto" w:fill="CCEEFF"/>
          </w:tcPr>
          <w:p>
            <w:pPr>
              <w:spacing w:after="0"/>
              <w:rPr>
                <w:sz w:val="13"/>
                <w:szCs w:val="13"/>
                <w:color w:val="auto"/>
              </w:rPr>
            </w:pPr>
          </w:p>
        </w:tc>
        <w:tc>
          <w:tcPr>
            <w:tcW w:w="1040" w:type="dxa"/>
            <w:vAlign w:val="bottom"/>
            <w:gridSpan w:val="2"/>
            <w:shd w:val="clear" w:color="auto" w:fill="CCEEFF"/>
          </w:tcPr>
          <w:p>
            <w:pPr>
              <w:ind w:left="800"/>
              <w:spacing w:after="0"/>
              <w:rPr>
                <w:sz w:val="20"/>
                <w:szCs w:val="20"/>
                <w:color w:val="auto"/>
              </w:rPr>
            </w:pPr>
            <w:r>
              <w:rPr>
                <w:rFonts w:ascii="Arial" w:cs="Arial" w:eastAsia="Arial" w:hAnsi="Arial"/>
                <w:sz w:val="10"/>
                <w:szCs w:val="10"/>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0"/>
                <w:szCs w:val="10"/>
                <w:color w:val="auto"/>
              </w:rPr>
              <w:t>24,213</w:t>
            </w:r>
          </w:p>
        </w:tc>
      </w:tr>
      <w:tr>
        <w:trPr>
          <w:trHeight w:val="144"/>
        </w:trPr>
        <w:tc>
          <w:tcPr>
            <w:tcW w:w="4080" w:type="dxa"/>
            <w:vAlign w:val="bottom"/>
          </w:tcPr>
          <w:p>
            <w:pPr>
              <w:ind w:left="100"/>
              <w:spacing w:after="0"/>
              <w:rPr>
                <w:sz w:val="20"/>
                <w:szCs w:val="20"/>
                <w:color w:val="auto"/>
              </w:rPr>
            </w:pPr>
            <w:r>
              <w:rPr>
                <w:rFonts w:ascii="Arial" w:cs="Arial" w:eastAsia="Arial" w:hAnsi="Arial"/>
                <w:sz w:val="10"/>
                <w:szCs w:val="10"/>
                <w:color w:val="auto"/>
              </w:rPr>
              <w:t>Loan servicing fees to third parties</w:t>
            </w:r>
          </w:p>
        </w:tc>
        <w:tc>
          <w:tcPr>
            <w:tcW w:w="60" w:type="dxa"/>
            <w:vAlign w:val="bottom"/>
          </w:tcPr>
          <w:p>
            <w:pPr>
              <w:spacing w:after="0"/>
              <w:rPr>
                <w:sz w:val="12"/>
                <w:szCs w:val="12"/>
                <w:color w:val="auto"/>
              </w:rPr>
            </w:pPr>
          </w:p>
        </w:tc>
        <w:tc>
          <w:tcPr>
            <w:tcW w:w="96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1100" w:type="dxa"/>
            <w:vAlign w:val="bottom"/>
            <w:gridSpan w:val="2"/>
          </w:tcPr>
          <w:p>
            <w:pPr>
              <w:jc w:val="right"/>
              <w:ind w:right="140"/>
              <w:spacing w:after="0"/>
              <w:rPr>
                <w:sz w:val="20"/>
                <w:szCs w:val="20"/>
                <w:color w:val="auto"/>
              </w:rPr>
            </w:pPr>
            <w:r>
              <w:rPr>
                <w:rFonts w:ascii="Arial" w:cs="Arial" w:eastAsia="Arial" w:hAnsi="Arial"/>
                <w:sz w:val="10"/>
                <w:szCs w:val="10"/>
                <w:color w:val="auto"/>
              </w:rPr>
              <w:t>—</w:t>
            </w:r>
          </w:p>
        </w:tc>
        <w:tc>
          <w:tcPr>
            <w:tcW w:w="1320" w:type="dxa"/>
            <w:vAlign w:val="bottom"/>
            <w:gridSpan w:val="2"/>
          </w:tcPr>
          <w:p>
            <w:pPr>
              <w:jc w:val="right"/>
              <w:ind w:right="140"/>
              <w:spacing w:after="0"/>
              <w:rPr>
                <w:sz w:val="20"/>
                <w:szCs w:val="20"/>
                <w:color w:val="auto"/>
              </w:rPr>
            </w:pPr>
            <w:r>
              <w:rPr>
                <w:rFonts w:ascii="Arial" w:cs="Arial" w:eastAsia="Arial" w:hAnsi="Arial"/>
                <w:sz w:val="10"/>
                <w:szCs w:val="10"/>
                <w:color w:val="auto"/>
              </w:rPr>
              <w:t>—</w:t>
            </w:r>
          </w:p>
        </w:tc>
        <w:tc>
          <w:tcPr>
            <w:tcW w:w="960" w:type="dxa"/>
            <w:vAlign w:val="bottom"/>
          </w:tcPr>
          <w:p>
            <w:pPr>
              <w:jc w:val="right"/>
              <w:spacing w:after="0"/>
              <w:rPr>
                <w:sz w:val="20"/>
                <w:szCs w:val="20"/>
                <w:color w:val="auto"/>
              </w:rPr>
            </w:pPr>
            <w:r>
              <w:rPr>
                <w:rFonts w:ascii="Arial" w:cs="Arial" w:eastAsia="Arial" w:hAnsi="Arial"/>
                <w:sz w:val="10"/>
                <w:szCs w:val="10"/>
                <w:color w:val="auto"/>
              </w:rPr>
              <w:t>2,893</w:t>
            </w: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0"/>
                <w:szCs w:val="10"/>
                <w:color w:val="auto"/>
              </w:rPr>
              <w:t>—</w:t>
            </w:r>
          </w:p>
        </w:tc>
        <w:tc>
          <w:tcPr>
            <w:tcW w:w="1040" w:type="dxa"/>
            <w:vAlign w:val="bottom"/>
            <w:gridSpan w:val="2"/>
          </w:tcPr>
          <w:p>
            <w:pPr>
              <w:ind w:left="800"/>
              <w:spacing w:after="0"/>
              <w:rPr>
                <w:sz w:val="20"/>
                <w:szCs w:val="20"/>
                <w:color w:val="auto"/>
              </w:rPr>
            </w:pPr>
            <w:r>
              <w:rPr>
                <w:rFonts w:ascii="Arial" w:cs="Arial" w:eastAsia="Arial" w:hAnsi="Arial"/>
                <w:sz w:val="10"/>
                <w:szCs w:val="10"/>
                <w:color w:val="auto"/>
              </w:rPr>
              <w:t>—</w:t>
            </w:r>
          </w:p>
        </w:tc>
        <w:tc>
          <w:tcPr>
            <w:tcW w:w="840" w:type="dxa"/>
            <w:vAlign w:val="bottom"/>
          </w:tcPr>
          <w:p>
            <w:pPr>
              <w:jc w:val="right"/>
              <w:spacing w:after="0"/>
              <w:rPr>
                <w:sz w:val="20"/>
                <w:szCs w:val="20"/>
                <w:color w:val="auto"/>
              </w:rPr>
            </w:pPr>
            <w:r>
              <w:rPr>
                <w:rFonts w:ascii="Arial" w:cs="Arial" w:eastAsia="Arial" w:hAnsi="Arial"/>
                <w:sz w:val="10"/>
                <w:szCs w:val="10"/>
                <w:color w:val="auto"/>
              </w:rPr>
              <w:t>2,893</w:t>
            </w:r>
          </w:p>
        </w:tc>
      </w:tr>
      <w:tr>
        <w:trPr>
          <w:trHeight w:val="157"/>
        </w:trPr>
        <w:tc>
          <w:tcPr>
            <w:tcW w:w="4080" w:type="dxa"/>
            <w:vAlign w:val="bottom"/>
            <w:shd w:val="clear" w:color="auto" w:fill="CCEEFF"/>
          </w:tcPr>
          <w:p>
            <w:pPr>
              <w:ind w:left="100"/>
              <w:spacing w:after="0"/>
              <w:rPr>
                <w:sz w:val="20"/>
                <w:szCs w:val="20"/>
                <w:color w:val="auto"/>
              </w:rPr>
            </w:pPr>
            <w:r>
              <w:rPr>
                <w:rFonts w:ascii="Arial" w:cs="Arial" w:eastAsia="Arial" w:hAnsi="Arial"/>
                <w:sz w:val="10"/>
                <w:szCs w:val="10"/>
                <w:color w:val="auto"/>
              </w:rPr>
              <w:t>Other expenses</w:t>
            </w:r>
          </w:p>
        </w:tc>
        <w:tc>
          <w:tcPr>
            <w:tcW w:w="60" w:type="dxa"/>
            <w:vAlign w:val="bottom"/>
            <w:shd w:val="clear" w:color="auto" w:fill="CCEEFF"/>
          </w:tcPr>
          <w:p>
            <w:pPr>
              <w:spacing w:after="0"/>
              <w:rPr>
                <w:sz w:val="13"/>
                <w:szCs w:val="13"/>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0"/>
                <w:szCs w:val="10"/>
                <w:color w:val="auto"/>
              </w:rPr>
              <w:t>18,928</w:t>
            </w:r>
          </w:p>
        </w:tc>
        <w:tc>
          <w:tcPr>
            <w:tcW w:w="80" w:type="dxa"/>
            <w:vAlign w:val="bottom"/>
            <w:shd w:val="clear" w:color="auto" w:fill="CCEEFF"/>
          </w:tcPr>
          <w:p>
            <w:pPr>
              <w:spacing w:after="0"/>
              <w:rPr>
                <w:sz w:val="13"/>
                <w:szCs w:val="13"/>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0"/>
                <w:szCs w:val="10"/>
                <w:color w:val="auto"/>
              </w:rPr>
              <w:t>5,311</w:t>
            </w:r>
          </w:p>
        </w:tc>
        <w:tc>
          <w:tcPr>
            <w:tcW w:w="100" w:type="dxa"/>
            <w:vAlign w:val="bottom"/>
            <w:shd w:val="clear" w:color="auto" w:fill="CCEEFF"/>
          </w:tcPr>
          <w:p>
            <w:pPr>
              <w:spacing w:after="0"/>
              <w:rPr>
                <w:sz w:val="13"/>
                <w:szCs w:val="13"/>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0"/>
                <w:szCs w:val="10"/>
                <w:color w:val="auto"/>
              </w:rPr>
              <w:t>3,477</w:t>
            </w:r>
          </w:p>
        </w:tc>
        <w:tc>
          <w:tcPr>
            <w:tcW w:w="100" w:type="dxa"/>
            <w:vAlign w:val="bottom"/>
            <w:shd w:val="clear" w:color="auto" w:fill="CCEEFF"/>
          </w:tcPr>
          <w:p>
            <w:pPr>
              <w:spacing w:after="0"/>
              <w:rPr>
                <w:sz w:val="13"/>
                <w:szCs w:val="13"/>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0"/>
                <w:szCs w:val="10"/>
                <w:color w:val="auto"/>
              </w:rPr>
              <w:t>944</w:t>
            </w:r>
          </w:p>
        </w:tc>
        <w:tc>
          <w:tcPr>
            <w:tcW w:w="8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0"/>
                <w:szCs w:val="10"/>
                <w:color w:val="auto"/>
              </w:rPr>
              <w:t>12,262</w:t>
            </w:r>
          </w:p>
        </w:tc>
        <w:tc>
          <w:tcPr>
            <w:tcW w:w="100" w:type="dxa"/>
            <w:vAlign w:val="bottom"/>
            <w:shd w:val="clear" w:color="auto" w:fill="CCEEFF"/>
          </w:tcPr>
          <w:p>
            <w:pPr>
              <w:spacing w:after="0"/>
              <w:rPr>
                <w:sz w:val="13"/>
                <w:szCs w:val="13"/>
                <w:color w:val="auto"/>
              </w:rPr>
            </w:pPr>
          </w:p>
        </w:tc>
        <w:tc>
          <w:tcPr>
            <w:tcW w:w="1040" w:type="dxa"/>
            <w:vAlign w:val="bottom"/>
            <w:gridSpan w:val="2"/>
            <w:shd w:val="clear" w:color="auto" w:fill="CCEEFF"/>
          </w:tcPr>
          <w:p>
            <w:pPr>
              <w:ind w:left="800"/>
              <w:spacing w:after="0"/>
              <w:rPr>
                <w:sz w:val="20"/>
                <w:szCs w:val="20"/>
                <w:color w:val="auto"/>
              </w:rPr>
            </w:pPr>
            <w:r>
              <w:rPr>
                <w:rFonts w:ascii="Arial" w:cs="Arial" w:eastAsia="Arial" w:hAnsi="Arial"/>
                <w:sz w:val="10"/>
                <w:szCs w:val="10"/>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0"/>
                <w:szCs w:val="10"/>
                <w:color w:val="auto"/>
              </w:rPr>
              <w:t>40,923</w:t>
            </w:r>
          </w:p>
        </w:tc>
      </w:tr>
      <w:tr>
        <w:trPr>
          <w:trHeight w:val="144"/>
        </w:trPr>
        <w:tc>
          <w:tcPr>
            <w:tcW w:w="4080" w:type="dxa"/>
            <w:vAlign w:val="bottom"/>
            <w:tcBorders>
              <w:bottom w:val="single" w:sz="8" w:color="CCEEFF"/>
            </w:tcBorders>
          </w:tcPr>
          <w:p>
            <w:pPr>
              <w:ind w:left="100"/>
              <w:spacing w:after="0"/>
              <w:rPr>
                <w:sz w:val="20"/>
                <w:szCs w:val="20"/>
                <w:color w:val="auto"/>
              </w:rPr>
            </w:pPr>
            <w:r>
              <w:rPr>
                <w:rFonts w:ascii="Arial" w:cs="Arial" w:eastAsia="Arial" w:hAnsi="Arial"/>
                <w:sz w:val="10"/>
                <w:szCs w:val="10"/>
                <w:color w:val="auto"/>
              </w:rPr>
              <w:t>Intersegment expenses, net</w:t>
            </w:r>
          </w:p>
        </w:tc>
        <w:tc>
          <w:tcPr>
            <w:tcW w:w="60" w:type="dxa"/>
            <w:vAlign w:val="bottom"/>
            <w:tcBorders>
              <w:bottom w:val="single" w:sz="8" w:color="auto"/>
            </w:tcBorders>
          </w:tcPr>
          <w:p>
            <w:pPr>
              <w:spacing w:after="0"/>
              <w:rPr>
                <w:sz w:val="12"/>
                <w:szCs w:val="12"/>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13,758</w:t>
            </w:r>
          </w:p>
        </w:tc>
        <w:tc>
          <w:tcPr>
            <w:tcW w:w="80" w:type="dxa"/>
            <w:vAlign w:val="bottom"/>
            <w:tcBorders>
              <w:bottom w:val="single" w:sz="8" w:color="CCEEFF"/>
            </w:tcBorders>
          </w:tcPr>
          <w:p>
            <w:pPr>
              <w:spacing w:after="0"/>
              <w:rPr>
                <w:sz w:val="12"/>
                <w:szCs w:val="12"/>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3,299</w:t>
            </w:r>
          </w:p>
        </w:tc>
        <w:tc>
          <w:tcPr>
            <w:tcW w:w="100" w:type="dxa"/>
            <w:vAlign w:val="bottom"/>
            <w:tcBorders>
              <w:bottom w:val="single" w:sz="8" w:color="CCEEFF"/>
            </w:tcBorders>
          </w:tcPr>
          <w:p>
            <w:pPr>
              <w:spacing w:after="0"/>
              <w:rPr>
                <w:sz w:val="12"/>
                <w:szCs w:val="12"/>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664</w:t>
            </w:r>
          </w:p>
        </w:tc>
        <w:tc>
          <w:tcPr>
            <w:tcW w:w="100" w:type="dxa"/>
            <w:vAlign w:val="bottom"/>
            <w:tcBorders>
              <w:bottom w:val="single" w:sz="8" w:color="CCEEFF"/>
            </w:tcBorders>
          </w:tcPr>
          <w:p>
            <w:pPr>
              <w:spacing w:after="0"/>
              <w:rPr>
                <w:sz w:val="12"/>
                <w:szCs w:val="12"/>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12,287</w:t>
            </w:r>
          </w:p>
        </w:tc>
        <w:tc>
          <w:tcPr>
            <w:tcW w:w="80" w:type="dxa"/>
            <w:vAlign w:val="bottom"/>
            <w:tcBorders>
              <w:bottom w:val="single" w:sz="8" w:color="CCEEFF"/>
            </w:tcBorders>
          </w:tcPr>
          <w:p>
            <w:pPr>
              <w:spacing w:after="0"/>
              <w:rPr>
                <w:sz w:val="12"/>
                <w:szCs w:val="12"/>
                <w:color w:val="auto"/>
              </w:rPr>
            </w:pPr>
          </w:p>
        </w:tc>
        <w:tc>
          <w:tcPr>
            <w:tcW w:w="4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(17,791)</w:t>
            </w:r>
          </w:p>
        </w:tc>
        <w:tc>
          <w:tcPr>
            <w:tcW w:w="100" w:type="dxa"/>
            <w:vAlign w:val="bottom"/>
            <w:tcBorders>
              <w:bottom w:val="single" w:sz="8" w:color="CCEEFF"/>
            </w:tcBorders>
          </w:tcPr>
          <w:p>
            <w:pPr>
              <w:spacing w:after="0"/>
              <w:rPr>
                <w:sz w:val="12"/>
                <w:szCs w:val="1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(12,217)</w:t>
            </w:r>
          </w:p>
        </w:tc>
        <w:tc>
          <w:tcPr>
            <w:tcW w:w="100" w:type="dxa"/>
            <w:vAlign w:val="bottom"/>
            <w:tcBorders>
              <w:bottom w:val="single" w:sz="8" w:color="CCEEFF"/>
            </w:tcBorders>
          </w:tcPr>
          <w:p>
            <w:pPr>
              <w:spacing w:after="0"/>
              <w:rPr>
                <w:sz w:val="12"/>
                <w:szCs w:val="12"/>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w:t>
            </w:r>
          </w:p>
        </w:tc>
      </w:tr>
      <w:tr>
        <w:trPr>
          <w:trHeight w:val="142"/>
        </w:trPr>
        <w:tc>
          <w:tcPr>
            <w:tcW w:w="4080" w:type="dxa"/>
            <w:vAlign w:val="bottom"/>
            <w:shd w:val="clear" w:color="auto" w:fill="CCEEFF"/>
          </w:tcPr>
          <w:p>
            <w:pPr>
              <w:ind w:left="180"/>
              <w:spacing w:after="0"/>
              <w:rPr>
                <w:sz w:val="20"/>
                <w:szCs w:val="20"/>
                <w:color w:val="auto"/>
              </w:rPr>
            </w:pPr>
            <w:r>
              <w:rPr>
                <w:rFonts w:ascii="Arial" w:cs="Arial" w:eastAsia="Arial" w:hAnsi="Arial"/>
                <w:sz w:val="10"/>
                <w:szCs w:val="10"/>
                <w:color w:val="auto"/>
              </w:rPr>
              <w:t>Total operating expenses</w:t>
            </w:r>
          </w:p>
        </w:tc>
        <w:tc>
          <w:tcPr>
            <w:tcW w:w="60" w:type="dxa"/>
            <w:vAlign w:val="bottom"/>
            <w:tcBorders>
              <w:bottom w:val="single" w:sz="8" w:color="auto"/>
            </w:tcBorders>
            <w:shd w:val="clear" w:color="auto" w:fill="CCEEFF"/>
          </w:tcPr>
          <w:p>
            <w:pPr>
              <w:spacing w:after="0"/>
              <w:rPr>
                <w:sz w:val="12"/>
                <w:szCs w:val="12"/>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107,777</w:t>
            </w:r>
          </w:p>
        </w:tc>
        <w:tc>
          <w:tcPr>
            <w:tcW w:w="80" w:type="dxa"/>
            <w:vAlign w:val="bottom"/>
            <w:shd w:val="clear" w:color="auto" w:fill="CCEEFF"/>
          </w:tcPr>
          <w:p>
            <w:pPr>
              <w:spacing w:after="0"/>
              <w:rPr>
                <w:sz w:val="12"/>
                <w:szCs w:val="12"/>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35,128</w:t>
            </w:r>
          </w:p>
        </w:tc>
        <w:tc>
          <w:tcPr>
            <w:tcW w:w="100" w:type="dxa"/>
            <w:vAlign w:val="bottom"/>
            <w:shd w:val="clear" w:color="auto" w:fill="CCEEFF"/>
          </w:tcPr>
          <w:p>
            <w:pPr>
              <w:spacing w:after="0"/>
              <w:rPr>
                <w:sz w:val="12"/>
                <w:szCs w:val="12"/>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16,240</w:t>
            </w:r>
          </w:p>
        </w:tc>
        <w:tc>
          <w:tcPr>
            <w:tcW w:w="100" w:type="dxa"/>
            <w:vAlign w:val="bottom"/>
            <w:shd w:val="clear" w:color="auto" w:fill="CCEEFF"/>
          </w:tcPr>
          <w:p>
            <w:pPr>
              <w:spacing w:after="0"/>
              <w:rPr>
                <w:sz w:val="12"/>
                <w:szCs w:val="12"/>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16,502</w:t>
            </w:r>
          </w:p>
        </w:tc>
        <w:tc>
          <w:tcPr>
            <w:tcW w:w="80" w:type="dxa"/>
            <w:vAlign w:val="bottom"/>
            <w:shd w:val="clear" w:color="auto" w:fill="CCEEFF"/>
          </w:tcPr>
          <w:p>
            <w:pPr>
              <w:spacing w:after="0"/>
              <w:rPr>
                <w:sz w:val="12"/>
                <w:szCs w:val="12"/>
                <w:color w:val="auto"/>
              </w:rPr>
            </w:pPr>
          </w:p>
        </w:tc>
        <w:tc>
          <w:tcPr>
            <w:tcW w:w="40" w:type="dxa"/>
            <w:vAlign w:val="bottom"/>
            <w:tcBorders>
              <w:bottom w:val="single" w:sz="8" w:color="auto"/>
            </w:tcBorders>
            <w:shd w:val="clear" w:color="auto" w:fill="CCEEFF"/>
          </w:tcPr>
          <w:p>
            <w:pPr>
              <w:spacing w:after="0"/>
              <w:rPr>
                <w:sz w:val="12"/>
                <w:szCs w:val="12"/>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15,656</w:t>
            </w:r>
          </w:p>
        </w:tc>
        <w:tc>
          <w:tcPr>
            <w:tcW w:w="100" w:type="dxa"/>
            <w:vAlign w:val="bottom"/>
            <w:shd w:val="clear" w:color="auto" w:fill="CCEEFF"/>
          </w:tcPr>
          <w:p>
            <w:pPr>
              <w:spacing w:after="0"/>
              <w:rPr>
                <w:sz w:val="12"/>
                <w:szCs w:val="12"/>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(12,217)</w:t>
            </w:r>
          </w:p>
        </w:tc>
        <w:tc>
          <w:tcPr>
            <w:tcW w:w="100" w:type="dxa"/>
            <w:vAlign w:val="bottom"/>
            <w:shd w:val="clear" w:color="auto" w:fill="CCEEFF"/>
          </w:tcPr>
          <w:p>
            <w:pPr>
              <w:spacing w:after="0"/>
              <w:rPr>
                <w:sz w:val="12"/>
                <w:szCs w:val="12"/>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179,088</w:t>
            </w:r>
          </w:p>
        </w:tc>
      </w:tr>
      <w:tr>
        <w:trPr>
          <w:trHeight w:val="142"/>
        </w:trPr>
        <w:tc>
          <w:tcPr>
            <w:tcW w:w="4080" w:type="dxa"/>
            <w:vAlign w:val="bottom"/>
          </w:tcPr>
          <w:p>
            <w:pPr>
              <w:ind w:left="180"/>
              <w:spacing w:after="0"/>
              <w:rPr>
                <w:sz w:val="20"/>
                <w:szCs w:val="20"/>
                <w:color w:val="auto"/>
              </w:rPr>
            </w:pPr>
            <w:r>
              <w:rPr>
                <w:rFonts w:ascii="Arial" w:cs="Arial" w:eastAsia="Arial" w:hAnsi="Arial"/>
                <w:sz w:val="10"/>
                <w:szCs w:val="10"/>
                <w:color w:val="auto"/>
              </w:rPr>
              <w:t>Income (loss) before income taxes</w:t>
            </w:r>
          </w:p>
        </w:tc>
        <w:tc>
          <w:tcPr>
            <w:tcW w:w="60" w:type="dxa"/>
            <w:vAlign w:val="bottom"/>
          </w:tcPr>
          <w:p>
            <w:pPr>
              <w:spacing w:after="0"/>
              <w:rPr>
                <w:sz w:val="12"/>
                <w:szCs w:val="12"/>
                <w:color w:val="auto"/>
              </w:rPr>
            </w:pPr>
          </w:p>
        </w:tc>
        <w:tc>
          <w:tcPr>
            <w:tcW w:w="880" w:type="dxa"/>
            <w:vAlign w:val="bottom"/>
          </w:tcPr>
          <w:p>
            <w:pPr>
              <w:jc w:val="right"/>
              <w:spacing w:after="0"/>
              <w:rPr>
                <w:sz w:val="20"/>
                <w:szCs w:val="20"/>
                <w:color w:val="auto"/>
              </w:rPr>
            </w:pPr>
            <w:r>
              <w:rPr>
                <w:rFonts w:ascii="Arial" w:cs="Arial" w:eastAsia="Arial" w:hAnsi="Arial"/>
                <w:sz w:val="10"/>
                <w:szCs w:val="10"/>
                <w:color w:val="auto"/>
              </w:rPr>
              <w:t>21,909</w:t>
            </w:r>
          </w:p>
        </w:tc>
        <w:tc>
          <w:tcPr>
            <w:tcW w:w="80" w:type="dxa"/>
            <w:vAlign w:val="bottom"/>
          </w:tcPr>
          <w:p>
            <w:pPr>
              <w:spacing w:after="0"/>
              <w:rPr>
                <w:sz w:val="12"/>
                <w:szCs w:val="12"/>
                <w:color w:val="auto"/>
              </w:rPr>
            </w:pPr>
          </w:p>
        </w:tc>
        <w:tc>
          <w:tcPr>
            <w:tcW w:w="1000" w:type="dxa"/>
            <w:vAlign w:val="bottom"/>
          </w:tcPr>
          <w:p>
            <w:pPr>
              <w:jc w:val="right"/>
              <w:spacing w:after="0"/>
              <w:rPr>
                <w:sz w:val="20"/>
                <w:szCs w:val="20"/>
                <w:color w:val="auto"/>
              </w:rPr>
            </w:pPr>
            <w:r>
              <w:rPr>
                <w:rFonts w:ascii="Arial" w:cs="Arial" w:eastAsia="Arial" w:hAnsi="Arial"/>
                <w:sz w:val="10"/>
                <w:szCs w:val="10"/>
                <w:color w:val="auto"/>
              </w:rPr>
              <w:t>24,981</w:t>
            </w:r>
          </w:p>
        </w:tc>
        <w:tc>
          <w:tcPr>
            <w:tcW w:w="100" w:type="dxa"/>
            <w:vAlign w:val="bottom"/>
          </w:tcPr>
          <w:p>
            <w:pPr>
              <w:spacing w:after="0"/>
              <w:rPr>
                <w:sz w:val="12"/>
                <w:szCs w:val="12"/>
                <w:color w:val="auto"/>
              </w:rPr>
            </w:pPr>
          </w:p>
        </w:tc>
        <w:tc>
          <w:tcPr>
            <w:tcW w:w="1220" w:type="dxa"/>
            <w:vAlign w:val="bottom"/>
          </w:tcPr>
          <w:p>
            <w:pPr>
              <w:jc w:val="right"/>
              <w:spacing w:after="0"/>
              <w:rPr>
                <w:sz w:val="20"/>
                <w:szCs w:val="20"/>
                <w:color w:val="auto"/>
              </w:rPr>
            </w:pPr>
            <w:r>
              <w:rPr>
                <w:rFonts w:ascii="Arial" w:cs="Arial" w:eastAsia="Arial" w:hAnsi="Arial"/>
                <w:sz w:val="10"/>
                <w:szCs w:val="10"/>
                <w:color w:val="auto"/>
              </w:rPr>
              <w:t>(6,329)</w:t>
            </w:r>
          </w:p>
        </w:tc>
        <w:tc>
          <w:tcPr>
            <w:tcW w:w="100" w:type="dxa"/>
            <w:vAlign w:val="bottom"/>
          </w:tcPr>
          <w:p>
            <w:pPr>
              <w:spacing w:after="0"/>
              <w:rPr>
                <w:sz w:val="12"/>
                <w:szCs w:val="12"/>
                <w:color w:val="auto"/>
              </w:rPr>
            </w:pPr>
          </w:p>
        </w:tc>
        <w:tc>
          <w:tcPr>
            <w:tcW w:w="960" w:type="dxa"/>
            <w:vAlign w:val="bottom"/>
          </w:tcPr>
          <w:p>
            <w:pPr>
              <w:jc w:val="right"/>
              <w:spacing w:after="0"/>
              <w:rPr>
                <w:sz w:val="20"/>
                <w:szCs w:val="20"/>
                <w:color w:val="auto"/>
              </w:rPr>
            </w:pPr>
            <w:r>
              <w:rPr>
                <w:rFonts w:ascii="Arial" w:cs="Arial" w:eastAsia="Arial" w:hAnsi="Arial"/>
                <w:sz w:val="10"/>
                <w:szCs w:val="10"/>
                <w:color w:val="auto"/>
              </w:rPr>
              <w:t>26,552</w:t>
            </w: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60" w:type="dxa"/>
            <w:vAlign w:val="bottom"/>
          </w:tcPr>
          <w:p>
            <w:pPr>
              <w:jc w:val="right"/>
              <w:spacing w:after="0"/>
              <w:rPr>
                <w:sz w:val="20"/>
                <w:szCs w:val="20"/>
                <w:color w:val="auto"/>
              </w:rPr>
            </w:pPr>
            <w:r>
              <w:rPr>
                <w:rFonts w:ascii="Arial" w:cs="Arial" w:eastAsia="Arial" w:hAnsi="Arial"/>
                <w:sz w:val="10"/>
                <w:szCs w:val="10"/>
                <w:color w:val="auto"/>
              </w:rPr>
              <w:t>(14,073)</w:t>
            </w:r>
          </w:p>
        </w:tc>
        <w:tc>
          <w:tcPr>
            <w:tcW w:w="100" w:type="dxa"/>
            <w:vAlign w:val="bottom"/>
          </w:tcPr>
          <w:p>
            <w:pPr>
              <w:spacing w:after="0"/>
              <w:rPr>
                <w:sz w:val="12"/>
                <w:szCs w:val="12"/>
                <w:color w:val="auto"/>
              </w:rPr>
            </w:pPr>
          </w:p>
        </w:tc>
        <w:tc>
          <w:tcPr>
            <w:tcW w:w="1040" w:type="dxa"/>
            <w:vAlign w:val="bottom"/>
            <w:gridSpan w:val="2"/>
          </w:tcPr>
          <w:p>
            <w:pPr>
              <w:ind w:left="800"/>
              <w:spacing w:after="0"/>
              <w:rPr>
                <w:sz w:val="20"/>
                <w:szCs w:val="20"/>
                <w:color w:val="auto"/>
              </w:rPr>
            </w:pPr>
            <w:r>
              <w:rPr>
                <w:rFonts w:ascii="Arial" w:cs="Arial" w:eastAsia="Arial" w:hAnsi="Arial"/>
                <w:sz w:val="10"/>
                <w:szCs w:val="10"/>
                <w:color w:val="auto"/>
              </w:rPr>
              <w:t>—</w:t>
            </w:r>
          </w:p>
        </w:tc>
        <w:tc>
          <w:tcPr>
            <w:tcW w:w="840" w:type="dxa"/>
            <w:vAlign w:val="bottom"/>
          </w:tcPr>
          <w:p>
            <w:pPr>
              <w:jc w:val="right"/>
              <w:spacing w:after="0"/>
              <w:rPr>
                <w:sz w:val="20"/>
                <w:szCs w:val="20"/>
                <w:color w:val="auto"/>
              </w:rPr>
            </w:pPr>
            <w:r>
              <w:rPr>
                <w:rFonts w:ascii="Arial" w:cs="Arial" w:eastAsia="Arial" w:hAnsi="Arial"/>
                <w:sz w:val="10"/>
                <w:szCs w:val="10"/>
                <w:color w:val="auto"/>
              </w:rPr>
              <w:t>53,038</w:t>
            </w:r>
          </w:p>
        </w:tc>
      </w:tr>
      <w:tr>
        <w:trPr>
          <w:trHeight w:val="151"/>
        </w:trPr>
        <w:tc>
          <w:tcPr>
            <w:tcW w:w="4080" w:type="dxa"/>
            <w:vAlign w:val="bottom"/>
            <w:shd w:val="clear" w:color="auto" w:fill="CCEEFF"/>
          </w:tcPr>
          <w:p>
            <w:pPr>
              <w:ind w:left="20"/>
              <w:spacing w:after="0"/>
              <w:rPr>
                <w:sz w:val="20"/>
                <w:szCs w:val="20"/>
                <w:color w:val="auto"/>
              </w:rPr>
            </w:pPr>
            <w:r>
              <w:rPr>
                <w:rFonts w:ascii="Arial" w:cs="Arial" w:eastAsia="Arial" w:hAnsi="Arial"/>
                <w:sz w:val="10"/>
                <w:szCs w:val="10"/>
                <w:color w:val="auto"/>
              </w:rPr>
              <w:t>Income tax (expense) benefit</w:t>
            </w:r>
          </w:p>
        </w:tc>
        <w:tc>
          <w:tcPr>
            <w:tcW w:w="60" w:type="dxa"/>
            <w:vAlign w:val="bottom"/>
            <w:tcBorders>
              <w:bottom w:val="single" w:sz="8" w:color="auto"/>
            </w:tcBorders>
            <w:shd w:val="clear" w:color="auto" w:fill="CCEEFF"/>
          </w:tcPr>
          <w:p>
            <w:pPr>
              <w:spacing w:after="0"/>
              <w:rPr>
                <w:sz w:val="13"/>
                <w:szCs w:val="13"/>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(5,258)</w:t>
            </w:r>
          </w:p>
        </w:tc>
        <w:tc>
          <w:tcPr>
            <w:tcW w:w="80" w:type="dxa"/>
            <w:vAlign w:val="bottom"/>
            <w:shd w:val="clear" w:color="auto" w:fill="CCEEFF"/>
          </w:tcPr>
          <w:p>
            <w:pPr>
              <w:spacing w:after="0"/>
              <w:rPr>
                <w:sz w:val="13"/>
                <w:szCs w:val="13"/>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(5,995)</w:t>
            </w:r>
          </w:p>
        </w:tc>
        <w:tc>
          <w:tcPr>
            <w:tcW w:w="100" w:type="dxa"/>
            <w:vAlign w:val="bottom"/>
            <w:shd w:val="clear" w:color="auto" w:fill="CCEEFF"/>
          </w:tcPr>
          <w:p>
            <w:pPr>
              <w:spacing w:after="0"/>
              <w:rPr>
                <w:sz w:val="13"/>
                <w:szCs w:val="13"/>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1,519</w:t>
            </w:r>
          </w:p>
        </w:tc>
        <w:tc>
          <w:tcPr>
            <w:tcW w:w="100" w:type="dxa"/>
            <w:vAlign w:val="bottom"/>
            <w:shd w:val="clear" w:color="auto" w:fill="CCEEFF"/>
          </w:tcPr>
          <w:p>
            <w:pPr>
              <w:spacing w:after="0"/>
              <w:rPr>
                <w:sz w:val="13"/>
                <w:szCs w:val="13"/>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(6,372)</w:t>
            </w:r>
          </w:p>
        </w:tc>
        <w:tc>
          <w:tcPr>
            <w:tcW w:w="80" w:type="dxa"/>
            <w:vAlign w:val="bottom"/>
            <w:shd w:val="clear" w:color="auto" w:fill="CCEEFF"/>
          </w:tcPr>
          <w:p>
            <w:pPr>
              <w:spacing w:after="0"/>
              <w:rPr>
                <w:sz w:val="13"/>
                <w:szCs w:val="13"/>
                <w:color w:val="auto"/>
              </w:rPr>
            </w:pPr>
          </w:p>
        </w:tc>
        <w:tc>
          <w:tcPr>
            <w:tcW w:w="40" w:type="dxa"/>
            <w:vAlign w:val="bottom"/>
            <w:tcBorders>
              <w:bottom w:val="single" w:sz="8" w:color="auto"/>
            </w:tcBorders>
            <w:shd w:val="clear" w:color="auto" w:fill="CCEEFF"/>
          </w:tcPr>
          <w:p>
            <w:pPr>
              <w:spacing w:after="0"/>
              <w:rPr>
                <w:sz w:val="13"/>
                <w:szCs w:val="13"/>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4,716</w:t>
            </w:r>
          </w:p>
        </w:tc>
        <w:tc>
          <w:tcPr>
            <w:tcW w:w="100" w:type="dxa"/>
            <w:vAlign w:val="bottom"/>
            <w:shd w:val="clear" w:color="auto" w:fill="CCEEFF"/>
          </w:tcPr>
          <w:p>
            <w:pPr>
              <w:spacing w:after="0"/>
              <w:rPr>
                <w:sz w:val="13"/>
                <w:szCs w:val="13"/>
                <w:color w:val="auto"/>
              </w:rPr>
            </w:pPr>
          </w:p>
        </w:tc>
        <w:tc>
          <w:tcPr>
            <w:tcW w:w="940" w:type="dxa"/>
            <w:vAlign w:val="bottom"/>
            <w:tcBorders>
              <w:bottom w:val="single" w:sz="8" w:color="auto"/>
            </w:tcBorders>
            <w:shd w:val="clear" w:color="auto" w:fill="CCEEFF"/>
          </w:tcPr>
          <w:p>
            <w:pPr>
              <w:ind w:left="800"/>
              <w:spacing w:after="0"/>
              <w:rPr>
                <w:sz w:val="20"/>
                <w:szCs w:val="20"/>
                <w:color w:val="auto"/>
              </w:rPr>
            </w:pPr>
            <w:r>
              <w:rPr>
                <w:rFonts w:ascii="Arial" w:cs="Arial" w:eastAsia="Arial" w:hAnsi="Arial"/>
                <w:sz w:val="10"/>
                <w:szCs w:val="10"/>
                <w:color w:val="auto"/>
              </w:rPr>
              <w:t>—</w:t>
            </w:r>
          </w:p>
        </w:tc>
        <w:tc>
          <w:tcPr>
            <w:tcW w:w="100" w:type="dxa"/>
            <w:vAlign w:val="bottom"/>
            <w:shd w:val="clear" w:color="auto" w:fill="CCEEFF"/>
          </w:tcPr>
          <w:p>
            <w:pPr>
              <w:spacing w:after="0"/>
              <w:rPr>
                <w:sz w:val="13"/>
                <w:szCs w:val="13"/>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(11,391)</w:t>
            </w:r>
          </w:p>
        </w:tc>
      </w:tr>
      <w:tr>
        <w:trPr>
          <w:trHeight w:val="142"/>
        </w:trPr>
        <w:tc>
          <w:tcPr>
            <w:tcW w:w="4080" w:type="dxa"/>
            <w:vAlign w:val="bottom"/>
          </w:tcPr>
          <w:p>
            <w:pPr>
              <w:ind w:left="180"/>
              <w:spacing w:after="0"/>
              <w:rPr>
                <w:sz w:val="20"/>
                <w:szCs w:val="20"/>
                <w:color w:val="auto"/>
              </w:rPr>
            </w:pPr>
            <w:r>
              <w:rPr>
                <w:rFonts w:ascii="Arial" w:cs="Arial" w:eastAsia="Arial" w:hAnsi="Arial"/>
                <w:sz w:val="10"/>
                <w:szCs w:val="10"/>
                <w:color w:val="auto"/>
              </w:rPr>
              <w:t>Net income (loss)</w:t>
            </w:r>
          </w:p>
        </w:tc>
        <w:tc>
          <w:tcPr>
            <w:tcW w:w="60" w:type="dxa"/>
            <w:vAlign w:val="bottom"/>
          </w:tcPr>
          <w:p>
            <w:pPr>
              <w:spacing w:after="0"/>
              <w:rPr>
                <w:sz w:val="12"/>
                <w:szCs w:val="12"/>
                <w:color w:val="auto"/>
              </w:rPr>
            </w:pPr>
          </w:p>
        </w:tc>
        <w:tc>
          <w:tcPr>
            <w:tcW w:w="880" w:type="dxa"/>
            <w:vAlign w:val="bottom"/>
          </w:tcPr>
          <w:p>
            <w:pPr>
              <w:jc w:val="right"/>
              <w:spacing w:after="0"/>
              <w:rPr>
                <w:sz w:val="20"/>
                <w:szCs w:val="20"/>
                <w:color w:val="auto"/>
              </w:rPr>
            </w:pPr>
            <w:r>
              <w:rPr>
                <w:rFonts w:ascii="Arial" w:cs="Arial" w:eastAsia="Arial" w:hAnsi="Arial"/>
                <w:sz w:val="10"/>
                <w:szCs w:val="10"/>
                <w:color w:val="auto"/>
              </w:rPr>
              <w:t>16,651</w:t>
            </w:r>
          </w:p>
        </w:tc>
        <w:tc>
          <w:tcPr>
            <w:tcW w:w="80" w:type="dxa"/>
            <w:vAlign w:val="bottom"/>
          </w:tcPr>
          <w:p>
            <w:pPr>
              <w:spacing w:after="0"/>
              <w:rPr>
                <w:sz w:val="12"/>
                <w:szCs w:val="12"/>
                <w:color w:val="auto"/>
              </w:rPr>
            </w:pPr>
          </w:p>
        </w:tc>
        <w:tc>
          <w:tcPr>
            <w:tcW w:w="1000" w:type="dxa"/>
            <w:vAlign w:val="bottom"/>
          </w:tcPr>
          <w:p>
            <w:pPr>
              <w:jc w:val="right"/>
              <w:spacing w:after="0"/>
              <w:rPr>
                <w:sz w:val="20"/>
                <w:szCs w:val="20"/>
                <w:color w:val="auto"/>
              </w:rPr>
            </w:pPr>
            <w:r>
              <w:rPr>
                <w:rFonts w:ascii="Arial" w:cs="Arial" w:eastAsia="Arial" w:hAnsi="Arial"/>
                <w:sz w:val="10"/>
                <w:szCs w:val="10"/>
                <w:color w:val="auto"/>
              </w:rPr>
              <w:t>18,986</w:t>
            </w:r>
          </w:p>
        </w:tc>
        <w:tc>
          <w:tcPr>
            <w:tcW w:w="100" w:type="dxa"/>
            <w:vAlign w:val="bottom"/>
          </w:tcPr>
          <w:p>
            <w:pPr>
              <w:spacing w:after="0"/>
              <w:rPr>
                <w:sz w:val="12"/>
                <w:szCs w:val="12"/>
                <w:color w:val="auto"/>
              </w:rPr>
            </w:pPr>
          </w:p>
        </w:tc>
        <w:tc>
          <w:tcPr>
            <w:tcW w:w="1220" w:type="dxa"/>
            <w:vAlign w:val="bottom"/>
          </w:tcPr>
          <w:p>
            <w:pPr>
              <w:jc w:val="right"/>
              <w:spacing w:after="0"/>
              <w:rPr>
                <w:sz w:val="20"/>
                <w:szCs w:val="20"/>
                <w:color w:val="auto"/>
              </w:rPr>
            </w:pPr>
            <w:r>
              <w:rPr>
                <w:rFonts w:ascii="Arial" w:cs="Arial" w:eastAsia="Arial" w:hAnsi="Arial"/>
                <w:sz w:val="10"/>
                <w:szCs w:val="10"/>
                <w:color w:val="auto"/>
              </w:rPr>
              <w:t>(4,810)</w:t>
            </w:r>
          </w:p>
        </w:tc>
        <w:tc>
          <w:tcPr>
            <w:tcW w:w="100" w:type="dxa"/>
            <w:vAlign w:val="bottom"/>
          </w:tcPr>
          <w:p>
            <w:pPr>
              <w:spacing w:after="0"/>
              <w:rPr>
                <w:sz w:val="12"/>
                <w:szCs w:val="12"/>
                <w:color w:val="auto"/>
              </w:rPr>
            </w:pPr>
          </w:p>
        </w:tc>
        <w:tc>
          <w:tcPr>
            <w:tcW w:w="960" w:type="dxa"/>
            <w:vAlign w:val="bottom"/>
          </w:tcPr>
          <w:p>
            <w:pPr>
              <w:jc w:val="right"/>
              <w:spacing w:after="0"/>
              <w:rPr>
                <w:sz w:val="20"/>
                <w:szCs w:val="20"/>
                <w:color w:val="auto"/>
              </w:rPr>
            </w:pPr>
            <w:r>
              <w:rPr>
                <w:rFonts w:ascii="Arial" w:cs="Arial" w:eastAsia="Arial" w:hAnsi="Arial"/>
                <w:sz w:val="10"/>
                <w:szCs w:val="10"/>
                <w:color w:val="auto"/>
              </w:rPr>
              <w:t>20,180</w:t>
            </w: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60" w:type="dxa"/>
            <w:vAlign w:val="bottom"/>
          </w:tcPr>
          <w:p>
            <w:pPr>
              <w:jc w:val="right"/>
              <w:spacing w:after="0"/>
              <w:rPr>
                <w:sz w:val="20"/>
                <w:szCs w:val="20"/>
                <w:color w:val="auto"/>
              </w:rPr>
            </w:pPr>
            <w:r>
              <w:rPr>
                <w:rFonts w:ascii="Arial" w:cs="Arial" w:eastAsia="Arial" w:hAnsi="Arial"/>
                <w:sz w:val="10"/>
                <w:szCs w:val="10"/>
                <w:color w:val="auto"/>
              </w:rPr>
              <w:t>(9,357)</w:t>
            </w:r>
          </w:p>
        </w:tc>
        <w:tc>
          <w:tcPr>
            <w:tcW w:w="100" w:type="dxa"/>
            <w:vAlign w:val="bottom"/>
          </w:tcPr>
          <w:p>
            <w:pPr>
              <w:spacing w:after="0"/>
              <w:rPr>
                <w:sz w:val="12"/>
                <w:szCs w:val="12"/>
                <w:color w:val="auto"/>
              </w:rPr>
            </w:pPr>
          </w:p>
        </w:tc>
        <w:tc>
          <w:tcPr>
            <w:tcW w:w="1040" w:type="dxa"/>
            <w:vAlign w:val="bottom"/>
            <w:gridSpan w:val="2"/>
          </w:tcPr>
          <w:p>
            <w:pPr>
              <w:ind w:left="800"/>
              <w:spacing w:after="0"/>
              <w:rPr>
                <w:sz w:val="20"/>
                <w:szCs w:val="20"/>
                <w:color w:val="auto"/>
              </w:rPr>
            </w:pPr>
            <w:r>
              <w:rPr>
                <w:rFonts w:ascii="Arial" w:cs="Arial" w:eastAsia="Arial" w:hAnsi="Arial"/>
                <w:sz w:val="10"/>
                <w:szCs w:val="10"/>
                <w:color w:val="auto"/>
              </w:rPr>
              <w:t>—</w:t>
            </w:r>
          </w:p>
        </w:tc>
        <w:tc>
          <w:tcPr>
            <w:tcW w:w="840" w:type="dxa"/>
            <w:vAlign w:val="bottom"/>
          </w:tcPr>
          <w:p>
            <w:pPr>
              <w:jc w:val="right"/>
              <w:spacing w:after="0"/>
              <w:rPr>
                <w:sz w:val="20"/>
                <w:szCs w:val="20"/>
                <w:color w:val="auto"/>
              </w:rPr>
            </w:pPr>
            <w:r>
              <w:rPr>
                <w:rFonts w:ascii="Arial" w:cs="Arial" w:eastAsia="Arial" w:hAnsi="Arial"/>
                <w:sz w:val="10"/>
                <w:szCs w:val="10"/>
                <w:color w:val="auto"/>
              </w:rPr>
              <w:t>41,647</w:t>
            </w:r>
          </w:p>
        </w:tc>
      </w:tr>
      <w:tr>
        <w:trPr>
          <w:trHeight w:val="151"/>
        </w:trPr>
        <w:tc>
          <w:tcPr>
            <w:tcW w:w="4080" w:type="dxa"/>
            <w:vAlign w:val="bottom"/>
            <w:shd w:val="clear" w:color="auto" w:fill="CCEEFF"/>
          </w:tcPr>
          <w:p>
            <w:pPr>
              <w:ind w:left="140"/>
              <w:spacing w:after="0"/>
              <w:rPr>
                <w:sz w:val="20"/>
                <w:szCs w:val="20"/>
                <w:color w:val="auto"/>
              </w:rPr>
            </w:pPr>
            <w:r>
              <w:rPr>
                <w:rFonts w:ascii="Arial" w:cs="Arial" w:eastAsia="Arial" w:hAnsi="Arial"/>
                <w:sz w:val="10"/>
                <w:szCs w:val="10"/>
                <w:color w:val="auto"/>
              </w:rPr>
              <w:t>Net income attributable to noncontrolling interests</w:t>
            </w:r>
          </w:p>
        </w:tc>
        <w:tc>
          <w:tcPr>
            <w:tcW w:w="60" w:type="dxa"/>
            <w:vAlign w:val="bottom"/>
            <w:tcBorders>
              <w:bottom w:val="single" w:sz="8" w:color="auto"/>
            </w:tcBorders>
            <w:shd w:val="clear" w:color="auto" w:fill="CCEEFF"/>
          </w:tcPr>
          <w:p>
            <w:pPr>
              <w:spacing w:after="0"/>
              <w:rPr>
                <w:sz w:val="13"/>
                <w:szCs w:val="13"/>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w:t>
            </w:r>
          </w:p>
        </w:tc>
        <w:tc>
          <w:tcPr>
            <w:tcW w:w="80" w:type="dxa"/>
            <w:vAlign w:val="bottom"/>
            <w:shd w:val="clear" w:color="auto" w:fill="CCEEFF"/>
          </w:tcPr>
          <w:p>
            <w:pPr>
              <w:spacing w:after="0"/>
              <w:rPr>
                <w:sz w:val="13"/>
                <w:szCs w:val="13"/>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w:t>
            </w:r>
          </w:p>
        </w:tc>
        <w:tc>
          <w:tcPr>
            <w:tcW w:w="100" w:type="dxa"/>
            <w:vAlign w:val="bottom"/>
            <w:shd w:val="clear" w:color="auto" w:fill="CCEEFF"/>
          </w:tcPr>
          <w:p>
            <w:pPr>
              <w:spacing w:after="0"/>
              <w:rPr>
                <w:sz w:val="13"/>
                <w:szCs w:val="13"/>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w:t>
            </w:r>
          </w:p>
        </w:tc>
        <w:tc>
          <w:tcPr>
            <w:tcW w:w="100" w:type="dxa"/>
            <w:vAlign w:val="bottom"/>
            <w:shd w:val="clear" w:color="auto" w:fill="CCEEFF"/>
          </w:tcPr>
          <w:p>
            <w:pPr>
              <w:spacing w:after="0"/>
              <w:rPr>
                <w:sz w:val="13"/>
                <w:szCs w:val="13"/>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w:t>
            </w:r>
          </w:p>
        </w:tc>
        <w:tc>
          <w:tcPr>
            <w:tcW w:w="80" w:type="dxa"/>
            <w:vAlign w:val="bottom"/>
            <w:shd w:val="clear" w:color="auto" w:fill="CCEEFF"/>
          </w:tcPr>
          <w:p>
            <w:pPr>
              <w:spacing w:after="0"/>
              <w:rPr>
                <w:sz w:val="13"/>
                <w:szCs w:val="13"/>
                <w:color w:val="auto"/>
              </w:rPr>
            </w:pPr>
          </w:p>
        </w:tc>
        <w:tc>
          <w:tcPr>
            <w:tcW w:w="40" w:type="dxa"/>
            <w:vAlign w:val="bottom"/>
            <w:tcBorders>
              <w:bottom w:val="single" w:sz="8" w:color="auto"/>
            </w:tcBorders>
            <w:shd w:val="clear" w:color="auto" w:fill="CCEEFF"/>
          </w:tcPr>
          <w:p>
            <w:pPr>
              <w:spacing w:after="0"/>
              <w:rPr>
                <w:sz w:val="13"/>
                <w:szCs w:val="13"/>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(56)</w:t>
            </w:r>
          </w:p>
        </w:tc>
        <w:tc>
          <w:tcPr>
            <w:tcW w:w="100" w:type="dxa"/>
            <w:vAlign w:val="bottom"/>
            <w:shd w:val="clear" w:color="auto" w:fill="CCEEFF"/>
          </w:tcPr>
          <w:p>
            <w:pPr>
              <w:spacing w:after="0"/>
              <w:rPr>
                <w:sz w:val="13"/>
                <w:szCs w:val="13"/>
                <w:color w:val="auto"/>
              </w:rPr>
            </w:pPr>
          </w:p>
        </w:tc>
        <w:tc>
          <w:tcPr>
            <w:tcW w:w="940" w:type="dxa"/>
            <w:vAlign w:val="bottom"/>
            <w:tcBorders>
              <w:bottom w:val="single" w:sz="8" w:color="auto"/>
            </w:tcBorders>
            <w:shd w:val="clear" w:color="auto" w:fill="CCEEFF"/>
          </w:tcPr>
          <w:p>
            <w:pPr>
              <w:ind w:left="800"/>
              <w:spacing w:after="0"/>
              <w:rPr>
                <w:sz w:val="20"/>
                <w:szCs w:val="20"/>
                <w:color w:val="auto"/>
              </w:rPr>
            </w:pPr>
            <w:r>
              <w:rPr>
                <w:rFonts w:ascii="Arial" w:cs="Arial" w:eastAsia="Arial" w:hAnsi="Arial"/>
                <w:sz w:val="10"/>
                <w:szCs w:val="10"/>
                <w:color w:val="auto"/>
              </w:rPr>
              <w:t>—</w:t>
            </w:r>
          </w:p>
        </w:tc>
        <w:tc>
          <w:tcPr>
            <w:tcW w:w="100" w:type="dxa"/>
            <w:vAlign w:val="bottom"/>
            <w:shd w:val="clear" w:color="auto" w:fill="CCEEFF"/>
          </w:tcPr>
          <w:p>
            <w:pPr>
              <w:spacing w:after="0"/>
              <w:rPr>
                <w:sz w:val="13"/>
                <w:szCs w:val="13"/>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(56)</w:t>
            </w:r>
          </w:p>
        </w:tc>
      </w:tr>
      <w:tr>
        <w:trPr>
          <w:trHeight w:val="148"/>
        </w:trPr>
        <w:tc>
          <w:tcPr>
            <w:tcW w:w="4080" w:type="dxa"/>
            <w:vAlign w:val="bottom"/>
          </w:tcPr>
          <w:p>
            <w:pPr>
              <w:ind w:left="280"/>
              <w:spacing w:after="0"/>
              <w:rPr>
                <w:sz w:val="20"/>
                <w:szCs w:val="20"/>
                <w:color w:val="auto"/>
              </w:rPr>
            </w:pPr>
            <w:r>
              <w:rPr>
                <w:rFonts w:ascii="Arial" w:cs="Arial" w:eastAsia="Arial" w:hAnsi="Arial"/>
                <w:sz w:val="10"/>
                <w:szCs w:val="10"/>
                <w:color w:val="auto"/>
              </w:rPr>
              <w:t>Net income (loss) attributable to Nelnet, Inc.</w:t>
            </w: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880" w:type="dxa"/>
            <w:vAlign w:val="bottom"/>
          </w:tcPr>
          <w:p>
            <w:pPr>
              <w:jc w:val="right"/>
              <w:spacing w:after="0"/>
              <w:rPr>
                <w:sz w:val="20"/>
                <w:szCs w:val="20"/>
                <w:color w:val="auto"/>
              </w:rPr>
            </w:pPr>
            <w:r>
              <w:rPr>
                <w:rFonts w:ascii="Arial" w:cs="Arial" w:eastAsia="Arial" w:hAnsi="Arial"/>
                <w:sz w:val="10"/>
                <w:szCs w:val="10"/>
                <w:color w:val="auto"/>
              </w:rPr>
              <w:t>16,651</w:t>
            </w:r>
          </w:p>
        </w:tc>
        <w:tc>
          <w:tcPr>
            <w:tcW w:w="80" w:type="dxa"/>
            <w:vAlign w:val="bottom"/>
          </w:tcPr>
          <w:p>
            <w:pPr>
              <w:spacing w:after="0"/>
              <w:rPr>
                <w:sz w:val="12"/>
                <w:szCs w:val="12"/>
                <w:color w:val="auto"/>
              </w:rPr>
            </w:pPr>
          </w:p>
        </w:tc>
        <w:tc>
          <w:tcPr>
            <w:tcW w:w="1000" w:type="dxa"/>
            <w:vAlign w:val="bottom"/>
          </w:tcPr>
          <w:p>
            <w:pPr>
              <w:jc w:val="right"/>
              <w:spacing w:after="0"/>
              <w:rPr>
                <w:sz w:val="20"/>
                <w:szCs w:val="20"/>
                <w:color w:val="auto"/>
              </w:rPr>
            </w:pPr>
            <w:r>
              <w:rPr>
                <w:rFonts w:ascii="Arial" w:cs="Arial" w:eastAsia="Arial" w:hAnsi="Arial"/>
                <w:sz w:val="10"/>
                <w:szCs w:val="10"/>
                <w:color w:val="auto"/>
              </w:rPr>
              <w:t>18,986</w:t>
            </w:r>
          </w:p>
        </w:tc>
        <w:tc>
          <w:tcPr>
            <w:tcW w:w="100" w:type="dxa"/>
            <w:vAlign w:val="bottom"/>
          </w:tcPr>
          <w:p>
            <w:pPr>
              <w:spacing w:after="0"/>
              <w:rPr>
                <w:sz w:val="12"/>
                <w:szCs w:val="12"/>
                <w:color w:val="auto"/>
              </w:rPr>
            </w:pPr>
          </w:p>
        </w:tc>
        <w:tc>
          <w:tcPr>
            <w:tcW w:w="1220" w:type="dxa"/>
            <w:vAlign w:val="bottom"/>
          </w:tcPr>
          <w:p>
            <w:pPr>
              <w:jc w:val="right"/>
              <w:spacing w:after="0"/>
              <w:rPr>
                <w:sz w:val="20"/>
                <w:szCs w:val="20"/>
                <w:color w:val="auto"/>
              </w:rPr>
            </w:pPr>
            <w:r>
              <w:rPr>
                <w:rFonts w:ascii="Arial" w:cs="Arial" w:eastAsia="Arial" w:hAnsi="Arial"/>
                <w:sz w:val="10"/>
                <w:szCs w:val="10"/>
                <w:color w:val="auto"/>
              </w:rPr>
              <w:t>(4,810)</w:t>
            </w:r>
          </w:p>
        </w:tc>
        <w:tc>
          <w:tcPr>
            <w:tcW w:w="100" w:type="dxa"/>
            <w:vAlign w:val="bottom"/>
          </w:tcPr>
          <w:p>
            <w:pPr>
              <w:spacing w:after="0"/>
              <w:rPr>
                <w:sz w:val="12"/>
                <w:szCs w:val="12"/>
                <w:color w:val="auto"/>
              </w:rPr>
            </w:pPr>
          </w:p>
        </w:tc>
        <w:tc>
          <w:tcPr>
            <w:tcW w:w="960" w:type="dxa"/>
            <w:vAlign w:val="bottom"/>
          </w:tcPr>
          <w:p>
            <w:pPr>
              <w:jc w:val="right"/>
              <w:spacing w:after="0"/>
              <w:rPr>
                <w:sz w:val="20"/>
                <w:szCs w:val="20"/>
                <w:color w:val="auto"/>
              </w:rPr>
            </w:pPr>
            <w:r>
              <w:rPr>
                <w:rFonts w:ascii="Arial" w:cs="Arial" w:eastAsia="Arial" w:hAnsi="Arial"/>
                <w:sz w:val="10"/>
                <w:szCs w:val="10"/>
                <w:color w:val="auto"/>
              </w:rPr>
              <w:t>20,180</w:t>
            </w: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60" w:type="dxa"/>
            <w:vAlign w:val="bottom"/>
          </w:tcPr>
          <w:p>
            <w:pPr>
              <w:jc w:val="right"/>
              <w:spacing w:after="0"/>
              <w:rPr>
                <w:sz w:val="20"/>
                <w:szCs w:val="20"/>
                <w:color w:val="auto"/>
              </w:rPr>
            </w:pPr>
            <w:r>
              <w:rPr>
                <w:rFonts w:ascii="Arial" w:cs="Arial" w:eastAsia="Arial" w:hAnsi="Arial"/>
                <w:sz w:val="10"/>
                <w:szCs w:val="10"/>
                <w:color w:val="auto"/>
              </w:rPr>
              <w:t>(9,413)</w:t>
            </w:r>
          </w:p>
        </w:tc>
        <w:tc>
          <w:tcPr>
            <w:tcW w:w="100" w:type="dxa"/>
            <w:vAlign w:val="bottom"/>
          </w:tcPr>
          <w:p>
            <w:pPr>
              <w:spacing w:after="0"/>
              <w:rPr>
                <w:sz w:val="12"/>
                <w:szCs w:val="12"/>
                <w:color w:val="auto"/>
              </w:rPr>
            </w:pPr>
          </w:p>
        </w:tc>
        <w:tc>
          <w:tcPr>
            <w:tcW w:w="1040" w:type="dxa"/>
            <w:vAlign w:val="bottom"/>
            <w:gridSpan w:val="2"/>
          </w:tcPr>
          <w:p>
            <w:pPr>
              <w:ind w:left="800"/>
              <w:spacing w:after="0"/>
              <w:rPr>
                <w:sz w:val="20"/>
                <w:szCs w:val="20"/>
                <w:color w:val="auto"/>
              </w:rPr>
            </w:pPr>
            <w:r>
              <w:rPr>
                <w:rFonts w:ascii="Arial" w:cs="Arial" w:eastAsia="Arial" w:hAnsi="Arial"/>
                <w:sz w:val="10"/>
                <w:szCs w:val="10"/>
                <w:color w:val="auto"/>
              </w:rPr>
              <w:t>—</w:t>
            </w:r>
          </w:p>
        </w:tc>
        <w:tc>
          <w:tcPr>
            <w:tcW w:w="840" w:type="dxa"/>
            <w:vAlign w:val="bottom"/>
          </w:tcPr>
          <w:p>
            <w:pPr>
              <w:jc w:val="right"/>
              <w:spacing w:after="0"/>
              <w:rPr>
                <w:sz w:val="20"/>
                <w:szCs w:val="20"/>
                <w:color w:val="auto"/>
              </w:rPr>
            </w:pPr>
            <w:r>
              <w:rPr>
                <w:rFonts w:ascii="Arial" w:cs="Arial" w:eastAsia="Arial" w:hAnsi="Arial"/>
                <w:sz w:val="10"/>
                <w:szCs w:val="10"/>
                <w:color w:val="auto"/>
              </w:rPr>
              <w:t>41,591</w:t>
            </w:r>
          </w:p>
        </w:tc>
      </w:tr>
      <w:tr>
        <w:trPr>
          <w:trHeight w:val="20"/>
        </w:trPr>
        <w:tc>
          <w:tcPr>
            <w:tcW w:w="4080" w:type="dxa"/>
            <w:vAlign w:val="bottom"/>
            <w:tcBorders>
              <w:bottom w:val="single" w:sz="8" w:color="CCEEFF"/>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r>
      <w:tr>
        <w:trPr>
          <w:trHeight w:val="134"/>
        </w:trPr>
        <w:tc>
          <w:tcPr>
            <w:tcW w:w="40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r>
      <w:tr>
        <w:trPr>
          <w:trHeight w:val="151"/>
        </w:trPr>
        <w:tc>
          <w:tcPr>
            <w:tcW w:w="4080" w:type="dxa"/>
            <w:vAlign w:val="bottom"/>
          </w:tcPr>
          <w:p>
            <w:pPr>
              <w:ind w:left="20"/>
              <w:spacing w:after="0"/>
              <w:rPr>
                <w:sz w:val="20"/>
                <w:szCs w:val="20"/>
                <w:color w:val="auto"/>
              </w:rPr>
            </w:pPr>
            <w:r>
              <w:rPr>
                <w:rFonts w:ascii="Arial" w:cs="Arial" w:eastAsia="Arial" w:hAnsi="Arial"/>
                <w:sz w:val="10"/>
                <w:szCs w:val="10"/>
                <w:color w:val="auto"/>
              </w:rPr>
              <w:t>Total assets as of March 31, 2019</w:t>
            </w: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273,065</w:t>
            </w:r>
          </w:p>
        </w:tc>
        <w:tc>
          <w:tcPr>
            <w:tcW w:w="80" w:type="dxa"/>
            <w:vAlign w:val="bottom"/>
          </w:tcPr>
          <w:p>
            <w:pPr>
              <w:spacing w:after="0"/>
              <w:rPr>
                <w:sz w:val="13"/>
                <w:szCs w:val="13"/>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294,019</w:t>
            </w:r>
          </w:p>
        </w:tc>
        <w:tc>
          <w:tcPr>
            <w:tcW w:w="100" w:type="dxa"/>
            <w:vAlign w:val="bottom"/>
          </w:tcPr>
          <w:p>
            <w:pPr>
              <w:spacing w:after="0"/>
              <w:rPr>
                <w:sz w:val="13"/>
                <w:szCs w:val="13"/>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297,196</w:t>
            </w:r>
          </w:p>
        </w:tc>
        <w:tc>
          <w:tcPr>
            <w:tcW w:w="100" w:type="dxa"/>
            <w:vAlign w:val="bottom"/>
          </w:tcPr>
          <w:p>
            <w:pPr>
              <w:spacing w:after="0"/>
              <w:rPr>
                <w:sz w:val="13"/>
                <w:szCs w:val="13"/>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23,475,113</w:t>
            </w:r>
          </w:p>
        </w:tc>
        <w:tc>
          <w:tcPr>
            <w:tcW w:w="80" w:type="dxa"/>
            <w:vAlign w:val="bottom"/>
          </w:tcPr>
          <w:p>
            <w:pPr>
              <w:spacing w:after="0"/>
              <w:rPr>
                <w:sz w:val="13"/>
                <w:szCs w:val="13"/>
                <w:color w:val="auto"/>
              </w:rPr>
            </w:pPr>
          </w:p>
        </w:tc>
        <w:tc>
          <w:tcPr>
            <w:tcW w:w="40" w:type="dxa"/>
            <w:vAlign w:val="bottom"/>
            <w:tcBorders>
              <w:bottom w:val="single" w:sz="8" w:color="auto"/>
            </w:tcBorders>
          </w:tcPr>
          <w:p>
            <w:pPr>
              <w:spacing w:after="0"/>
              <w:rPr>
                <w:sz w:val="13"/>
                <w:szCs w:val="13"/>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546,987</w:t>
            </w:r>
          </w:p>
        </w:tc>
        <w:tc>
          <w:tcPr>
            <w:tcW w:w="100" w:type="dxa"/>
            <w:vAlign w:val="bottom"/>
          </w:tcPr>
          <w:p>
            <w:pPr>
              <w:spacing w:after="0"/>
              <w:rPr>
                <w:sz w:val="13"/>
                <w:szCs w:val="13"/>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(164,453)</w:t>
            </w:r>
          </w:p>
        </w:tc>
        <w:tc>
          <w:tcPr>
            <w:tcW w:w="100" w:type="dxa"/>
            <w:vAlign w:val="bottom"/>
          </w:tcPr>
          <w:p>
            <w:pPr>
              <w:spacing w:after="0"/>
              <w:rPr>
                <w:sz w:val="13"/>
                <w:szCs w:val="13"/>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24,721,927</w:t>
            </w:r>
          </w:p>
        </w:tc>
      </w:tr>
      <w:tr>
        <w:trPr>
          <w:trHeight w:val="20"/>
        </w:trPr>
        <w:tc>
          <w:tcPr>
            <w:tcW w:w="408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jc w:val="center"/>
        <w:ind w:right="-19"/>
        <w:spacing w:after="0"/>
        <w:rPr>
          <w:sz w:val="20"/>
          <w:szCs w:val="20"/>
          <w:color w:val="auto"/>
        </w:rPr>
      </w:pPr>
      <w:r>
        <w:rPr>
          <w:rFonts w:ascii="Arial" w:cs="Arial" w:eastAsia="Arial" w:hAnsi="Arial"/>
          <w:sz w:val="14"/>
          <w:szCs w:val="14"/>
          <w:color w:val="auto"/>
        </w:rPr>
        <w:t>20</w:t>
      </w:r>
    </w:p>
    <w:p>
      <w:pPr>
        <w:sectPr>
          <w:pgSz w:w="11900" w:h="16838" w:orient="portrait"/>
          <w:cols w:equalWidth="0" w:num="1">
            <w:col w:w="11460"/>
          </w:cols>
          <w:pgMar w:left="220" w:top="739" w:right="219" w:bottom="1440" w:gutter="0" w:footer="0" w:header="0"/>
        </w:sectPr>
      </w:pPr>
    </w:p>
    <w:bookmarkStart w:id="21" w:name="page22"/>
    <w:bookmarkEnd w:id="21"/>
    <w:tbl>
      <w:tblPr>
        <w:tblLayout w:type="fixed"/>
        <w:tblInd w:w="0" w:type="dxa"/>
        <w:tblCellMar>
          <w:top w:w="0" w:type="dxa"/>
          <w:left w:w="0" w:type="dxa"/>
          <w:bottom w:w="0" w:type="dxa"/>
          <w:right w:w="0" w:type="dxa"/>
        </w:tblCellMar>
      </w:tblPr>
      <w:tr>
        <w:trPr>
          <w:trHeight w:val="153"/>
        </w:trPr>
        <w:tc>
          <w:tcPr>
            <w:tcW w:w="4080" w:type="dxa"/>
            <w:vAlign w:val="bottom"/>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100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2420" w:type="dxa"/>
            <w:vAlign w:val="bottom"/>
            <w:tcBorders>
              <w:bottom w:val="single" w:sz="8" w:color="auto"/>
            </w:tcBorders>
            <w:gridSpan w:val="5"/>
          </w:tcPr>
          <w:p>
            <w:pPr>
              <w:ind w:left="600"/>
              <w:spacing w:after="0"/>
              <w:rPr>
                <w:sz w:val="20"/>
                <w:szCs w:val="20"/>
                <w:color w:val="auto"/>
              </w:rPr>
            </w:pPr>
            <w:r>
              <w:rPr>
                <w:rFonts w:ascii="Arial" w:cs="Arial" w:eastAsia="Arial" w:hAnsi="Arial"/>
                <w:sz w:val="11"/>
                <w:szCs w:val="11"/>
                <w:b w:val="1"/>
                <w:bCs w:val="1"/>
                <w:color w:val="auto"/>
                <w:w w:val="94"/>
              </w:rPr>
              <w:t>Three months ended March 31, 2018</w:t>
            </w:r>
          </w:p>
        </w:tc>
        <w:tc>
          <w:tcPr>
            <w:tcW w:w="74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94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24"/>
        </w:trPr>
        <w:tc>
          <w:tcPr>
            <w:tcW w:w="40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960" w:type="dxa"/>
            <w:vAlign w:val="bottom"/>
            <w:gridSpan w:val="2"/>
            <w:vMerge w:val="restart"/>
          </w:tcPr>
          <w:p>
            <w:pPr>
              <w:spacing w:after="0"/>
              <w:rPr>
                <w:sz w:val="20"/>
                <w:szCs w:val="20"/>
                <w:color w:val="auto"/>
              </w:rPr>
            </w:pPr>
            <w:r>
              <w:rPr>
                <w:rFonts w:ascii="Arial" w:cs="Arial" w:eastAsia="Arial" w:hAnsi="Arial"/>
                <w:sz w:val="10"/>
                <w:szCs w:val="10"/>
                <w:b w:val="1"/>
                <w:bCs w:val="1"/>
                <w:color w:val="auto"/>
              </w:rPr>
              <w:t>Loan Servicing and</w:t>
            </w:r>
          </w:p>
        </w:tc>
        <w:tc>
          <w:tcPr>
            <w:tcW w:w="1100" w:type="dxa"/>
            <w:vAlign w:val="bottom"/>
            <w:gridSpan w:val="2"/>
          </w:tcPr>
          <w:p>
            <w:pPr>
              <w:jc w:val="center"/>
              <w:ind w:right="80"/>
              <w:spacing w:after="0"/>
              <w:rPr>
                <w:sz w:val="20"/>
                <w:szCs w:val="20"/>
                <w:color w:val="auto"/>
              </w:rPr>
            </w:pPr>
            <w:r>
              <w:rPr>
                <w:rFonts w:ascii="Arial" w:cs="Arial" w:eastAsia="Arial" w:hAnsi="Arial"/>
                <w:sz w:val="10"/>
                <w:szCs w:val="10"/>
                <w:b w:val="1"/>
                <w:bCs w:val="1"/>
                <w:color w:val="auto"/>
                <w:w w:val="85"/>
              </w:rPr>
              <w:t>Education Technology,</w:t>
            </w:r>
          </w:p>
        </w:tc>
        <w:tc>
          <w:tcPr>
            <w:tcW w:w="1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00" w:type="dxa"/>
            <w:vAlign w:val="bottom"/>
            <w:gridSpan w:val="3"/>
          </w:tcPr>
          <w:p>
            <w:pPr>
              <w:jc w:val="center"/>
              <w:ind w:right="160"/>
              <w:spacing w:after="0"/>
              <w:rPr>
                <w:sz w:val="20"/>
                <w:szCs w:val="20"/>
                <w:color w:val="auto"/>
              </w:rPr>
            </w:pPr>
            <w:r>
              <w:rPr>
                <w:rFonts w:ascii="Arial" w:cs="Arial" w:eastAsia="Arial" w:hAnsi="Arial"/>
                <w:sz w:val="10"/>
                <w:szCs w:val="10"/>
                <w:b w:val="1"/>
                <w:bCs w:val="1"/>
                <w:color w:val="auto"/>
                <w:w w:val="80"/>
              </w:rPr>
              <w:t>Asset</w:t>
            </w:r>
          </w:p>
        </w:tc>
        <w:tc>
          <w:tcPr>
            <w:tcW w:w="840" w:type="dxa"/>
            <w:vAlign w:val="bottom"/>
            <w:gridSpan w:val="2"/>
          </w:tcPr>
          <w:p>
            <w:pPr>
              <w:jc w:val="center"/>
              <w:ind w:right="160"/>
              <w:spacing w:after="0"/>
              <w:rPr>
                <w:sz w:val="20"/>
                <w:szCs w:val="20"/>
                <w:color w:val="auto"/>
              </w:rPr>
            </w:pPr>
            <w:r>
              <w:rPr>
                <w:rFonts w:ascii="Arial" w:cs="Arial" w:eastAsia="Arial" w:hAnsi="Arial"/>
                <w:sz w:val="10"/>
                <w:szCs w:val="10"/>
                <w:b w:val="1"/>
                <w:bCs w:val="1"/>
                <w:color w:val="auto"/>
                <w:w w:val="87"/>
              </w:rPr>
              <w:t>Corporate and</w:t>
            </w:r>
          </w:p>
        </w:tc>
        <w:tc>
          <w:tcPr>
            <w:tcW w:w="9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4080" w:type="dxa"/>
            <w:vAlign w:val="bottom"/>
          </w:tcPr>
          <w:p>
            <w:pPr>
              <w:spacing w:after="0"/>
              <w:rPr>
                <w:sz w:val="8"/>
                <w:szCs w:val="8"/>
                <w:color w:val="auto"/>
              </w:rPr>
            </w:pPr>
          </w:p>
        </w:tc>
        <w:tc>
          <w:tcPr>
            <w:tcW w:w="60" w:type="dxa"/>
            <w:vAlign w:val="bottom"/>
          </w:tcPr>
          <w:p>
            <w:pPr>
              <w:spacing w:after="0"/>
              <w:rPr>
                <w:sz w:val="8"/>
                <w:szCs w:val="8"/>
                <w:color w:val="auto"/>
              </w:rPr>
            </w:pPr>
          </w:p>
        </w:tc>
        <w:tc>
          <w:tcPr>
            <w:tcW w:w="960" w:type="dxa"/>
            <w:vAlign w:val="bottom"/>
            <w:gridSpan w:val="2"/>
            <w:vMerge w:val="continue"/>
          </w:tcPr>
          <w:p>
            <w:pPr>
              <w:spacing w:after="0"/>
              <w:rPr>
                <w:sz w:val="8"/>
                <w:szCs w:val="8"/>
                <w:color w:val="auto"/>
              </w:rPr>
            </w:pPr>
          </w:p>
        </w:tc>
        <w:tc>
          <w:tcPr>
            <w:tcW w:w="1100" w:type="dxa"/>
            <w:vAlign w:val="bottom"/>
            <w:gridSpan w:val="2"/>
          </w:tcPr>
          <w:p>
            <w:pPr>
              <w:jc w:val="center"/>
              <w:ind w:right="80"/>
              <w:spacing w:after="0" w:line="98" w:lineRule="exact"/>
              <w:rPr>
                <w:sz w:val="20"/>
                <w:szCs w:val="20"/>
                <w:color w:val="auto"/>
              </w:rPr>
            </w:pPr>
            <w:r>
              <w:rPr>
                <w:rFonts w:ascii="Arial" w:cs="Arial" w:eastAsia="Arial" w:hAnsi="Arial"/>
                <w:sz w:val="10"/>
                <w:szCs w:val="10"/>
                <w:b w:val="1"/>
                <w:bCs w:val="1"/>
                <w:color w:val="auto"/>
                <w:w w:val="86"/>
              </w:rPr>
              <w:t>Services, and Payment</w:t>
            </w:r>
          </w:p>
        </w:tc>
        <w:tc>
          <w:tcPr>
            <w:tcW w:w="1320" w:type="dxa"/>
            <w:vAlign w:val="bottom"/>
            <w:gridSpan w:val="2"/>
            <w:vMerge w:val="restart"/>
          </w:tcPr>
          <w:p>
            <w:pPr>
              <w:ind w:left="240"/>
              <w:spacing w:after="0"/>
              <w:rPr>
                <w:sz w:val="20"/>
                <w:szCs w:val="20"/>
                <w:color w:val="auto"/>
              </w:rPr>
            </w:pPr>
            <w:r>
              <w:rPr>
                <w:rFonts w:ascii="Arial" w:cs="Arial" w:eastAsia="Arial" w:hAnsi="Arial"/>
                <w:sz w:val="10"/>
                <w:szCs w:val="10"/>
                <w:b w:val="1"/>
                <w:bCs w:val="1"/>
                <w:color w:val="auto"/>
              </w:rPr>
              <w:t>Communications</w:t>
            </w:r>
          </w:p>
        </w:tc>
        <w:tc>
          <w:tcPr>
            <w:tcW w:w="1100" w:type="dxa"/>
            <w:vAlign w:val="bottom"/>
            <w:gridSpan w:val="3"/>
          </w:tcPr>
          <w:p>
            <w:pPr>
              <w:jc w:val="center"/>
              <w:ind w:right="160"/>
              <w:spacing w:after="0" w:line="98" w:lineRule="exact"/>
              <w:rPr>
                <w:sz w:val="20"/>
                <w:szCs w:val="20"/>
                <w:color w:val="auto"/>
              </w:rPr>
            </w:pPr>
            <w:r>
              <w:rPr>
                <w:rFonts w:ascii="Arial" w:cs="Arial" w:eastAsia="Arial" w:hAnsi="Arial"/>
                <w:sz w:val="10"/>
                <w:szCs w:val="10"/>
                <w:b w:val="1"/>
                <w:bCs w:val="1"/>
                <w:color w:val="auto"/>
                <w:w w:val="89"/>
              </w:rPr>
              <w:t>Generation and</w:t>
            </w:r>
          </w:p>
        </w:tc>
        <w:tc>
          <w:tcPr>
            <w:tcW w:w="840" w:type="dxa"/>
            <w:vAlign w:val="bottom"/>
            <w:gridSpan w:val="2"/>
          </w:tcPr>
          <w:p>
            <w:pPr>
              <w:jc w:val="center"/>
              <w:ind w:right="160"/>
              <w:spacing w:after="0" w:line="98" w:lineRule="exact"/>
              <w:rPr>
                <w:sz w:val="20"/>
                <w:szCs w:val="20"/>
                <w:color w:val="auto"/>
              </w:rPr>
            </w:pPr>
            <w:r>
              <w:rPr>
                <w:rFonts w:ascii="Arial" w:cs="Arial" w:eastAsia="Arial" w:hAnsi="Arial"/>
                <w:sz w:val="10"/>
                <w:szCs w:val="10"/>
                <w:b w:val="1"/>
                <w:bCs w:val="1"/>
                <w:color w:val="auto"/>
                <w:w w:val="89"/>
              </w:rPr>
              <w:t>Other</w:t>
            </w:r>
          </w:p>
        </w:tc>
        <w:tc>
          <w:tcPr>
            <w:tcW w:w="1040" w:type="dxa"/>
            <w:vAlign w:val="bottom"/>
            <w:gridSpan w:val="2"/>
            <w:vMerge w:val="restart"/>
          </w:tcPr>
          <w:p>
            <w:pPr>
              <w:ind w:left="180"/>
              <w:spacing w:after="0"/>
              <w:rPr>
                <w:sz w:val="20"/>
                <w:szCs w:val="20"/>
                <w:color w:val="auto"/>
              </w:rPr>
            </w:pPr>
            <w:r>
              <w:rPr>
                <w:rFonts w:ascii="Arial" w:cs="Arial" w:eastAsia="Arial" w:hAnsi="Arial"/>
                <w:sz w:val="10"/>
                <w:szCs w:val="10"/>
                <w:b w:val="1"/>
                <w:bCs w:val="1"/>
                <w:color w:val="auto"/>
              </w:rPr>
              <w:t>Eliminations</w:t>
            </w:r>
          </w:p>
        </w:tc>
        <w:tc>
          <w:tcPr>
            <w:tcW w:w="840" w:type="dxa"/>
            <w:vAlign w:val="bottom"/>
            <w:vMerge w:val="restart"/>
          </w:tcPr>
          <w:p>
            <w:pPr>
              <w:jc w:val="right"/>
              <w:ind w:right="270"/>
              <w:spacing w:after="0"/>
              <w:rPr>
                <w:sz w:val="20"/>
                <w:szCs w:val="20"/>
                <w:color w:val="auto"/>
              </w:rPr>
            </w:pPr>
            <w:r>
              <w:rPr>
                <w:rFonts w:ascii="Arial" w:cs="Arial" w:eastAsia="Arial" w:hAnsi="Arial"/>
                <w:sz w:val="10"/>
                <w:szCs w:val="10"/>
                <w:b w:val="1"/>
                <w:bCs w:val="1"/>
                <w:color w:val="auto"/>
              </w:rPr>
              <w:t>Total</w:t>
            </w:r>
          </w:p>
        </w:tc>
        <w:tc>
          <w:tcPr>
            <w:tcW w:w="0" w:type="dxa"/>
            <w:vAlign w:val="bottom"/>
          </w:tcPr>
          <w:p>
            <w:pPr>
              <w:spacing w:after="0"/>
              <w:rPr>
                <w:sz w:val="1"/>
                <w:szCs w:val="1"/>
                <w:color w:val="auto"/>
              </w:rPr>
            </w:pPr>
          </w:p>
        </w:tc>
      </w:tr>
      <w:tr>
        <w:trPr>
          <w:trHeight w:val="132"/>
        </w:trPr>
        <w:tc>
          <w:tcPr>
            <w:tcW w:w="40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60" w:type="dxa"/>
            <w:vAlign w:val="bottom"/>
            <w:gridSpan w:val="2"/>
          </w:tcPr>
          <w:p>
            <w:pPr>
              <w:ind w:left="220"/>
              <w:spacing w:after="0"/>
              <w:rPr>
                <w:sz w:val="20"/>
                <w:szCs w:val="20"/>
                <w:color w:val="auto"/>
              </w:rPr>
            </w:pPr>
            <w:r>
              <w:rPr>
                <w:rFonts w:ascii="Arial" w:cs="Arial" w:eastAsia="Arial" w:hAnsi="Arial"/>
                <w:sz w:val="10"/>
                <w:szCs w:val="10"/>
                <w:b w:val="1"/>
                <w:bCs w:val="1"/>
                <w:color w:val="auto"/>
              </w:rPr>
              <w:t>Systems</w:t>
            </w:r>
          </w:p>
        </w:tc>
        <w:tc>
          <w:tcPr>
            <w:tcW w:w="1100" w:type="dxa"/>
            <w:vAlign w:val="bottom"/>
            <w:gridSpan w:val="2"/>
          </w:tcPr>
          <w:p>
            <w:pPr>
              <w:jc w:val="center"/>
              <w:ind w:right="100"/>
              <w:spacing w:after="0"/>
              <w:rPr>
                <w:sz w:val="20"/>
                <w:szCs w:val="20"/>
                <w:color w:val="auto"/>
              </w:rPr>
            </w:pPr>
            <w:r>
              <w:rPr>
                <w:rFonts w:ascii="Arial" w:cs="Arial" w:eastAsia="Arial" w:hAnsi="Arial"/>
                <w:sz w:val="10"/>
                <w:szCs w:val="10"/>
                <w:b w:val="1"/>
                <w:bCs w:val="1"/>
                <w:color w:val="auto"/>
                <w:w w:val="81"/>
              </w:rPr>
              <w:t>Processing</w:t>
            </w:r>
          </w:p>
        </w:tc>
        <w:tc>
          <w:tcPr>
            <w:tcW w:w="1320" w:type="dxa"/>
            <w:vAlign w:val="bottom"/>
            <w:gridSpan w:val="2"/>
            <w:vMerge w:val="continue"/>
          </w:tcPr>
          <w:p>
            <w:pPr>
              <w:spacing w:after="0"/>
              <w:rPr>
                <w:sz w:val="11"/>
                <w:szCs w:val="11"/>
                <w:color w:val="auto"/>
              </w:rPr>
            </w:pPr>
          </w:p>
        </w:tc>
        <w:tc>
          <w:tcPr>
            <w:tcW w:w="1100" w:type="dxa"/>
            <w:vAlign w:val="bottom"/>
            <w:gridSpan w:val="3"/>
          </w:tcPr>
          <w:p>
            <w:pPr>
              <w:jc w:val="center"/>
              <w:ind w:right="160"/>
              <w:spacing w:after="0"/>
              <w:rPr>
                <w:sz w:val="20"/>
                <w:szCs w:val="20"/>
                <w:color w:val="auto"/>
              </w:rPr>
            </w:pPr>
            <w:r>
              <w:rPr>
                <w:rFonts w:ascii="Arial" w:cs="Arial" w:eastAsia="Arial" w:hAnsi="Arial"/>
                <w:sz w:val="10"/>
                <w:szCs w:val="10"/>
                <w:b w:val="1"/>
                <w:bCs w:val="1"/>
                <w:color w:val="auto"/>
                <w:w w:val="88"/>
              </w:rPr>
              <w:t>Management</w:t>
            </w:r>
          </w:p>
        </w:tc>
        <w:tc>
          <w:tcPr>
            <w:tcW w:w="840" w:type="dxa"/>
            <w:vAlign w:val="bottom"/>
            <w:gridSpan w:val="2"/>
          </w:tcPr>
          <w:p>
            <w:pPr>
              <w:jc w:val="center"/>
              <w:ind w:right="180"/>
              <w:spacing w:after="0"/>
              <w:rPr>
                <w:sz w:val="20"/>
                <w:szCs w:val="20"/>
                <w:color w:val="auto"/>
              </w:rPr>
            </w:pPr>
            <w:r>
              <w:rPr>
                <w:rFonts w:ascii="Arial" w:cs="Arial" w:eastAsia="Arial" w:hAnsi="Arial"/>
                <w:sz w:val="10"/>
                <w:szCs w:val="10"/>
                <w:b w:val="1"/>
                <w:bCs w:val="1"/>
                <w:color w:val="auto"/>
                <w:w w:val="85"/>
              </w:rPr>
              <w:t>Activities</w:t>
            </w:r>
          </w:p>
        </w:tc>
        <w:tc>
          <w:tcPr>
            <w:tcW w:w="1040" w:type="dxa"/>
            <w:vAlign w:val="bottom"/>
            <w:gridSpan w:val="2"/>
            <w:vMerge w:val="continue"/>
          </w:tcPr>
          <w:p>
            <w:pPr>
              <w:spacing w:after="0"/>
              <w:rPr>
                <w:sz w:val="11"/>
                <w:szCs w:val="11"/>
                <w:color w:val="auto"/>
              </w:rPr>
            </w:pPr>
          </w:p>
        </w:tc>
        <w:tc>
          <w:tcPr>
            <w:tcW w:w="84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408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0"/>
                <w:szCs w:val="10"/>
                <w:color w:val="auto"/>
              </w:rPr>
              <w:t>Total interest income</w:t>
            </w:r>
          </w:p>
        </w:tc>
        <w:tc>
          <w:tcPr>
            <w:tcW w:w="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257</w:t>
            </w:r>
          </w:p>
        </w:tc>
        <w:tc>
          <w:tcPr>
            <w:tcW w:w="80" w:type="dxa"/>
            <w:vAlign w:val="bottom"/>
            <w:tcBorders>
              <w:top w:val="single" w:sz="8" w:color="CCEEFF"/>
            </w:tcBorders>
            <w:shd w:val="clear" w:color="auto" w:fill="CCEEFF"/>
          </w:tcPr>
          <w:p>
            <w:pPr>
              <w:spacing w:after="0"/>
              <w:rPr>
                <w:sz w:val="12"/>
                <w:szCs w:val="12"/>
                <w:color w:val="auto"/>
              </w:rPr>
            </w:pPr>
          </w:p>
        </w:tc>
        <w:tc>
          <w:tcPr>
            <w:tcW w:w="10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665</w:t>
            </w:r>
          </w:p>
        </w:tc>
        <w:tc>
          <w:tcPr>
            <w:tcW w:w="100" w:type="dxa"/>
            <w:vAlign w:val="bottom"/>
            <w:tcBorders>
              <w:top w:val="single" w:sz="8" w:color="CCEEFF"/>
            </w:tcBorders>
            <w:shd w:val="clear" w:color="auto" w:fill="CCEEFF"/>
          </w:tcPr>
          <w:p>
            <w:pPr>
              <w:spacing w:after="0"/>
              <w:rPr>
                <w:sz w:val="12"/>
                <w:szCs w:val="12"/>
                <w:color w:val="auto"/>
              </w:rPr>
            </w:pPr>
          </w:p>
        </w:tc>
        <w:tc>
          <w:tcPr>
            <w:tcW w:w="12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1</w:t>
            </w:r>
          </w:p>
        </w:tc>
        <w:tc>
          <w:tcPr>
            <w:tcW w:w="100" w:type="dxa"/>
            <w:vAlign w:val="bottom"/>
            <w:tcBorders>
              <w:top w:val="single" w:sz="8" w:color="CCEEFF"/>
            </w:tcBorders>
            <w:shd w:val="clear" w:color="auto" w:fill="CCEEFF"/>
          </w:tcPr>
          <w:p>
            <w:pPr>
              <w:spacing w:after="0"/>
              <w:rPr>
                <w:sz w:val="12"/>
                <w:szCs w:val="12"/>
                <w:color w:val="auto"/>
              </w:rPr>
            </w:pPr>
          </w:p>
        </w:tc>
        <w:tc>
          <w:tcPr>
            <w:tcW w:w="9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200,334</w:t>
            </w:r>
          </w:p>
        </w:tc>
        <w:tc>
          <w:tcPr>
            <w:tcW w:w="80" w:type="dxa"/>
            <w:vAlign w:val="bottom"/>
            <w:tcBorders>
              <w:top w:val="single" w:sz="8" w:color="CCEEFF"/>
            </w:tcBorders>
            <w:shd w:val="clear" w:color="auto" w:fill="CCEEFF"/>
          </w:tcPr>
          <w:p>
            <w:pPr>
              <w:spacing w:after="0"/>
              <w:rPr>
                <w:sz w:val="12"/>
                <w:szCs w:val="12"/>
                <w:color w:val="auto"/>
              </w:rPr>
            </w:pPr>
          </w:p>
        </w:tc>
        <w:tc>
          <w:tcPr>
            <w:tcW w:w="60" w:type="dxa"/>
            <w:vAlign w:val="bottom"/>
            <w:tcBorders>
              <w:top w:val="single" w:sz="8" w:color="auto"/>
            </w:tcBorders>
            <w:shd w:val="clear" w:color="auto" w:fill="CCEEFF"/>
          </w:tcPr>
          <w:p>
            <w:pPr>
              <w:spacing w:after="0"/>
              <w:rPr>
                <w:sz w:val="12"/>
                <w:szCs w:val="12"/>
                <w:color w:val="auto"/>
              </w:rPr>
            </w:pP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4,751</w:t>
            </w:r>
          </w:p>
        </w:tc>
        <w:tc>
          <w:tcPr>
            <w:tcW w:w="100" w:type="dxa"/>
            <w:vAlign w:val="bottom"/>
            <w:tcBorders>
              <w:top w:val="single" w:sz="8" w:color="CCEEFF"/>
            </w:tcBorders>
            <w:shd w:val="clear" w:color="auto" w:fill="CCEEFF"/>
          </w:tcPr>
          <w:p>
            <w:pPr>
              <w:spacing w:after="0"/>
              <w:rPr>
                <w:sz w:val="12"/>
                <w:szCs w:val="12"/>
                <w:color w:val="auto"/>
              </w:rPr>
            </w:pP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(3,150)</w:t>
            </w:r>
          </w:p>
        </w:tc>
        <w:tc>
          <w:tcPr>
            <w:tcW w:w="100" w:type="dxa"/>
            <w:vAlign w:val="bottom"/>
            <w:tcBorders>
              <w:top w:val="single" w:sz="8" w:color="CCEEFF"/>
            </w:tcBorders>
            <w:shd w:val="clear" w:color="auto" w:fill="CCEEFF"/>
          </w:tcPr>
          <w:p>
            <w:pPr>
              <w:spacing w:after="0"/>
              <w:rPr>
                <w:sz w:val="12"/>
                <w:szCs w:val="12"/>
                <w:color w:val="auto"/>
              </w:rPr>
            </w:pP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202,857</w:t>
            </w:r>
          </w:p>
        </w:tc>
        <w:tc>
          <w:tcPr>
            <w:tcW w:w="0" w:type="dxa"/>
            <w:vAlign w:val="bottom"/>
          </w:tcPr>
          <w:p>
            <w:pPr>
              <w:spacing w:after="0"/>
              <w:rPr>
                <w:sz w:val="1"/>
                <w:szCs w:val="1"/>
                <w:color w:val="auto"/>
              </w:rPr>
            </w:pPr>
          </w:p>
        </w:tc>
      </w:tr>
      <w:tr>
        <w:trPr>
          <w:trHeight w:val="144"/>
        </w:trPr>
        <w:tc>
          <w:tcPr>
            <w:tcW w:w="4080" w:type="dxa"/>
            <w:vAlign w:val="bottom"/>
            <w:tcBorders>
              <w:bottom w:val="single" w:sz="8" w:color="CCEEFF"/>
            </w:tcBorders>
          </w:tcPr>
          <w:p>
            <w:pPr>
              <w:ind w:left="20"/>
              <w:spacing w:after="0"/>
              <w:rPr>
                <w:sz w:val="20"/>
                <w:szCs w:val="20"/>
                <w:color w:val="auto"/>
              </w:rPr>
            </w:pPr>
            <w:r>
              <w:rPr>
                <w:rFonts w:ascii="Arial" w:cs="Arial" w:eastAsia="Arial" w:hAnsi="Arial"/>
                <w:sz w:val="10"/>
                <w:szCs w:val="10"/>
                <w:color w:val="auto"/>
              </w:rPr>
              <w:t>Interest expense</w:t>
            </w:r>
          </w:p>
        </w:tc>
        <w:tc>
          <w:tcPr>
            <w:tcW w:w="60" w:type="dxa"/>
            <w:vAlign w:val="bottom"/>
            <w:tcBorders>
              <w:bottom w:val="single" w:sz="8" w:color="auto"/>
            </w:tcBorders>
          </w:tcPr>
          <w:p>
            <w:pPr>
              <w:spacing w:after="0"/>
              <w:rPr>
                <w:sz w:val="12"/>
                <w:szCs w:val="12"/>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w:t>
            </w:r>
          </w:p>
        </w:tc>
        <w:tc>
          <w:tcPr>
            <w:tcW w:w="80" w:type="dxa"/>
            <w:vAlign w:val="bottom"/>
            <w:tcBorders>
              <w:bottom w:val="single" w:sz="8" w:color="CCEEFF"/>
            </w:tcBorders>
          </w:tcPr>
          <w:p>
            <w:pPr>
              <w:spacing w:after="0"/>
              <w:rPr>
                <w:sz w:val="12"/>
                <w:szCs w:val="12"/>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w:t>
            </w:r>
          </w:p>
        </w:tc>
        <w:tc>
          <w:tcPr>
            <w:tcW w:w="100" w:type="dxa"/>
            <w:vAlign w:val="bottom"/>
            <w:tcBorders>
              <w:bottom w:val="single" w:sz="8" w:color="CCEEFF"/>
            </w:tcBorders>
          </w:tcPr>
          <w:p>
            <w:pPr>
              <w:spacing w:after="0"/>
              <w:rPr>
                <w:sz w:val="12"/>
                <w:szCs w:val="12"/>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2,509</w:t>
            </w:r>
          </w:p>
        </w:tc>
        <w:tc>
          <w:tcPr>
            <w:tcW w:w="100" w:type="dxa"/>
            <w:vAlign w:val="bottom"/>
            <w:tcBorders>
              <w:bottom w:val="single" w:sz="8" w:color="CCEEFF"/>
            </w:tcBorders>
          </w:tcPr>
          <w:p>
            <w:pPr>
              <w:spacing w:after="0"/>
              <w:rPr>
                <w:sz w:val="12"/>
                <w:szCs w:val="12"/>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134,233</w:t>
            </w:r>
          </w:p>
        </w:tc>
        <w:tc>
          <w:tcPr>
            <w:tcW w:w="80" w:type="dxa"/>
            <w:vAlign w:val="bottom"/>
            <w:tcBorders>
              <w:bottom w:val="single" w:sz="8" w:color="CCEEFF"/>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1,958</w:t>
            </w:r>
          </w:p>
        </w:tc>
        <w:tc>
          <w:tcPr>
            <w:tcW w:w="100" w:type="dxa"/>
            <w:vAlign w:val="bottom"/>
            <w:tcBorders>
              <w:bottom w:val="single" w:sz="8" w:color="CCEEFF"/>
            </w:tcBorders>
          </w:tcPr>
          <w:p>
            <w:pPr>
              <w:spacing w:after="0"/>
              <w:rPr>
                <w:sz w:val="12"/>
                <w:szCs w:val="1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(3,150)</w:t>
            </w:r>
          </w:p>
        </w:tc>
        <w:tc>
          <w:tcPr>
            <w:tcW w:w="100" w:type="dxa"/>
            <w:vAlign w:val="bottom"/>
            <w:tcBorders>
              <w:bottom w:val="single" w:sz="8" w:color="CCEEFF"/>
            </w:tcBorders>
          </w:tcPr>
          <w:p>
            <w:pPr>
              <w:spacing w:after="0"/>
              <w:rPr>
                <w:sz w:val="12"/>
                <w:szCs w:val="12"/>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135,550</w:t>
            </w:r>
          </w:p>
        </w:tc>
        <w:tc>
          <w:tcPr>
            <w:tcW w:w="0" w:type="dxa"/>
            <w:vAlign w:val="bottom"/>
          </w:tcPr>
          <w:p>
            <w:pPr>
              <w:spacing w:after="0"/>
              <w:rPr>
                <w:sz w:val="1"/>
                <w:szCs w:val="1"/>
                <w:color w:val="auto"/>
              </w:rPr>
            </w:pPr>
          </w:p>
        </w:tc>
      </w:tr>
      <w:tr>
        <w:trPr>
          <w:trHeight w:val="148"/>
        </w:trPr>
        <w:tc>
          <w:tcPr>
            <w:tcW w:w="4080" w:type="dxa"/>
            <w:vAlign w:val="bottom"/>
            <w:shd w:val="clear" w:color="auto" w:fill="CCEEFF"/>
          </w:tcPr>
          <w:p>
            <w:pPr>
              <w:ind w:left="100"/>
              <w:spacing w:after="0"/>
              <w:rPr>
                <w:sz w:val="20"/>
                <w:szCs w:val="20"/>
                <w:color w:val="auto"/>
              </w:rPr>
            </w:pPr>
            <w:r>
              <w:rPr>
                <w:rFonts w:ascii="Arial" w:cs="Arial" w:eastAsia="Arial" w:hAnsi="Arial"/>
                <w:sz w:val="10"/>
                <w:szCs w:val="10"/>
                <w:color w:val="auto"/>
              </w:rPr>
              <w:t>Net interest income (expense)</w:t>
            </w: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0"/>
                <w:szCs w:val="10"/>
                <w:color w:val="auto"/>
              </w:rPr>
              <w:t>257</w:t>
            </w:r>
          </w:p>
        </w:tc>
        <w:tc>
          <w:tcPr>
            <w:tcW w:w="80" w:type="dxa"/>
            <w:vAlign w:val="bottom"/>
            <w:shd w:val="clear" w:color="auto" w:fill="CCEEFF"/>
          </w:tcPr>
          <w:p>
            <w:pPr>
              <w:spacing w:after="0"/>
              <w:rPr>
                <w:sz w:val="12"/>
                <w:szCs w:val="12"/>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0"/>
                <w:szCs w:val="10"/>
                <w:color w:val="auto"/>
              </w:rPr>
              <w:t>665</w:t>
            </w:r>
          </w:p>
        </w:tc>
        <w:tc>
          <w:tcPr>
            <w:tcW w:w="10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0"/>
                <w:szCs w:val="10"/>
                <w:color w:val="auto"/>
              </w:rPr>
              <w:t>(2,508)</w:t>
            </w:r>
          </w:p>
        </w:tc>
        <w:tc>
          <w:tcPr>
            <w:tcW w:w="100" w:type="dxa"/>
            <w:vAlign w:val="bottom"/>
            <w:shd w:val="clear" w:color="auto" w:fill="CCEEFF"/>
          </w:tcPr>
          <w:p>
            <w:pPr>
              <w:spacing w:after="0"/>
              <w:rPr>
                <w:sz w:val="12"/>
                <w:szCs w:val="12"/>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0"/>
                <w:szCs w:val="10"/>
                <w:color w:val="auto"/>
              </w:rPr>
              <w:t>66,101</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0"/>
                <w:szCs w:val="10"/>
                <w:color w:val="auto"/>
              </w:rPr>
              <w:t>2,793</w:t>
            </w:r>
          </w:p>
        </w:tc>
        <w:tc>
          <w:tcPr>
            <w:tcW w:w="10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ind w:left="800"/>
              <w:spacing w:after="0"/>
              <w:rPr>
                <w:sz w:val="20"/>
                <w:szCs w:val="20"/>
                <w:color w:val="auto"/>
              </w:rPr>
            </w:pPr>
            <w:r>
              <w:rPr>
                <w:rFonts w:ascii="Arial" w:cs="Arial" w:eastAsia="Arial" w:hAnsi="Arial"/>
                <w:sz w:val="10"/>
                <w:szCs w:val="10"/>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0"/>
                <w:szCs w:val="10"/>
                <w:color w:val="auto"/>
              </w:rPr>
              <w:t>67,307</w:t>
            </w:r>
          </w:p>
        </w:tc>
        <w:tc>
          <w:tcPr>
            <w:tcW w:w="0" w:type="dxa"/>
            <w:vAlign w:val="bottom"/>
          </w:tcPr>
          <w:p>
            <w:pPr>
              <w:spacing w:after="0"/>
              <w:rPr>
                <w:sz w:val="1"/>
                <w:szCs w:val="1"/>
                <w:color w:val="auto"/>
              </w:rPr>
            </w:pPr>
          </w:p>
        </w:tc>
      </w:tr>
      <w:tr>
        <w:trPr>
          <w:trHeight w:val="144"/>
        </w:trPr>
        <w:tc>
          <w:tcPr>
            <w:tcW w:w="4080" w:type="dxa"/>
            <w:vAlign w:val="bottom"/>
            <w:tcBorders>
              <w:bottom w:val="single" w:sz="8" w:color="CCEEFF"/>
            </w:tcBorders>
          </w:tcPr>
          <w:p>
            <w:pPr>
              <w:ind w:left="20"/>
              <w:spacing w:after="0"/>
              <w:rPr>
                <w:sz w:val="20"/>
                <w:szCs w:val="20"/>
                <w:color w:val="auto"/>
              </w:rPr>
            </w:pPr>
            <w:r>
              <w:rPr>
                <w:rFonts w:ascii="Arial" w:cs="Arial" w:eastAsia="Arial" w:hAnsi="Arial"/>
                <w:sz w:val="10"/>
                <w:szCs w:val="10"/>
                <w:color w:val="auto"/>
              </w:rPr>
              <w:t>Less provision for loan losses</w:t>
            </w:r>
          </w:p>
        </w:tc>
        <w:tc>
          <w:tcPr>
            <w:tcW w:w="60" w:type="dxa"/>
            <w:vAlign w:val="bottom"/>
            <w:tcBorders>
              <w:bottom w:val="single" w:sz="8" w:color="auto"/>
            </w:tcBorders>
          </w:tcPr>
          <w:p>
            <w:pPr>
              <w:spacing w:after="0"/>
              <w:rPr>
                <w:sz w:val="12"/>
                <w:szCs w:val="12"/>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w:t>
            </w:r>
          </w:p>
        </w:tc>
        <w:tc>
          <w:tcPr>
            <w:tcW w:w="80" w:type="dxa"/>
            <w:vAlign w:val="bottom"/>
            <w:tcBorders>
              <w:bottom w:val="single" w:sz="8" w:color="CCEEFF"/>
            </w:tcBorders>
          </w:tcPr>
          <w:p>
            <w:pPr>
              <w:spacing w:after="0"/>
              <w:rPr>
                <w:sz w:val="12"/>
                <w:szCs w:val="12"/>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w:t>
            </w:r>
          </w:p>
        </w:tc>
        <w:tc>
          <w:tcPr>
            <w:tcW w:w="100" w:type="dxa"/>
            <w:vAlign w:val="bottom"/>
            <w:tcBorders>
              <w:bottom w:val="single" w:sz="8" w:color="CCEEFF"/>
            </w:tcBorders>
          </w:tcPr>
          <w:p>
            <w:pPr>
              <w:spacing w:after="0"/>
              <w:rPr>
                <w:sz w:val="12"/>
                <w:szCs w:val="12"/>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w:t>
            </w:r>
          </w:p>
        </w:tc>
        <w:tc>
          <w:tcPr>
            <w:tcW w:w="100" w:type="dxa"/>
            <w:vAlign w:val="bottom"/>
            <w:tcBorders>
              <w:bottom w:val="single" w:sz="8" w:color="CCEEFF"/>
            </w:tcBorders>
          </w:tcPr>
          <w:p>
            <w:pPr>
              <w:spacing w:after="0"/>
              <w:rPr>
                <w:sz w:val="12"/>
                <w:szCs w:val="12"/>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4,000</w:t>
            </w:r>
          </w:p>
        </w:tc>
        <w:tc>
          <w:tcPr>
            <w:tcW w:w="80" w:type="dxa"/>
            <w:vAlign w:val="bottom"/>
            <w:tcBorders>
              <w:bottom w:val="single" w:sz="8" w:color="CCEEFF"/>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w:t>
            </w:r>
          </w:p>
        </w:tc>
        <w:tc>
          <w:tcPr>
            <w:tcW w:w="100" w:type="dxa"/>
            <w:vAlign w:val="bottom"/>
            <w:tcBorders>
              <w:bottom w:val="single" w:sz="8" w:color="CCEEFF"/>
            </w:tcBorders>
          </w:tcPr>
          <w:p>
            <w:pPr>
              <w:spacing w:after="0"/>
              <w:rPr>
                <w:sz w:val="12"/>
                <w:szCs w:val="12"/>
                <w:color w:val="auto"/>
              </w:rPr>
            </w:pPr>
          </w:p>
        </w:tc>
        <w:tc>
          <w:tcPr>
            <w:tcW w:w="940" w:type="dxa"/>
            <w:vAlign w:val="bottom"/>
            <w:tcBorders>
              <w:bottom w:val="single" w:sz="8" w:color="auto"/>
            </w:tcBorders>
          </w:tcPr>
          <w:p>
            <w:pPr>
              <w:ind w:left="800"/>
              <w:spacing w:after="0"/>
              <w:rPr>
                <w:sz w:val="20"/>
                <w:szCs w:val="20"/>
                <w:color w:val="auto"/>
              </w:rPr>
            </w:pPr>
            <w:r>
              <w:rPr>
                <w:rFonts w:ascii="Arial" w:cs="Arial" w:eastAsia="Arial" w:hAnsi="Arial"/>
                <w:sz w:val="10"/>
                <w:szCs w:val="10"/>
                <w:color w:val="auto"/>
              </w:rPr>
              <w:t>—</w:t>
            </w:r>
          </w:p>
        </w:tc>
        <w:tc>
          <w:tcPr>
            <w:tcW w:w="100" w:type="dxa"/>
            <w:vAlign w:val="bottom"/>
            <w:tcBorders>
              <w:bottom w:val="single" w:sz="8" w:color="CCEEFF"/>
            </w:tcBorders>
          </w:tcPr>
          <w:p>
            <w:pPr>
              <w:spacing w:after="0"/>
              <w:rPr>
                <w:sz w:val="12"/>
                <w:szCs w:val="12"/>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4,000</w:t>
            </w:r>
          </w:p>
        </w:tc>
        <w:tc>
          <w:tcPr>
            <w:tcW w:w="0" w:type="dxa"/>
            <w:vAlign w:val="bottom"/>
          </w:tcPr>
          <w:p>
            <w:pPr>
              <w:spacing w:after="0"/>
              <w:rPr>
                <w:sz w:val="1"/>
                <w:szCs w:val="1"/>
                <w:color w:val="auto"/>
              </w:rPr>
            </w:pPr>
          </w:p>
        </w:tc>
      </w:tr>
      <w:tr>
        <w:trPr>
          <w:trHeight w:val="148"/>
        </w:trPr>
        <w:tc>
          <w:tcPr>
            <w:tcW w:w="4080" w:type="dxa"/>
            <w:vAlign w:val="bottom"/>
            <w:shd w:val="clear" w:color="auto" w:fill="CCEEFF"/>
          </w:tcPr>
          <w:p>
            <w:pPr>
              <w:ind w:left="100"/>
              <w:spacing w:after="0"/>
              <w:rPr>
                <w:sz w:val="20"/>
                <w:szCs w:val="20"/>
                <w:color w:val="auto"/>
              </w:rPr>
            </w:pPr>
            <w:r>
              <w:rPr>
                <w:rFonts w:ascii="Arial" w:cs="Arial" w:eastAsia="Arial" w:hAnsi="Arial"/>
                <w:sz w:val="10"/>
                <w:szCs w:val="10"/>
                <w:color w:val="auto"/>
              </w:rPr>
              <w:t>Net interest income (loss) after provision for loan losses</w:t>
            </w: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0"/>
                <w:szCs w:val="10"/>
                <w:color w:val="auto"/>
              </w:rPr>
              <w:t>257</w:t>
            </w:r>
          </w:p>
        </w:tc>
        <w:tc>
          <w:tcPr>
            <w:tcW w:w="80" w:type="dxa"/>
            <w:vAlign w:val="bottom"/>
            <w:shd w:val="clear" w:color="auto" w:fill="CCEEFF"/>
          </w:tcPr>
          <w:p>
            <w:pPr>
              <w:spacing w:after="0"/>
              <w:rPr>
                <w:sz w:val="12"/>
                <w:szCs w:val="12"/>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0"/>
                <w:szCs w:val="10"/>
                <w:color w:val="auto"/>
              </w:rPr>
              <w:t>665</w:t>
            </w:r>
          </w:p>
        </w:tc>
        <w:tc>
          <w:tcPr>
            <w:tcW w:w="10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0"/>
                <w:szCs w:val="10"/>
                <w:color w:val="auto"/>
              </w:rPr>
              <w:t>(2,508)</w:t>
            </w:r>
          </w:p>
        </w:tc>
        <w:tc>
          <w:tcPr>
            <w:tcW w:w="100" w:type="dxa"/>
            <w:vAlign w:val="bottom"/>
            <w:shd w:val="clear" w:color="auto" w:fill="CCEEFF"/>
          </w:tcPr>
          <w:p>
            <w:pPr>
              <w:spacing w:after="0"/>
              <w:rPr>
                <w:sz w:val="12"/>
                <w:szCs w:val="12"/>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0"/>
                <w:szCs w:val="10"/>
                <w:color w:val="auto"/>
              </w:rPr>
              <w:t>62,101</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0"/>
                <w:szCs w:val="10"/>
                <w:color w:val="auto"/>
              </w:rPr>
              <w:t>2,793</w:t>
            </w:r>
          </w:p>
        </w:tc>
        <w:tc>
          <w:tcPr>
            <w:tcW w:w="10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ind w:left="800"/>
              <w:spacing w:after="0"/>
              <w:rPr>
                <w:sz w:val="20"/>
                <w:szCs w:val="20"/>
                <w:color w:val="auto"/>
              </w:rPr>
            </w:pPr>
            <w:r>
              <w:rPr>
                <w:rFonts w:ascii="Arial" w:cs="Arial" w:eastAsia="Arial" w:hAnsi="Arial"/>
                <w:sz w:val="10"/>
                <w:szCs w:val="10"/>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0"/>
                <w:szCs w:val="10"/>
                <w:color w:val="auto"/>
              </w:rPr>
              <w:t>63,307</w:t>
            </w:r>
          </w:p>
        </w:tc>
        <w:tc>
          <w:tcPr>
            <w:tcW w:w="0" w:type="dxa"/>
            <w:vAlign w:val="bottom"/>
          </w:tcPr>
          <w:p>
            <w:pPr>
              <w:spacing w:after="0"/>
              <w:rPr>
                <w:sz w:val="1"/>
                <w:szCs w:val="1"/>
                <w:color w:val="auto"/>
              </w:rPr>
            </w:pPr>
          </w:p>
        </w:tc>
      </w:tr>
      <w:tr>
        <w:trPr>
          <w:trHeight w:val="114"/>
        </w:trPr>
        <w:tc>
          <w:tcPr>
            <w:tcW w:w="4080" w:type="dxa"/>
            <w:vAlign w:val="bottom"/>
          </w:tcPr>
          <w:p>
            <w:pPr>
              <w:ind w:left="20"/>
              <w:spacing w:after="0" w:line="108" w:lineRule="exact"/>
              <w:rPr>
                <w:sz w:val="20"/>
                <w:szCs w:val="20"/>
                <w:color w:val="auto"/>
              </w:rPr>
            </w:pPr>
            <w:r>
              <w:rPr>
                <w:rFonts w:ascii="Arial" w:cs="Arial" w:eastAsia="Arial" w:hAnsi="Arial"/>
                <w:sz w:val="10"/>
                <w:szCs w:val="10"/>
                <w:color w:val="auto"/>
              </w:rPr>
              <w:t>Other income:</w:t>
            </w:r>
          </w:p>
        </w:tc>
        <w:tc>
          <w:tcPr>
            <w:tcW w:w="60" w:type="dxa"/>
            <w:vAlign w:val="bottom"/>
            <w:tcBorders>
              <w:top w:val="single" w:sz="8" w:color="auto"/>
            </w:tcBorders>
          </w:tcPr>
          <w:p>
            <w:pPr>
              <w:spacing w:after="0"/>
              <w:rPr>
                <w:sz w:val="9"/>
                <w:szCs w:val="9"/>
                <w:color w:val="auto"/>
              </w:rPr>
            </w:pPr>
          </w:p>
        </w:tc>
        <w:tc>
          <w:tcPr>
            <w:tcW w:w="880" w:type="dxa"/>
            <w:vAlign w:val="bottom"/>
            <w:tcBorders>
              <w:top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1000" w:type="dxa"/>
            <w:vAlign w:val="bottom"/>
            <w:tcBorders>
              <w:top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1220" w:type="dxa"/>
            <w:vAlign w:val="bottom"/>
            <w:tcBorders>
              <w:top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960" w:type="dxa"/>
            <w:vAlign w:val="bottom"/>
            <w:tcBorders>
              <w:top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60" w:type="dxa"/>
            <w:vAlign w:val="bottom"/>
            <w:tcBorders>
              <w:top w:val="single" w:sz="8" w:color="auto"/>
            </w:tcBorders>
          </w:tcPr>
          <w:p>
            <w:pPr>
              <w:spacing w:after="0"/>
              <w:rPr>
                <w:sz w:val="9"/>
                <w:szCs w:val="9"/>
                <w:color w:val="auto"/>
              </w:rPr>
            </w:pPr>
          </w:p>
        </w:tc>
        <w:tc>
          <w:tcPr>
            <w:tcW w:w="740" w:type="dxa"/>
            <w:vAlign w:val="bottom"/>
            <w:tcBorders>
              <w:top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940" w:type="dxa"/>
            <w:vAlign w:val="bottom"/>
            <w:tcBorders>
              <w:top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840" w:type="dxa"/>
            <w:vAlign w:val="bottom"/>
            <w:tcBorders>
              <w:top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57"/>
        </w:trPr>
        <w:tc>
          <w:tcPr>
            <w:tcW w:w="4080" w:type="dxa"/>
            <w:vAlign w:val="bottom"/>
            <w:shd w:val="clear" w:color="auto" w:fill="CCEEFF"/>
          </w:tcPr>
          <w:p>
            <w:pPr>
              <w:ind w:left="100"/>
              <w:spacing w:after="0"/>
              <w:rPr>
                <w:sz w:val="20"/>
                <w:szCs w:val="20"/>
                <w:color w:val="auto"/>
              </w:rPr>
            </w:pPr>
            <w:r>
              <w:rPr>
                <w:rFonts w:ascii="Arial" w:cs="Arial" w:eastAsia="Arial" w:hAnsi="Arial"/>
                <w:sz w:val="10"/>
                <w:szCs w:val="10"/>
                <w:color w:val="auto"/>
              </w:rPr>
              <w:t>Loan servicing and systems revenue</w:t>
            </w:r>
          </w:p>
        </w:tc>
        <w:tc>
          <w:tcPr>
            <w:tcW w:w="60" w:type="dxa"/>
            <w:vAlign w:val="bottom"/>
            <w:shd w:val="clear" w:color="auto" w:fill="CCEEFF"/>
          </w:tcPr>
          <w:p>
            <w:pPr>
              <w:spacing w:after="0"/>
              <w:rPr>
                <w:sz w:val="13"/>
                <w:szCs w:val="13"/>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0"/>
                <w:szCs w:val="10"/>
                <w:color w:val="auto"/>
              </w:rPr>
              <w:t>100,141</w:t>
            </w:r>
          </w:p>
        </w:tc>
        <w:tc>
          <w:tcPr>
            <w:tcW w:w="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0"/>
                <w:szCs w:val="10"/>
                <w:color w:val="auto"/>
              </w:rPr>
              <w:t>—</w:t>
            </w:r>
          </w:p>
        </w:tc>
        <w:tc>
          <w:tcPr>
            <w:tcW w:w="1320" w:type="dxa"/>
            <w:vAlign w:val="bottom"/>
            <w:gridSpan w:val="2"/>
            <w:shd w:val="clear" w:color="auto" w:fill="CCEEFF"/>
          </w:tcPr>
          <w:p>
            <w:pPr>
              <w:jc w:val="right"/>
              <w:ind w:right="140"/>
              <w:spacing w:after="0"/>
              <w:rPr>
                <w:sz w:val="20"/>
                <w:szCs w:val="20"/>
                <w:color w:val="auto"/>
              </w:rPr>
            </w:pPr>
            <w:r>
              <w:rPr>
                <w:rFonts w:ascii="Arial" w:cs="Arial" w:eastAsia="Arial" w:hAnsi="Arial"/>
                <w:sz w:val="10"/>
                <w:szCs w:val="10"/>
                <w:color w:val="auto"/>
              </w:rPr>
              <w:t>—</w:t>
            </w:r>
          </w:p>
        </w:tc>
        <w:tc>
          <w:tcPr>
            <w:tcW w:w="1100" w:type="dxa"/>
            <w:vAlign w:val="bottom"/>
            <w:gridSpan w:val="3"/>
            <w:shd w:val="clear" w:color="auto" w:fill="CCEEFF"/>
          </w:tcPr>
          <w:p>
            <w:pPr>
              <w:jc w:val="right"/>
              <w:ind w:right="180"/>
              <w:spacing w:after="0"/>
              <w:rPr>
                <w:sz w:val="20"/>
                <w:szCs w:val="20"/>
                <w:color w:val="auto"/>
              </w:rPr>
            </w:pPr>
            <w:r>
              <w:rPr>
                <w:rFonts w:ascii="Arial" w:cs="Arial" w:eastAsia="Arial" w:hAnsi="Arial"/>
                <w:sz w:val="10"/>
                <w:szCs w:val="10"/>
                <w:color w:val="auto"/>
              </w:rPr>
              <w:t>—</w:t>
            </w: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0"/>
                <w:szCs w:val="10"/>
                <w:color w:val="auto"/>
              </w:rPr>
              <w:t>—</w:t>
            </w:r>
          </w:p>
        </w:tc>
        <w:tc>
          <w:tcPr>
            <w:tcW w:w="1040" w:type="dxa"/>
            <w:vAlign w:val="bottom"/>
            <w:gridSpan w:val="2"/>
            <w:shd w:val="clear" w:color="auto" w:fill="CCEEFF"/>
          </w:tcPr>
          <w:p>
            <w:pPr>
              <w:ind w:left="800"/>
              <w:spacing w:after="0"/>
              <w:rPr>
                <w:sz w:val="20"/>
                <w:szCs w:val="20"/>
                <w:color w:val="auto"/>
              </w:rPr>
            </w:pPr>
            <w:r>
              <w:rPr>
                <w:rFonts w:ascii="Arial" w:cs="Arial" w:eastAsia="Arial" w:hAnsi="Arial"/>
                <w:sz w:val="10"/>
                <w:szCs w:val="10"/>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0"/>
                <w:szCs w:val="10"/>
                <w:color w:val="auto"/>
              </w:rPr>
              <w:t>100,141</w:t>
            </w:r>
          </w:p>
        </w:tc>
        <w:tc>
          <w:tcPr>
            <w:tcW w:w="0" w:type="dxa"/>
            <w:vAlign w:val="bottom"/>
          </w:tcPr>
          <w:p>
            <w:pPr>
              <w:spacing w:after="0"/>
              <w:rPr>
                <w:sz w:val="1"/>
                <w:szCs w:val="1"/>
                <w:color w:val="auto"/>
              </w:rPr>
            </w:pPr>
          </w:p>
        </w:tc>
      </w:tr>
      <w:tr>
        <w:trPr>
          <w:trHeight w:val="144"/>
        </w:trPr>
        <w:tc>
          <w:tcPr>
            <w:tcW w:w="4080" w:type="dxa"/>
            <w:vAlign w:val="bottom"/>
          </w:tcPr>
          <w:p>
            <w:pPr>
              <w:ind w:left="100"/>
              <w:spacing w:after="0"/>
              <w:rPr>
                <w:sz w:val="20"/>
                <w:szCs w:val="20"/>
                <w:color w:val="auto"/>
              </w:rPr>
            </w:pPr>
            <w:r>
              <w:rPr>
                <w:rFonts w:ascii="Arial" w:cs="Arial" w:eastAsia="Arial" w:hAnsi="Arial"/>
                <w:sz w:val="10"/>
                <w:szCs w:val="10"/>
                <w:color w:val="auto"/>
              </w:rPr>
              <w:t>Intersegment servicing revenue</w:t>
            </w:r>
          </w:p>
        </w:tc>
        <w:tc>
          <w:tcPr>
            <w:tcW w:w="60" w:type="dxa"/>
            <w:vAlign w:val="bottom"/>
          </w:tcPr>
          <w:p>
            <w:pPr>
              <w:spacing w:after="0"/>
              <w:rPr>
                <w:sz w:val="12"/>
                <w:szCs w:val="12"/>
                <w:color w:val="auto"/>
              </w:rPr>
            </w:pPr>
          </w:p>
        </w:tc>
        <w:tc>
          <w:tcPr>
            <w:tcW w:w="880" w:type="dxa"/>
            <w:vAlign w:val="bottom"/>
          </w:tcPr>
          <w:p>
            <w:pPr>
              <w:jc w:val="right"/>
              <w:spacing w:after="0"/>
              <w:rPr>
                <w:sz w:val="20"/>
                <w:szCs w:val="20"/>
                <w:color w:val="auto"/>
              </w:rPr>
            </w:pPr>
            <w:r>
              <w:rPr>
                <w:rFonts w:ascii="Arial" w:cs="Arial" w:eastAsia="Arial" w:hAnsi="Arial"/>
                <w:sz w:val="10"/>
                <w:szCs w:val="10"/>
                <w:color w:val="auto"/>
              </w:rPr>
              <w:t>10,771</w:t>
            </w:r>
          </w:p>
        </w:tc>
        <w:tc>
          <w:tcPr>
            <w:tcW w:w="80" w:type="dxa"/>
            <w:vAlign w:val="bottom"/>
          </w:tcPr>
          <w:p>
            <w:pPr>
              <w:spacing w:after="0"/>
              <w:rPr>
                <w:sz w:val="12"/>
                <w:szCs w:val="12"/>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0"/>
                <w:szCs w:val="10"/>
                <w:color w:val="auto"/>
              </w:rPr>
              <w:t>—</w:t>
            </w:r>
          </w:p>
        </w:tc>
        <w:tc>
          <w:tcPr>
            <w:tcW w:w="1320" w:type="dxa"/>
            <w:vAlign w:val="bottom"/>
            <w:gridSpan w:val="2"/>
          </w:tcPr>
          <w:p>
            <w:pPr>
              <w:jc w:val="right"/>
              <w:ind w:right="140"/>
              <w:spacing w:after="0"/>
              <w:rPr>
                <w:sz w:val="20"/>
                <w:szCs w:val="20"/>
                <w:color w:val="auto"/>
              </w:rPr>
            </w:pPr>
            <w:r>
              <w:rPr>
                <w:rFonts w:ascii="Arial" w:cs="Arial" w:eastAsia="Arial" w:hAnsi="Arial"/>
                <w:sz w:val="10"/>
                <w:szCs w:val="10"/>
                <w:color w:val="auto"/>
              </w:rPr>
              <w:t>—</w:t>
            </w:r>
          </w:p>
        </w:tc>
        <w:tc>
          <w:tcPr>
            <w:tcW w:w="1100" w:type="dxa"/>
            <w:vAlign w:val="bottom"/>
            <w:gridSpan w:val="3"/>
          </w:tcPr>
          <w:p>
            <w:pPr>
              <w:jc w:val="right"/>
              <w:ind w:right="180"/>
              <w:spacing w:after="0"/>
              <w:rPr>
                <w:sz w:val="20"/>
                <w:szCs w:val="20"/>
                <w:color w:val="auto"/>
              </w:rPr>
            </w:pPr>
            <w:r>
              <w:rPr>
                <w:rFonts w:ascii="Arial" w:cs="Arial" w:eastAsia="Arial" w:hAnsi="Arial"/>
                <w:sz w:val="10"/>
                <w:szCs w:val="10"/>
                <w:color w:val="auto"/>
              </w:rPr>
              <w:t>—</w:t>
            </w:r>
          </w:p>
        </w:tc>
        <w:tc>
          <w:tcPr>
            <w:tcW w:w="840" w:type="dxa"/>
            <w:vAlign w:val="bottom"/>
            <w:gridSpan w:val="2"/>
          </w:tcPr>
          <w:p>
            <w:pPr>
              <w:jc w:val="right"/>
              <w:ind w:right="140"/>
              <w:spacing w:after="0"/>
              <w:rPr>
                <w:sz w:val="20"/>
                <w:szCs w:val="20"/>
                <w:color w:val="auto"/>
              </w:rPr>
            </w:pPr>
            <w:r>
              <w:rPr>
                <w:rFonts w:ascii="Arial" w:cs="Arial" w:eastAsia="Arial" w:hAnsi="Arial"/>
                <w:sz w:val="10"/>
                <w:szCs w:val="10"/>
                <w:color w:val="auto"/>
              </w:rPr>
              <w:t>—</w:t>
            </w:r>
          </w:p>
        </w:tc>
        <w:tc>
          <w:tcPr>
            <w:tcW w:w="940" w:type="dxa"/>
            <w:vAlign w:val="bottom"/>
          </w:tcPr>
          <w:p>
            <w:pPr>
              <w:jc w:val="right"/>
              <w:spacing w:after="0"/>
              <w:rPr>
                <w:sz w:val="20"/>
                <w:szCs w:val="20"/>
                <w:color w:val="auto"/>
              </w:rPr>
            </w:pPr>
            <w:r>
              <w:rPr>
                <w:rFonts w:ascii="Arial" w:cs="Arial" w:eastAsia="Arial" w:hAnsi="Arial"/>
                <w:sz w:val="10"/>
                <w:szCs w:val="10"/>
                <w:color w:val="auto"/>
              </w:rPr>
              <w:t>(10,771)</w:t>
            </w:r>
          </w:p>
        </w:tc>
        <w:tc>
          <w:tcPr>
            <w:tcW w:w="100" w:type="dxa"/>
            <w:vAlign w:val="bottom"/>
          </w:tcPr>
          <w:p>
            <w:pPr>
              <w:spacing w:after="0"/>
              <w:rPr>
                <w:sz w:val="12"/>
                <w:szCs w:val="12"/>
                <w:color w:val="auto"/>
              </w:rPr>
            </w:pPr>
          </w:p>
        </w:tc>
        <w:tc>
          <w:tcPr>
            <w:tcW w:w="840" w:type="dxa"/>
            <w:vAlign w:val="bottom"/>
          </w:tcPr>
          <w:p>
            <w:pPr>
              <w:jc w:val="right"/>
              <w:spacing w:after="0"/>
              <w:rPr>
                <w:sz w:val="20"/>
                <w:szCs w:val="20"/>
                <w:color w:val="auto"/>
              </w:rPr>
            </w:pPr>
            <w:r>
              <w:rPr>
                <w:rFonts w:ascii="Arial" w:cs="Arial" w:eastAsia="Arial" w:hAnsi="Arial"/>
                <w:sz w:val="10"/>
                <w:szCs w:val="10"/>
                <w:color w:val="auto"/>
              </w:rPr>
              <w:t>—</w:t>
            </w:r>
          </w:p>
        </w:tc>
        <w:tc>
          <w:tcPr>
            <w:tcW w:w="0" w:type="dxa"/>
            <w:vAlign w:val="bottom"/>
          </w:tcPr>
          <w:p>
            <w:pPr>
              <w:spacing w:after="0"/>
              <w:rPr>
                <w:sz w:val="1"/>
                <w:szCs w:val="1"/>
                <w:color w:val="auto"/>
              </w:rPr>
            </w:pPr>
          </w:p>
        </w:tc>
      </w:tr>
      <w:tr>
        <w:trPr>
          <w:trHeight w:val="157"/>
        </w:trPr>
        <w:tc>
          <w:tcPr>
            <w:tcW w:w="4080" w:type="dxa"/>
            <w:vAlign w:val="bottom"/>
            <w:shd w:val="clear" w:color="auto" w:fill="CCEEFF"/>
          </w:tcPr>
          <w:p>
            <w:pPr>
              <w:ind w:left="100"/>
              <w:spacing w:after="0"/>
              <w:rPr>
                <w:sz w:val="20"/>
                <w:szCs w:val="20"/>
                <w:color w:val="auto"/>
              </w:rPr>
            </w:pPr>
            <w:r>
              <w:rPr>
                <w:rFonts w:ascii="Arial" w:cs="Arial" w:eastAsia="Arial" w:hAnsi="Arial"/>
                <w:sz w:val="10"/>
                <w:szCs w:val="10"/>
                <w:color w:val="auto"/>
              </w:rPr>
              <w:t>Education technology, services, and payment processing revenue</w:t>
            </w:r>
          </w:p>
        </w:tc>
        <w:tc>
          <w:tcPr>
            <w:tcW w:w="60" w:type="dxa"/>
            <w:vAlign w:val="bottom"/>
            <w:shd w:val="clear" w:color="auto" w:fill="CCEEFF"/>
          </w:tcPr>
          <w:p>
            <w:pPr>
              <w:spacing w:after="0"/>
              <w:rPr>
                <w:sz w:val="13"/>
                <w:szCs w:val="13"/>
                <w:color w:val="auto"/>
              </w:rPr>
            </w:pPr>
          </w:p>
        </w:tc>
        <w:tc>
          <w:tcPr>
            <w:tcW w:w="960" w:type="dxa"/>
            <w:vAlign w:val="bottom"/>
            <w:gridSpan w:val="2"/>
            <w:shd w:val="clear" w:color="auto" w:fill="CCEEFF"/>
          </w:tcPr>
          <w:p>
            <w:pPr>
              <w:jc w:val="right"/>
              <w:ind w:right="120"/>
              <w:spacing w:after="0"/>
              <w:rPr>
                <w:sz w:val="20"/>
                <w:szCs w:val="20"/>
                <w:color w:val="auto"/>
              </w:rPr>
            </w:pPr>
            <w:r>
              <w:rPr>
                <w:rFonts w:ascii="Arial" w:cs="Arial" w:eastAsia="Arial" w:hAnsi="Arial"/>
                <w:sz w:val="10"/>
                <w:szCs w:val="10"/>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0"/>
                <w:szCs w:val="10"/>
                <w:color w:val="auto"/>
              </w:rPr>
              <w:t>60,221</w:t>
            </w:r>
          </w:p>
        </w:tc>
        <w:tc>
          <w:tcPr>
            <w:tcW w:w="100" w:type="dxa"/>
            <w:vAlign w:val="bottom"/>
            <w:shd w:val="clear" w:color="auto" w:fill="CCEEFF"/>
          </w:tcPr>
          <w:p>
            <w:pPr>
              <w:spacing w:after="0"/>
              <w:rPr>
                <w:sz w:val="13"/>
                <w:szCs w:val="13"/>
                <w:color w:val="auto"/>
              </w:rPr>
            </w:pPr>
          </w:p>
        </w:tc>
        <w:tc>
          <w:tcPr>
            <w:tcW w:w="1320" w:type="dxa"/>
            <w:vAlign w:val="bottom"/>
            <w:gridSpan w:val="2"/>
            <w:shd w:val="clear" w:color="auto" w:fill="CCEEFF"/>
          </w:tcPr>
          <w:p>
            <w:pPr>
              <w:jc w:val="right"/>
              <w:ind w:right="140"/>
              <w:spacing w:after="0"/>
              <w:rPr>
                <w:sz w:val="20"/>
                <w:szCs w:val="20"/>
                <w:color w:val="auto"/>
              </w:rPr>
            </w:pPr>
            <w:r>
              <w:rPr>
                <w:rFonts w:ascii="Arial" w:cs="Arial" w:eastAsia="Arial" w:hAnsi="Arial"/>
                <w:sz w:val="10"/>
                <w:szCs w:val="10"/>
                <w:color w:val="auto"/>
              </w:rPr>
              <w:t>—</w:t>
            </w:r>
          </w:p>
        </w:tc>
        <w:tc>
          <w:tcPr>
            <w:tcW w:w="1100" w:type="dxa"/>
            <w:vAlign w:val="bottom"/>
            <w:gridSpan w:val="3"/>
            <w:shd w:val="clear" w:color="auto" w:fill="CCEEFF"/>
          </w:tcPr>
          <w:p>
            <w:pPr>
              <w:jc w:val="right"/>
              <w:ind w:right="180"/>
              <w:spacing w:after="0"/>
              <w:rPr>
                <w:sz w:val="20"/>
                <w:szCs w:val="20"/>
                <w:color w:val="auto"/>
              </w:rPr>
            </w:pPr>
            <w:r>
              <w:rPr>
                <w:rFonts w:ascii="Arial" w:cs="Arial" w:eastAsia="Arial" w:hAnsi="Arial"/>
                <w:sz w:val="10"/>
                <w:szCs w:val="10"/>
                <w:color w:val="auto"/>
              </w:rPr>
              <w:t>—</w:t>
            </w: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0"/>
                <w:szCs w:val="10"/>
                <w:color w:val="auto"/>
              </w:rPr>
              <w:t>—</w:t>
            </w:r>
          </w:p>
        </w:tc>
        <w:tc>
          <w:tcPr>
            <w:tcW w:w="1040" w:type="dxa"/>
            <w:vAlign w:val="bottom"/>
            <w:gridSpan w:val="2"/>
            <w:shd w:val="clear" w:color="auto" w:fill="CCEEFF"/>
          </w:tcPr>
          <w:p>
            <w:pPr>
              <w:ind w:left="800"/>
              <w:spacing w:after="0"/>
              <w:rPr>
                <w:sz w:val="20"/>
                <w:szCs w:val="20"/>
                <w:color w:val="auto"/>
              </w:rPr>
            </w:pPr>
            <w:r>
              <w:rPr>
                <w:rFonts w:ascii="Arial" w:cs="Arial" w:eastAsia="Arial" w:hAnsi="Arial"/>
                <w:sz w:val="10"/>
                <w:szCs w:val="10"/>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0"/>
                <w:szCs w:val="10"/>
                <w:color w:val="auto"/>
              </w:rPr>
              <w:t>60,221</w:t>
            </w:r>
          </w:p>
        </w:tc>
        <w:tc>
          <w:tcPr>
            <w:tcW w:w="0" w:type="dxa"/>
            <w:vAlign w:val="bottom"/>
          </w:tcPr>
          <w:p>
            <w:pPr>
              <w:spacing w:after="0"/>
              <w:rPr>
                <w:sz w:val="1"/>
                <w:szCs w:val="1"/>
                <w:color w:val="auto"/>
              </w:rPr>
            </w:pPr>
          </w:p>
        </w:tc>
      </w:tr>
      <w:tr>
        <w:trPr>
          <w:trHeight w:val="144"/>
        </w:trPr>
        <w:tc>
          <w:tcPr>
            <w:tcW w:w="4080" w:type="dxa"/>
            <w:vAlign w:val="bottom"/>
          </w:tcPr>
          <w:p>
            <w:pPr>
              <w:ind w:left="100"/>
              <w:spacing w:after="0"/>
              <w:rPr>
                <w:sz w:val="20"/>
                <w:szCs w:val="20"/>
                <w:color w:val="auto"/>
              </w:rPr>
            </w:pPr>
            <w:r>
              <w:rPr>
                <w:rFonts w:ascii="Arial" w:cs="Arial" w:eastAsia="Arial" w:hAnsi="Arial"/>
                <w:sz w:val="10"/>
                <w:szCs w:val="10"/>
                <w:color w:val="auto"/>
              </w:rPr>
              <w:t>Communications revenue</w:t>
            </w:r>
          </w:p>
        </w:tc>
        <w:tc>
          <w:tcPr>
            <w:tcW w:w="60" w:type="dxa"/>
            <w:vAlign w:val="bottom"/>
          </w:tcPr>
          <w:p>
            <w:pPr>
              <w:spacing w:after="0"/>
              <w:rPr>
                <w:sz w:val="12"/>
                <w:szCs w:val="12"/>
                <w:color w:val="auto"/>
              </w:rPr>
            </w:pPr>
          </w:p>
        </w:tc>
        <w:tc>
          <w:tcPr>
            <w:tcW w:w="96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1100" w:type="dxa"/>
            <w:vAlign w:val="bottom"/>
            <w:gridSpan w:val="2"/>
          </w:tcPr>
          <w:p>
            <w:pPr>
              <w:jc w:val="right"/>
              <w:ind w:right="140"/>
              <w:spacing w:after="0"/>
              <w:rPr>
                <w:sz w:val="20"/>
                <w:szCs w:val="20"/>
                <w:color w:val="auto"/>
              </w:rPr>
            </w:pPr>
            <w:r>
              <w:rPr>
                <w:rFonts w:ascii="Arial" w:cs="Arial" w:eastAsia="Arial" w:hAnsi="Arial"/>
                <w:sz w:val="10"/>
                <w:szCs w:val="10"/>
                <w:color w:val="auto"/>
              </w:rPr>
              <w:t>—</w:t>
            </w:r>
          </w:p>
        </w:tc>
        <w:tc>
          <w:tcPr>
            <w:tcW w:w="1220" w:type="dxa"/>
            <w:vAlign w:val="bottom"/>
          </w:tcPr>
          <w:p>
            <w:pPr>
              <w:jc w:val="right"/>
              <w:spacing w:after="0"/>
              <w:rPr>
                <w:sz w:val="20"/>
                <w:szCs w:val="20"/>
                <w:color w:val="auto"/>
              </w:rPr>
            </w:pPr>
            <w:r>
              <w:rPr>
                <w:rFonts w:ascii="Arial" w:cs="Arial" w:eastAsia="Arial" w:hAnsi="Arial"/>
                <w:sz w:val="10"/>
                <w:szCs w:val="10"/>
                <w:color w:val="auto"/>
              </w:rPr>
              <w:t>9,189</w:t>
            </w:r>
          </w:p>
        </w:tc>
        <w:tc>
          <w:tcPr>
            <w:tcW w:w="100" w:type="dxa"/>
            <w:vAlign w:val="bottom"/>
          </w:tcPr>
          <w:p>
            <w:pPr>
              <w:spacing w:after="0"/>
              <w:rPr>
                <w:sz w:val="12"/>
                <w:szCs w:val="12"/>
                <w:color w:val="auto"/>
              </w:rPr>
            </w:pPr>
          </w:p>
        </w:tc>
        <w:tc>
          <w:tcPr>
            <w:tcW w:w="1100" w:type="dxa"/>
            <w:vAlign w:val="bottom"/>
            <w:gridSpan w:val="3"/>
          </w:tcPr>
          <w:p>
            <w:pPr>
              <w:jc w:val="right"/>
              <w:ind w:right="180"/>
              <w:spacing w:after="0"/>
              <w:rPr>
                <w:sz w:val="20"/>
                <w:szCs w:val="20"/>
                <w:color w:val="auto"/>
              </w:rPr>
            </w:pPr>
            <w:r>
              <w:rPr>
                <w:rFonts w:ascii="Arial" w:cs="Arial" w:eastAsia="Arial" w:hAnsi="Arial"/>
                <w:sz w:val="10"/>
                <w:szCs w:val="10"/>
                <w:color w:val="auto"/>
              </w:rPr>
              <w:t>—</w:t>
            </w:r>
          </w:p>
        </w:tc>
        <w:tc>
          <w:tcPr>
            <w:tcW w:w="840" w:type="dxa"/>
            <w:vAlign w:val="bottom"/>
            <w:gridSpan w:val="2"/>
          </w:tcPr>
          <w:p>
            <w:pPr>
              <w:jc w:val="right"/>
              <w:ind w:right="140"/>
              <w:spacing w:after="0"/>
              <w:rPr>
                <w:sz w:val="20"/>
                <w:szCs w:val="20"/>
                <w:color w:val="auto"/>
              </w:rPr>
            </w:pPr>
            <w:r>
              <w:rPr>
                <w:rFonts w:ascii="Arial" w:cs="Arial" w:eastAsia="Arial" w:hAnsi="Arial"/>
                <w:sz w:val="10"/>
                <w:szCs w:val="10"/>
                <w:color w:val="auto"/>
              </w:rPr>
              <w:t>—</w:t>
            </w:r>
          </w:p>
        </w:tc>
        <w:tc>
          <w:tcPr>
            <w:tcW w:w="1040" w:type="dxa"/>
            <w:vAlign w:val="bottom"/>
            <w:gridSpan w:val="2"/>
          </w:tcPr>
          <w:p>
            <w:pPr>
              <w:ind w:left="800"/>
              <w:spacing w:after="0"/>
              <w:rPr>
                <w:sz w:val="20"/>
                <w:szCs w:val="20"/>
                <w:color w:val="auto"/>
              </w:rPr>
            </w:pPr>
            <w:r>
              <w:rPr>
                <w:rFonts w:ascii="Arial" w:cs="Arial" w:eastAsia="Arial" w:hAnsi="Arial"/>
                <w:sz w:val="10"/>
                <w:szCs w:val="10"/>
                <w:color w:val="auto"/>
              </w:rPr>
              <w:t>—</w:t>
            </w:r>
          </w:p>
        </w:tc>
        <w:tc>
          <w:tcPr>
            <w:tcW w:w="840" w:type="dxa"/>
            <w:vAlign w:val="bottom"/>
          </w:tcPr>
          <w:p>
            <w:pPr>
              <w:jc w:val="right"/>
              <w:spacing w:after="0"/>
              <w:rPr>
                <w:sz w:val="20"/>
                <w:szCs w:val="20"/>
                <w:color w:val="auto"/>
              </w:rPr>
            </w:pPr>
            <w:r>
              <w:rPr>
                <w:rFonts w:ascii="Arial" w:cs="Arial" w:eastAsia="Arial" w:hAnsi="Arial"/>
                <w:sz w:val="10"/>
                <w:szCs w:val="10"/>
                <w:color w:val="auto"/>
              </w:rPr>
              <w:t>9,189</w:t>
            </w:r>
          </w:p>
        </w:tc>
        <w:tc>
          <w:tcPr>
            <w:tcW w:w="0" w:type="dxa"/>
            <w:vAlign w:val="bottom"/>
          </w:tcPr>
          <w:p>
            <w:pPr>
              <w:spacing w:after="0"/>
              <w:rPr>
                <w:sz w:val="1"/>
                <w:szCs w:val="1"/>
                <w:color w:val="auto"/>
              </w:rPr>
            </w:pPr>
          </w:p>
        </w:tc>
      </w:tr>
      <w:tr>
        <w:trPr>
          <w:trHeight w:val="157"/>
        </w:trPr>
        <w:tc>
          <w:tcPr>
            <w:tcW w:w="4080" w:type="dxa"/>
            <w:vAlign w:val="bottom"/>
            <w:shd w:val="clear" w:color="auto" w:fill="CCEEFF"/>
          </w:tcPr>
          <w:p>
            <w:pPr>
              <w:ind w:left="100"/>
              <w:spacing w:after="0"/>
              <w:rPr>
                <w:sz w:val="20"/>
                <w:szCs w:val="20"/>
                <w:color w:val="auto"/>
              </w:rPr>
            </w:pPr>
            <w:r>
              <w:rPr>
                <w:rFonts w:ascii="Arial" w:cs="Arial" w:eastAsia="Arial" w:hAnsi="Arial"/>
                <w:sz w:val="10"/>
                <w:szCs w:val="10"/>
                <w:color w:val="auto"/>
              </w:rPr>
              <w:t>Other income</w:t>
            </w:r>
          </w:p>
        </w:tc>
        <w:tc>
          <w:tcPr>
            <w:tcW w:w="60" w:type="dxa"/>
            <w:vAlign w:val="bottom"/>
            <w:shd w:val="clear" w:color="auto" w:fill="CCEEFF"/>
          </w:tcPr>
          <w:p>
            <w:pPr>
              <w:spacing w:after="0"/>
              <w:rPr>
                <w:sz w:val="13"/>
                <w:szCs w:val="13"/>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0"/>
                <w:szCs w:val="10"/>
                <w:color w:val="auto"/>
              </w:rPr>
              <w:t>1,292</w:t>
            </w:r>
          </w:p>
        </w:tc>
        <w:tc>
          <w:tcPr>
            <w:tcW w:w="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0"/>
                <w:szCs w:val="10"/>
                <w:color w:val="auto"/>
              </w:rPr>
              <w:t>—</w:t>
            </w:r>
          </w:p>
        </w:tc>
        <w:tc>
          <w:tcPr>
            <w:tcW w:w="1320" w:type="dxa"/>
            <w:vAlign w:val="bottom"/>
            <w:gridSpan w:val="2"/>
            <w:shd w:val="clear" w:color="auto" w:fill="CCEEFF"/>
          </w:tcPr>
          <w:p>
            <w:pPr>
              <w:jc w:val="right"/>
              <w:ind w:right="140"/>
              <w:spacing w:after="0"/>
              <w:rPr>
                <w:sz w:val="20"/>
                <w:szCs w:val="20"/>
                <w:color w:val="auto"/>
              </w:rPr>
            </w:pPr>
            <w:r>
              <w:rPr>
                <w:rFonts w:ascii="Arial" w:cs="Arial" w:eastAsia="Arial" w:hAnsi="Arial"/>
                <w:sz w:val="10"/>
                <w:szCs w:val="10"/>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0"/>
                <w:szCs w:val="10"/>
                <w:color w:val="auto"/>
              </w:rPr>
              <w:t>3,351</w:t>
            </w:r>
          </w:p>
        </w:tc>
        <w:tc>
          <w:tcPr>
            <w:tcW w:w="8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0"/>
                <w:szCs w:val="10"/>
                <w:color w:val="auto"/>
              </w:rPr>
              <w:t>13,914</w:t>
            </w:r>
          </w:p>
        </w:tc>
        <w:tc>
          <w:tcPr>
            <w:tcW w:w="100" w:type="dxa"/>
            <w:vAlign w:val="bottom"/>
            <w:shd w:val="clear" w:color="auto" w:fill="CCEEFF"/>
          </w:tcPr>
          <w:p>
            <w:pPr>
              <w:spacing w:after="0"/>
              <w:rPr>
                <w:sz w:val="13"/>
                <w:szCs w:val="13"/>
                <w:color w:val="auto"/>
              </w:rPr>
            </w:pPr>
          </w:p>
        </w:tc>
        <w:tc>
          <w:tcPr>
            <w:tcW w:w="1040" w:type="dxa"/>
            <w:vAlign w:val="bottom"/>
            <w:gridSpan w:val="2"/>
            <w:shd w:val="clear" w:color="auto" w:fill="CCEEFF"/>
          </w:tcPr>
          <w:p>
            <w:pPr>
              <w:ind w:left="800"/>
              <w:spacing w:after="0"/>
              <w:rPr>
                <w:sz w:val="20"/>
                <w:szCs w:val="20"/>
                <w:color w:val="auto"/>
              </w:rPr>
            </w:pPr>
            <w:r>
              <w:rPr>
                <w:rFonts w:ascii="Arial" w:cs="Arial" w:eastAsia="Arial" w:hAnsi="Arial"/>
                <w:sz w:val="10"/>
                <w:szCs w:val="10"/>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0"/>
                <w:szCs w:val="10"/>
                <w:color w:val="auto"/>
              </w:rPr>
              <w:t>18,557</w:t>
            </w:r>
          </w:p>
        </w:tc>
        <w:tc>
          <w:tcPr>
            <w:tcW w:w="0" w:type="dxa"/>
            <w:vAlign w:val="bottom"/>
          </w:tcPr>
          <w:p>
            <w:pPr>
              <w:spacing w:after="0"/>
              <w:rPr>
                <w:sz w:val="1"/>
                <w:szCs w:val="1"/>
                <w:color w:val="auto"/>
              </w:rPr>
            </w:pPr>
          </w:p>
        </w:tc>
      </w:tr>
      <w:tr>
        <w:trPr>
          <w:trHeight w:val="144"/>
        </w:trPr>
        <w:tc>
          <w:tcPr>
            <w:tcW w:w="4080" w:type="dxa"/>
            <w:vAlign w:val="bottom"/>
          </w:tcPr>
          <w:p>
            <w:pPr>
              <w:ind w:left="100"/>
              <w:spacing w:after="0"/>
              <w:rPr>
                <w:sz w:val="20"/>
                <w:szCs w:val="20"/>
                <w:color w:val="auto"/>
              </w:rPr>
            </w:pPr>
            <w:r>
              <w:rPr>
                <w:rFonts w:ascii="Arial" w:cs="Arial" w:eastAsia="Arial" w:hAnsi="Arial"/>
                <w:sz w:val="10"/>
                <w:szCs w:val="10"/>
                <w:color w:val="auto"/>
              </w:rPr>
              <w:t>Derivative settlements, net</w:t>
            </w:r>
          </w:p>
        </w:tc>
        <w:tc>
          <w:tcPr>
            <w:tcW w:w="60" w:type="dxa"/>
            <w:vAlign w:val="bottom"/>
          </w:tcPr>
          <w:p>
            <w:pPr>
              <w:spacing w:after="0"/>
              <w:rPr>
                <w:sz w:val="12"/>
                <w:szCs w:val="12"/>
                <w:color w:val="auto"/>
              </w:rPr>
            </w:pPr>
          </w:p>
        </w:tc>
        <w:tc>
          <w:tcPr>
            <w:tcW w:w="96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1100" w:type="dxa"/>
            <w:vAlign w:val="bottom"/>
            <w:gridSpan w:val="2"/>
          </w:tcPr>
          <w:p>
            <w:pPr>
              <w:jc w:val="right"/>
              <w:ind w:right="140"/>
              <w:spacing w:after="0"/>
              <w:rPr>
                <w:sz w:val="20"/>
                <w:szCs w:val="20"/>
                <w:color w:val="auto"/>
              </w:rPr>
            </w:pPr>
            <w:r>
              <w:rPr>
                <w:rFonts w:ascii="Arial" w:cs="Arial" w:eastAsia="Arial" w:hAnsi="Arial"/>
                <w:sz w:val="10"/>
                <w:szCs w:val="10"/>
                <w:color w:val="auto"/>
              </w:rPr>
              <w:t>—</w:t>
            </w:r>
          </w:p>
        </w:tc>
        <w:tc>
          <w:tcPr>
            <w:tcW w:w="1320" w:type="dxa"/>
            <w:vAlign w:val="bottom"/>
            <w:gridSpan w:val="2"/>
          </w:tcPr>
          <w:p>
            <w:pPr>
              <w:jc w:val="right"/>
              <w:ind w:right="140"/>
              <w:spacing w:after="0"/>
              <w:rPr>
                <w:sz w:val="20"/>
                <w:szCs w:val="20"/>
                <w:color w:val="auto"/>
              </w:rPr>
            </w:pPr>
            <w:r>
              <w:rPr>
                <w:rFonts w:ascii="Arial" w:cs="Arial" w:eastAsia="Arial" w:hAnsi="Arial"/>
                <w:sz w:val="10"/>
                <w:szCs w:val="10"/>
                <w:color w:val="auto"/>
              </w:rPr>
              <w:t>—</w:t>
            </w:r>
          </w:p>
        </w:tc>
        <w:tc>
          <w:tcPr>
            <w:tcW w:w="960" w:type="dxa"/>
            <w:vAlign w:val="bottom"/>
          </w:tcPr>
          <w:p>
            <w:pPr>
              <w:jc w:val="right"/>
              <w:spacing w:after="0"/>
              <w:rPr>
                <w:sz w:val="20"/>
                <w:szCs w:val="20"/>
                <w:color w:val="auto"/>
              </w:rPr>
            </w:pPr>
            <w:r>
              <w:rPr>
                <w:rFonts w:ascii="Arial" w:cs="Arial" w:eastAsia="Arial" w:hAnsi="Arial"/>
                <w:sz w:val="10"/>
                <w:szCs w:val="10"/>
                <w:color w:val="auto"/>
              </w:rPr>
              <w:t>6,926</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jc w:val="right"/>
              <w:spacing w:after="0"/>
              <w:rPr>
                <w:sz w:val="20"/>
                <w:szCs w:val="20"/>
                <w:color w:val="auto"/>
              </w:rPr>
            </w:pPr>
            <w:r>
              <w:rPr>
                <w:rFonts w:ascii="Arial" w:cs="Arial" w:eastAsia="Arial" w:hAnsi="Arial"/>
                <w:sz w:val="10"/>
                <w:szCs w:val="10"/>
                <w:color w:val="auto"/>
              </w:rPr>
              <w:t>(160)</w:t>
            </w:r>
          </w:p>
        </w:tc>
        <w:tc>
          <w:tcPr>
            <w:tcW w:w="100" w:type="dxa"/>
            <w:vAlign w:val="bottom"/>
          </w:tcPr>
          <w:p>
            <w:pPr>
              <w:spacing w:after="0"/>
              <w:rPr>
                <w:sz w:val="12"/>
                <w:szCs w:val="12"/>
                <w:color w:val="auto"/>
              </w:rPr>
            </w:pPr>
          </w:p>
        </w:tc>
        <w:tc>
          <w:tcPr>
            <w:tcW w:w="1040" w:type="dxa"/>
            <w:vAlign w:val="bottom"/>
            <w:gridSpan w:val="2"/>
          </w:tcPr>
          <w:p>
            <w:pPr>
              <w:ind w:left="800"/>
              <w:spacing w:after="0"/>
              <w:rPr>
                <w:sz w:val="20"/>
                <w:szCs w:val="20"/>
                <w:color w:val="auto"/>
              </w:rPr>
            </w:pPr>
            <w:r>
              <w:rPr>
                <w:rFonts w:ascii="Arial" w:cs="Arial" w:eastAsia="Arial" w:hAnsi="Arial"/>
                <w:sz w:val="10"/>
                <w:szCs w:val="10"/>
                <w:color w:val="auto"/>
              </w:rPr>
              <w:t>—</w:t>
            </w:r>
          </w:p>
        </w:tc>
        <w:tc>
          <w:tcPr>
            <w:tcW w:w="840" w:type="dxa"/>
            <w:vAlign w:val="bottom"/>
          </w:tcPr>
          <w:p>
            <w:pPr>
              <w:jc w:val="right"/>
              <w:spacing w:after="0"/>
              <w:rPr>
                <w:sz w:val="20"/>
                <w:szCs w:val="20"/>
                <w:color w:val="auto"/>
              </w:rPr>
            </w:pPr>
            <w:r>
              <w:rPr>
                <w:rFonts w:ascii="Arial" w:cs="Arial" w:eastAsia="Arial" w:hAnsi="Arial"/>
                <w:sz w:val="10"/>
                <w:szCs w:val="10"/>
                <w:color w:val="auto"/>
              </w:rPr>
              <w:t>6,766</w:t>
            </w:r>
          </w:p>
        </w:tc>
        <w:tc>
          <w:tcPr>
            <w:tcW w:w="0" w:type="dxa"/>
            <w:vAlign w:val="bottom"/>
          </w:tcPr>
          <w:p>
            <w:pPr>
              <w:spacing w:after="0"/>
              <w:rPr>
                <w:sz w:val="1"/>
                <w:szCs w:val="1"/>
                <w:color w:val="auto"/>
              </w:rPr>
            </w:pPr>
          </w:p>
        </w:tc>
      </w:tr>
      <w:tr>
        <w:trPr>
          <w:trHeight w:val="151"/>
        </w:trPr>
        <w:tc>
          <w:tcPr>
            <w:tcW w:w="4080" w:type="dxa"/>
            <w:vAlign w:val="bottom"/>
            <w:shd w:val="clear" w:color="auto" w:fill="CCEEFF"/>
          </w:tcPr>
          <w:p>
            <w:pPr>
              <w:ind w:left="100"/>
              <w:spacing w:after="0"/>
              <w:rPr>
                <w:sz w:val="20"/>
                <w:szCs w:val="20"/>
                <w:color w:val="auto"/>
              </w:rPr>
            </w:pPr>
            <w:r>
              <w:rPr>
                <w:rFonts w:ascii="Arial" w:cs="Arial" w:eastAsia="Arial" w:hAnsi="Arial"/>
                <w:sz w:val="10"/>
                <w:szCs w:val="10"/>
                <w:color w:val="auto"/>
              </w:rPr>
              <w:t>Derivative market value adjustments, net</w:t>
            </w:r>
          </w:p>
        </w:tc>
        <w:tc>
          <w:tcPr>
            <w:tcW w:w="60" w:type="dxa"/>
            <w:vAlign w:val="bottom"/>
            <w:shd w:val="clear" w:color="auto" w:fill="CCEEFF"/>
          </w:tcPr>
          <w:p>
            <w:pPr>
              <w:spacing w:after="0"/>
              <w:rPr>
                <w:sz w:val="13"/>
                <w:szCs w:val="13"/>
                <w:color w:val="auto"/>
              </w:rPr>
            </w:pPr>
          </w:p>
        </w:tc>
        <w:tc>
          <w:tcPr>
            <w:tcW w:w="960" w:type="dxa"/>
            <w:vAlign w:val="bottom"/>
            <w:gridSpan w:val="2"/>
            <w:shd w:val="clear" w:color="auto" w:fill="CCEEFF"/>
          </w:tcPr>
          <w:p>
            <w:pPr>
              <w:jc w:val="right"/>
              <w:ind w:right="120"/>
              <w:spacing w:after="0"/>
              <w:rPr>
                <w:sz w:val="20"/>
                <w:szCs w:val="20"/>
                <w:color w:val="auto"/>
              </w:rPr>
            </w:pPr>
            <w:r>
              <w:rPr>
                <w:rFonts w:ascii="Arial" w:cs="Arial" w:eastAsia="Arial" w:hAnsi="Arial"/>
                <w:sz w:val="10"/>
                <w:szCs w:val="10"/>
                <w:color w:val="auto"/>
              </w:rPr>
              <w:t>—</w:t>
            </w: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0"/>
                <w:szCs w:val="10"/>
                <w:color w:val="auto"/>
              </w:rPr>
              <w:t>—</w:t>
            </w:r>
          </w:p>
        </w:tc>
        <w:tc>
          <w:tcPr>
            <w:tcW w:w="1320" w:type="dxa"/>
            <w:vAlign w:val="bottom"/>
            <w:gridSpan w:val="2"/>
            <w:shd w:val="clear" w:color="auto" w:fill="CCEEFF"/>
          </w:tcPr>
          <w:p>
            <w:pPr>
              <w:jc w:val="right"/>
              <w:ind w:right="140"/>
              <w:spacing w:after="0"/>
              <w:rPr>
                <w:sz w:val="20"/>
                <w:szCs w:val="20"/>
                <w:color w:val="auto"/>
              </w:rPr>
            </w:pPr>
            <w:r>
              <w:rPr>
                <w:rFonts w:ascii="Arial" w:cs="Arial" w:eastAsia="Arial" w:hAnsi="Arial"/>
                <w:sz w:val="10"/>
                <w:szCs w:val="10"/>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0"/>
                <w:szCs w:val="10"/>
                <w:color w:val="auto"/>
              </w:rPr>
              <w:t>58,571</w:t>
            </w:r>
          </w:p>
        </w:tc>
        <w:tc>
          <w:tcPr>
            <w:tcW w:w="8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0"/>
                <w:szCs w:val="10"/>
                <w:color w:val="auto"/>
              </w:rPr>
              <w:t>1,462</w:t>
            </w:r>
          </w:p>
        </w:tc>
        <w:tc>
          <w:tcPr>
            <w:tcW w:w="100" w:type="dxa"/>
            <w:vAlign w:val="bottom"/>
            <w:shd w:val="clear" w:color="auto" w:fill="CCEEFF"/>
          </w:tcPr>
          <w:p>
            <w:pPr>
              <w:spacing w:after="0"/>
              <w:rPr>
                <w:sz w:val="13"/>
                <w:szCs w:val="13"/>
                <w:color w:val="auto"/>
              </w:rPr>
            </w:pPr>
          </w:p>
        </w:tc>
        <w:tc>
          <w:tcPr>
            <w:tcW w:w="1040" w:type="dxa"/>
            <w:vAlign w:val="bottom"/>
            <w:gridSpan w:val="2"/>
            <w:shd w:val="clear" w:color="auto" w:fill="CCEEFF"/>
          </w:tcPr>
          <w:p>
            <w:pPr>
              <w:ind w:left="800"/>
              <w:spacing w:after="0"/>
              <w:rPr>
                <w:sz w:val="20"/>
                <w:szCs w:val="20"/>
                <w:color w:val="auto"/>
              </w:rPr>
            </w:pPr>
            <w:r>
              <w:rPr>
                <w:rFonts w:ascii="Arial" w:cs="Arial" w:eastAsia="Arial" w:hAnsi="Arial"/>
                <w:sz w:val="10"/>
                <w:szCs w:val="10"/>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0"/>
                <w:szCs w:val="10"/>
                <w:color w:val="auto"/>
              </w:rPr>
              <w:t>60,033</w:t>
            </w:r>
          </w:p>
        </w:tc>
        <w:tc>
          <w:tcPr>
            <w:tcW w:w="0" w:type="dxa"/>
            <w:vAlign w:val="bottom"/>
          </w:tcPr>
          <w:p>
            <w:pPr>
              <w:spacing w:after="0"/>
              <w:rPr>
                <w:sz w:val="1"/>
                <w:szCs w:val="1"/>
                <w:color w:val="auto"/>
              </w:rPr>
            </w:pPr>
          </w:p>
        </w:tc>
      </w:tr>
      <w:tr>
        <w:trPr>
          <w:trHeight w:val="142"/>
        </w:trPr>
        <w:tc>
          <w:tcPr>
            <w:tcW w:w="4080" w:type="dxa"/>
            <w:vAlign w:val="bottom"/>
            <w:tcBorders>
              <w:bottom w:val="single" w:sz="8" w:color="CCEEFF"/>
            </w:tcBorders>
          </w:tcPr>
          <w:p>
            <w:pPr>
              <w:ind w:left="20"/>
              <w:spacing w:after="0"/>
              <w:rPr>
                <w:sz w:val="20"/>
                <w:szCs w:val="20"/>
                <w:color w:val="auto"/>
              </w:rPr>
            </w:pPr>
            <w:r>
              <w:rPr>
                <w:rFonts w:ascii="Arial" w:cs="Arial" w:eastAsia="Arial" w:hAnsi="Arial"/>
                <w:sz w:val="10"/>
                <w:szCs w:val="10"/>
                <w:color w:val="auto"/>
              </w:rPr>
              <w:t>Total other income</w:t>
            </w:r>
          </w:p>
        </w:tc>
        <w:tc>
          <w:tcPr>
            <w:tcW w:w="60" w:type="dxa"/>
            <w:vAlign w:val="bottom"/>
            <w:tcBorders>
              <w:top w:val="single" w:sz="8" w:color="auto"/>
              <w:bottom w:val="single" w:sz="8" w:color="auto"/>
            </w:tcBorders>
          </w:tcPr>
          <w:p>
            <w:pPr>
              <w:spacing w:after="0"/>
              <w:rPr>
                <w:sz w:val="12"/>
                <w:szCs w:val="12"/>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rPr>
              <w:t>112,204</w:t>
            </w:r>
          </w:p>
        </w:tc>
        <w:tc>
          <w:tcPr>
            <w:tcW w:w="80" w:type="dxa"/>
            <w:vAlign w:val="bottom"/>
            <w:tcBorders>
              <w:bottom w:val="single" w:sz="8" w:color="CCEEFF"/>
            </w:tcBorders>
          </w:tcPr>
          <w:p>
            <w:pPr>
              <w:spacing w:after="0"/>
              <w:rPr>
                <w:sz w:val="12"/>
                <w:szCs w:val="12"/>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rPr>
              <w:t>60,221</w:t>
            </w:r>
          </w:p>
        </w:tc>
        <w:tc>
          <w:tcPr>
            <w:tcW w:w="100" w:type="dxa"/>
            <w:vAlign w:val="bottom"/>
            <w:tcBorders>
              <w:bottom w:val="single" w:sz="8" w:color="CCEEFF"/>
            </w:tcBorders>
          </w:tcPr>
          <w:p>
            <w:pPr>
              <w:spacing w:after="0"/>
              <w:rPr>
                <w:sz w:val="12"/>
                <w:szCs w:val="12"/>
                <w:color w:val="auto"/>
              </w:rPr>
            </w:pPr>
          </w:p>
        </w:tc>
        <w:tc>
          <w:tcPr>
            <w:tcW w:w="1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rPr>
              <w:t>9,189</w:t>
            </w:r>
          </w:p>
        </w:tc>
        <w:tc>
          <w:tcPr>
            <w:tcW w:w="100" w:type="dxa"/>
            <w:vAlign w:val="bottom"/>
            <w:tcBorders>
              <w:bottom w:val="single" w:sz="8" w:color="CCEEFF"/>
            </w:tcBorders>
          </w:tcPr>
          <w:p>
            <w:pPr>
              <w:spacing w:after="0"/>
              <w:rPr>
                <w:sz w:val="12"/>
                <w:szCs w:val="12"/>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rPr>
              <w:t>68,848</w:t>
            </w:r>
          </w:p>
        </w:tc>
        <w:tc>
          <w:tcPr>
            <w:tcW w:w="80" w:type="dxa"/>
            <w:vAlign w:val="bottom"/>
            <w:tcBorders>
              <w:bottom w:val="single" w:sz="8" w:color="CCEEFF"/>
            </w:tcBorders>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rPr>
              <w:t>15,216</w:t>
            </w:r>
          </w:p>
        </w:tc>
        <w:tc>
          <w:tcPr>
            <w:tcW w:w="100" w:type="dxa"/>
            <w:vAlign w:val="bottom"/>
            <w:tcBorders>
              <w:bottom w:val="single" w:sz="8" w:color="CCEEFF"/>
            </w:tcBorders>
          </w:tcPr>
          <w:p>
            <w:pPr>
              <w:spacing w:after="0"/>
              <w:rPr>
                <w:sz w:val="12"/>
                <w:szCs w:val="12"/>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rPr>
              <w:t>(10,771)</w:t>
            </w:r>
          </w:p>
        </w:tc>
        <w:tc>
          <w:tcPr>
            <w:tcW w:w="100" w:type="dxa"/>
            <w:vAlign w:val="bottom"/>
            <w:tcBorders>
              <w:bottom w:val="single" w:sz="8" w:color="CCEEFF"/>
            </w:tcBorders>
          </w:tcPr>
          <w:p>
            <w:pPr>
              <w:spacing w:after="0"/>
              <w:rPr>
                <w:sz w:val="12"/>
                <w:szCs w:val="12"/>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rPr>
              <w:t>254,907</w:t>
            </w:r>
          </w:p>
        </w:tc>
        <w:tc>
          <w:tcPr>
            <w:tcW w:w="0" w:type="dxa"/>
            <w:vAlign w:val="bottom"/>
          </w:tcPr>
          <w:p>
            <w:pPr>
              <w:spacing w:after="0"/>
              <w:rPr>
                <w:sz w:val="1"/>
                <w:szCs w:val="1"/>
                <w:color w:val="auto"/>
              </w:rPr>
            </w:pPr>
          </w:p>
        </w:tc>
      </w:tr>
      <w:tr>
        <w:trPr>
          <w:trHeight w:val="127"/>
        </w:trPr>
        <w:tc>
          <w:tcPr>
            <w:tcW w:w="4080" w:type="dxa"/>
            <w:vAlign w:val="bottom"/>
            <w:shd w:val="clear" w:color="auto" w:fill="CCEEFF"/>
          </w:tcPr>
          <w:p>
            <w:pPr>
              <w:ind w:left="20"/>
              <w:spacing w:after="0"/>
              <w:rPr>
                <w:sz w:val="20"/>
                <w:szCs w:val="20"/>
                <w:color w:val="auto"/>
              </w:rPr>
            </w:pPr>
            <w:r>
              <w:rPr>
                <w:rFonts w:ascii="Arial" w:cs="Arial" w:eastAsia="Arial" w:hAnsi="Arial"/>
                <w:sz w:val="10"/>
                <w:szCs w:val="10"/>
                <w:color w:val="auto"/>
              </w:rPr>
              <w:t>Cost of services:</w:t>
            </w:r>
          </w:p>
        </w:tc>
        <w:tc>
          <w:tcPr>
            <w:tcW w:w="6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7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4080" w:type="dxa"/>
            <w:vAlign w:val="bottom"/>
          </w:tcPr>
          <w:p>
            <w:pPr>
              <w:ind w:left="100"/>
              <w:spacing w:after="0"/>
              <w:rPr>
                <w:sz w:val="20"/>
                <w:szCs w:val="20"/>
                <w:color w:val="auto"/>
              </w:rPr>
            </w:pPr>
            <w:r>
              <w:rPr>
                <w:rFonts w:ascii="Arial" w:cs="Arial" w:eastAsia="Arial" w:hAnsi="Arial"/>
                <w:sz w:val="10"/>
                <w:szCs w:val="10"/>
                <w:color w:val="auto"/>
              </w:rPr>
              <w:t>Cost to provide education technology, services, and payment processing services</w:t>
            </w:r>
          </w:p>
        </w:tc>
        <w:tc>
          <w:tcPr>
            <w:tcW w:w="60" w:type="dxa"/>
            <w:vAlign w:val="bottom"/>
          </w:tcPr>
          <w:p>
            <w:pPr>
              <w:spacing w:after="0"/>
              <w:rPr>
                <w:sz w:val="12"/>
                <w:szCs w:val="12"/>
                <w:color w:val="auto"/>
              </w:rPr>
            </w:pPr>
          </w:p>
        </w:tc>
        <w:tc>
          <w:tcPr>
            <w:tcW w:w="96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1000" w:type="dxa"/>
            <w:vAlign w:val="bottom"/>
          </w:tcPr>
          <w:p>
            <w:pPr>
              <w:jc w:val="right"/>
              <w:spacing w:after="0"/>
              <w:rPr>
                <w:sz w:val="20"/>
                <w:szCs w:val="20"/>
                <w:color w:val="auto"/>
              </w:rPr>
            </w:pPr>
            <w:r>
              <w:rPr>
                <w:rFonts w:ascii="Arial" w:cs="Arial" w:eastAsia="Arial" w:hAnsi="Arial"/>
                <w:sz w:val="10"/>
                <w:szCs w:val="10"/>
                <w:color w:val="auto"/>
              </w:rPr>
              <w:t>13,683</w:t>
            </w:r>
          </w:p>
        </w:tc>
        <w:tc>
          <w:tcPr>
            <w:tcW w:w="100" w:type="dxa"/>
            <w:vAlign w:val="bottom"/>
          </w:tcPr>
          <w:p>
            <w:pPr>
              <w:spacing w:after="0"/>
              <w:rPr>
                <w:sz w:val="12"/>
                <w:szCs w:val="12"/>
                <w:color w:val="auto"/>
              </w:rPr>
            </w:pPr>
          </w:p>
        </w:tc>
        <w:tc>
          <w:tcPr>
            <w:tcW w:w="1320" w:type="dxa"/>
            <w:vAlign w:val="bottom"/>
            <w:gridSpan w:val="2"/>
          </w:tcPr>
          <w:p>
            <w:pPr>
              <w:jc w:val="right"/>
              <w:ind w:right="140"/>
              <w:spacing w:after="0"/>
              <w:rPr>
                <w:sz w:val="20"/>
                <w:szCs w:val="20"/>
                <w:color w:val="auto"/>
              </w:rPr>
            </w:pPr>
            <w:r>
              <w:rPr>
                <w:rFonts w:ascii="Arial" w:cs="Arial" w:eastAsia="Arial" w:hAnsi="Arial"/>
                <w:sz w:val="10"/>
                <w:szCs w:val="10"/>
                <w:color w:val="auto"/>
              </w:rPr>
              <w:t>—</w:t>
            </w:r>
          </w:p>
        </w:tc>
        <w:tc>
          <w:tcPr>
            <w:tcW w:w="1100" w:type="dxa"/>
            <w:vAlign w:val="bottom"/>
            <w:gridSpan w:val="3"/>
          </w:tcPr>
          <w:p>
            <w:pPr>
              <w:jc w:val="right"/>
              <w:ind w:right="180"/>
              <w:spacing w:after="0"/>
              <w:rPr>
                <w:sz w:val="20"/>
                <w:szCs w:val="20"/>
                <w:color w:val="auto"/>
              </w:rPr>
            </w:pPr>
            <w:r>
              <w:rPr>
                <w:rFonts w:ascii="Arial" w:cs="Arial" w:eastAsia="Arial" w:hAnsi="Arial"/>
                <w:sz w:val="10"/>
                <w:szCs w:val="10"/>
                <w:color w:val="auto"/>
              </w:rPr>
              <w:t>—</w:t>
            </w:r>
          </w:p>
        </w:tc>
        <w:tc>
          <w:tcPr>
            <w:tcW w:w="840" w:type="dxa"/>
            <w:vAlign w:val="bottom"/>
            <w:gridSpan w:val="2"/>
          </w:tcPr>
          <w:p>
            <w:pPr>
              <w:jc w:val="right"/>
              <w:ind w:right="140"/>
              <w:spacing w:after="0"/>
              <w:rPr>
                <w:sz w:val="20"/>
                <w:szCs w:val="20"/>
                <w:color w:val="auto"/>
              </w:rPr>
            </w:pPr>
            <w:r>
              <w:rPr>
                <w:rFonts w:ascii="Arial" w:cs="Arial" w:eastAsia="Arial" w:hAnsi="Arial"/>
                <w:sz w:val="10"/>
                <w:szCs w:val="10"/>
                <w:color w:val="auto"/>
              </w:rPr>
              <w:t>—</w:t>
            </w:r>
          </w:p>
        </w:tc>
        <w:tc>
          <w:tcPr>
            <w:tcW w:w="1040" w:type="dxa"/>
            <w:vAlign w:val="bottom"/>
            <w:gridSpan w:val="2"/>
          </w:tcPr>
          <w:p>
            <w:pPr>
              <w:ind w:left="800"/>
              <w:spacing w:after="0"/>
              <w:rPr>
                <w:sz w:val="20"/>
                <w:szCs w:val="20"/>
                <w:color w:val="auto"/>
              </w:rPr>
            </w:pPr>
            <w:r>
              <w:rPr>
                <w:rFonts w:ascii="Arial" w:cs="Arial" w:eastAsia="Arial" w:hAnsi="Arial"/>
                <w:sz w:val="10"/>
                <w:szCs w:val="10"/>
                <w:color w:val="auto"/>
              </w:rPr>
              <w:t>—</w:t>
            </w:r>
          </w:p>
        </w:tc>
        <w:tc>
          <w:tcPr>
            <w:tcW w:w="840" w:type="dxa"/>
            <w:vAlign w:val="bottom"/>
          </w:tcPr>
          <w:p>
            <w:pPr>
              <w:jc w:val="right"/>
              <w:spacing w:after="0"/>
              <w:rPr>
                <w:sz w:val="20"/>
                <w:szCs w:val="20"/>
                <w:color w:val="auto"/>
              </w:rPr>
            </w:pPr>
            <w:r>
              <w:rPr>
                <w:rFonts w:ascii="Arial" w:cs="Arial" w:eastAsia="Arial" w:hAnsi="Arial"/>
                <w:sz w:val="10"/>
                <w:szCs w:val="10"/>
                <w:color w:val="auto"/>
              </w:rPr>
              <w:t>13,683</w:t>
            </w:r>
          </w:p>
        </w:tc>
        <w:tc>
          <w:tcPr>
            <w:tcW w:w="0" w:type="dxa"/>
            <w:vAlign w:val="bottom"/>
          </w:tcPr>
          <w:p>
            <w:pPr>
              <w:spacing w:after="0"/>
              <w:rPr>
                <w:sz w:val="1"/>
                <w:szCs w:val="1"/>
                <w:color w:val="auto"/>
              </w:rPr>
            </w:pPr>
          </w:p>
        </w:tc>
      </w:tr>
      <w:tr>
        <w:trPr>
          <w:trHeight w:val="151"/>
        </w:trPr>
        <w:tc>
          <w:tcPr>
            <w:tcW w:w="4080" w:type="dxa"/>
            <w:vAlign w:val="bottom"/>
            <w:shd w:val="clear" w:color="auto" w:fill="CCEEFF"/>
          </w:tcPr>
          <w:p>
            <w:pPr>
              <w:ind w:left="100"/>
              <w:spacing w:after="0"/>
              <w:rPr>
                <w:sz w:val="20"/>
                <w:szCs w:val="20"/>
                <w:color w:val="auto"/>
              </w:rPr>
            </w:pPr>
            <w:r>
              <w:rPr>
                <w:rFonts w:ascii="Arial" w:cs="Arial" w:eastAsia="Arial" w:hAnsi="Arial"/>
                <w:sz w:val="10"/>
                <w:szCs w:val="10"/>
                <w:color w:val="auto"/>
              </w:rPr>
              <w:t>Cost to provide communications services</w:t>
            </w:r>
          </w:p>
        </w:tc>
        <w:tc>
          <w:tcPr>
            <w:tcW w:w="60" w:type="dxa"/>
            <w:vAlign w:val="bottom"/>
            <w:tcBorders>
              <w:bottom w:val="single" w:sz="8" w:color="auto"/>
            </w:tcBorders>
            <w:shd w:val="clear" w:color="auto" w:fill="CCEEFF"/>
          </w:tcPr>
          <w:p>
            <w:pPr>
              <w:spacing w:after="0"/>
              <w:rPr>
                <w:sz w:val="13"/>
                <w:szCs w:val="13"/>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w:t>
            </w:r>
          </w:p>
        </w:tc>
        <w:tc>
          <w:tcPr>
            <w:tcW w:w="80" w:type="dxa"/>
            <w:vAlign w:val="bottom"/>
            <w:shd w:val="clear" w:color="auto" w:fill="CCEEFF"/>
          </w:tcPr>
          <w:p>
            <w:pPr>
              <w:spacing w:after="0"/>
              <w:rPr>
                <w:sz w:val="13"/>
                <w:szCs w:val="13"/>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w:t>
            </w:r>
          </w:p>
        </w:tc>
        <w:tc>
          <w:tcPr>
            <w:tcW w:w="100" w:type="dxa"/>
            <w:vAlign w:val="bottom"/>
            <w:shd w:val="clear" w:color="auto" w:fill="CCEEFF"/>
          </w:tcPr>
          <w:p>
            <w:pPr>
              <w:spacing w:after="0"/>
              <w:rPr>
                <w:sz w:val="13"/>
                <w:szCs w:val="13"/>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3,717</w:t>
            </w:r>
          </w:p>
        </w:tc>
        <w:tc>
          <w:tcPr>
            <w:tcW w:w="100" w:type="dxa"/>
            <w:vAlign w:val="bottom"/>
            <w:shd w:val="clear" w:color="auto" w:fill="CCEEFF"/>
          </w:tcPr>
          <w:p>
            <w:pPr>
              <w:spacing w:after="0"/>
              <w:rPr>
                <w:sz w:val="13"/>
                <w:szCs w:val="13"/>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w:t>
            </w:r>
          </w:p>
        </w:tc>
        <w:tc>
          <w:tcPr>
            <w:tcW w:w="80" w:type="dxa"/>
            <w:vAlign w:val="bottom"/>
            <w:shd w:val="clear" w:color="auto" w:fill="CCEEFF"/>
          </w:tcPr>
          <w:p>
            <w:pPr>
              <w:spacing w:after="0"/>
              <w:rPr>
                <w:sz w:val="13"/>
                <w:szCs w:val="13"/>
                <w:color w:val="auto"/>
              </w:rPr>
            </w:pPr>
          </w:p>
        </w:tc>
        <w:tc>
          <w:tcPr>
            <w:tcW w:w="60" w:type="dxa"/>
            <w:vAlign w:val="bottom"/>
            <w:tcBorders>
              <w:bottom w:val="single" w:sz="8" w:color="auto"/>
            </w:tcBorders>
            <w:shd w:val="clear" w:color="auto" w:fill="CCEEFF"/>
          </w:tcPr>
          <w:p>
            <w:pPr>
              <w:spacing w:after="0"/>
              <w:rPr>
                <w:sz w:val="13"/>
                <w:szCs w:val="13"/>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w:t>
            </w:r>
          </w:p>
        </w:tc>
        <w:tc>
          <w:tcPr>
            <w:tcW w:w="100" w:type="dxa"/>
            <w:vAlign w:val="bottom"/>
            <w:shd w:val="clear" w:color="auto" w:fill="CCEEFF"/>
          </w:tcPr>
          <w:p>
            <w:pPr>
              <w:spacing w:after="0"/>
              <w:rPr>
                <w:sz w:val="13"/>
                <w:szCs w:val="13"/>
                <w:color w:val="auto"/>
              </w:rPr>
            </w:pPr>
          </w:p>
        </w:tc>
        <w:tc>
          <w:tcPr>
            <w:tcW w:w="940" w:type="dxa"/>
            <w:vAlign w:val="bottom"/>
            <w:tcBorders>
              <w:bottom w:val="single" w:sz="8" w:color="auto"/>
            </w:tcBorders>
            <w:shd w:val="clear" w:color="auto" w:fill="CCEEFF"/>
          </w:tcPr>
          <w:p>
            <w:pPr>
              <w:ind w:left="800"/>
              <w:spacing w:after="0"/>
              <w:rPr>
                <w:sz w:val="20"/>
                <w:szCs w:val="20"/>
                <w:color w:val="auto"/>
              </w:rPr>
            </w:pPr>
            <w:r>
              <w:rPr>
                <w:rFonts w:ascii="Arial" w:cs="Arial" w:eastAsia="Arial" w:hAnsi="Arial"/>
                <w:sz w:val="10"/>
                <w:szCs w:val="10"/>
                <w:color w:val="auto"/>
              </w:rPr>
              <w:t>—</w:t>
            </w:r>
          </w:p>
        </w:tc>
        <w:tc>
          <w:tcPr>
            <w:tcW w:w="100" w:type="dxa"/>
            <w:vAlign w:val="bottom"/>
            <w:shd w:val="clear" w:color="auto" w:fill="CCEEFF"/>
          </w:tcPr>
          <w:p>
            <w:pPr>
              <w:spacing w:after="0"/>
              <w:rPr>
                <w:sz w:val="13"/>
                <w:szCs w:val="13"/>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3,717</w:t>
            </w:r>
          </w:p>
        </w:tc>
        <w:tc>
          <w:tcPr>
            <w:tcW w:w="0" w:type="dxa"/>
            <w:vAlign w:val="bottom"/>
          </w:tcPr>
          <w:p>
            <w:pPr>
              <w:spacing w:after="0"/>
              <w:rPr>
                <w:sz w:val="1"/>
                <w:szCs w:val="1"/>
                <w:color w:val="auto"/>
              </w:rPr>
            </w:pPr>
          </w:p>
        </w:tc>
      </w:tr>
      <w:tr>
        <w:trPr>
          <w:trHeight w:val="142"/>
        </w:trPr>
        <w:tc>
          <w:tcPr>
            <w:tcW w:w="4080" w:type="dxa"/>
            <w:vAlign w:val="bottom"/>
          </w:tcPr>
          <w:p>
            <w:pPr>
              <w:ind w:left="180"/>
              <w:spacing w:after="0"/>
              <w:rPr>
                <w:sz w:val="20"/>
                <w:szCs w:val="20"/>
                <w:color w:val="auto"/>
              </w:rPr>
            </w:pPr>
            <w:r>
              <w:rPr>
                <w:rFonts w:ascii="Arial" w:cs="Arial" w:eastAsia="Arial" w:hAnsi="Arial"/>
                <w:sz w:val="10"/>
                <w:szCs w:val="10"/>
                <w:color w:val="auto"/>
              </w:rPr>
              <w:t>Total cost of services</w:t>
            </w:r>
          </w:p>
        </w:tc>
        <w:tc>
          <w:tcPr>
            <w:tcW w:w="60" w:type="dxa"/>
            <w:vAlign w:val="bottom"/>
          </w:tcPr>
          <w:p>
            <w:pPr>
              <w:spacing w:after="0"/>
              <w:rPr>
                <w:sz w:val="12"/>
                <w:szCs w:val="12"/>
                <w:color w:val="auto"/>
              </w:rPr>
            </w:pPr>
          </w:p>
        </w:tc>
        <w:tc>
          <w:tcPr>
            <w:tcW w:w="96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1000" w:type="dxa"/>
            <w:vAlign w:val="bottom"/>
          </w:tcPr>
          <w:p>
            <w:pPr>
              <w:jc w:val="right"/>
              <w:spacing w:after="0"/>
              <w:rPr>
                <w:sz w:val="20"/>
                <w:szCs w:val="20"/>
                <w:color w:val="auto"/>
              </w:rPr>
            </w:pPr>
            <w:r>
              <w:rPr>
                <w:rFonts w:ascii="Arial" w:cs="Arial" w:eastAsia="Arial" w:hAnsi="Arial"/>
                <w:sz w:val="10"/>
                <w:szCs w:val="10"/>
                <w:color w:val="auto"/>
              </w:rPr>
              <w:t>13,683</w:t>
            </w:r>
          </w:p>
        </w:tc>
        <w:tc>
          <w:tcPr>
            <w:tcW w:w="100" w:type="dxa"/>
            <w:vAlign w:val="bottom"/>
          </w:tcPr>
          <w:p>
            <w:pPr>
              <w:spacing w:after="0"/>
              <w:rPr>
                <w:sz w:val="12"/>
                <w:szCs w:val="12"/>
                <w:color w:val="auto"/>
              </w:rPr>
            </w:pPr>
          </w:p>
        </w:tc>
        <w:tc>
          <w:tcPr>
            <w:tcW w:w="1220" w:type="dxa"/>
            <w:vAlign w:val="bottom"/>
          </w:tcPr>
          <w:p>
            <w:pPr>
              <w:jc w:val="right"/>
              <w:spacing w:after="0"/>
              <w:rPr>
                <w:sz w:val="20"/>
                <w:szCs w:val="20"/>
                <w:color w:val="auto"/>
              </w:rPr>
            </w:pPr>
            <w:r>
              <w:rPr>
                <w:rFonts w:ascii="Arial" w:cs="Arial" w:eastAsia="Arial" w:hAnsi="Arial"/>
                <w:sz w:val="10"/>
                <w:szCs w:val="10"/>
                <w:color w:val="auto"/>
              </w:rPr>
              <w:t>3,717</w:t>
            </w:r>
          </w:p>
        </w:tc>
        <w:tc>
          <w:tcPr>
            <w:tcW w:w="100" w:type="dxa"/>
            <w:vAlign w:val="bottom"/>
          </w:tcPr>
          <w:p>
            <w:pPr>
              <w:spacing w:after="0"/>
              <w:rPr>
                <w:sz w:val="12"/>
                <w:szCs w:val="12"/>
                <w:color w:val="auto"/>
              </w:rPr>
            </w:pPr>
          </w:p>
        </w:tc>
        <w:tc>
          <w:tcPr>
            <w:tcW w:w="1100" w:type="dxa"/>
            <w:vAlign w:val="bottom"/>
            <w:gridSpan w:val="3"/>
          </w:tcPr>
          <w:p>
            <w:pPr>
              <w:jc w:val="right"/>
              <w:ind w:right="180"/>
              <w:spacing w:after="0"/>
              <w:rPr>
                <w:sz w:val="20"/>
                <w:szCs w:val="20"/>
                <w:color w:val="auto"/>
              </w:rPr>
            </w:pPr>
            <w:r>
              <w:rPr>
                <w:rFonts w:ascii="Arial" w:cs="Arial" w:eastAsia="Arial" w:hAnsi="Arial"/>
                <w:sz w:val="10"/>
                <w:szCs w:val="10"/>
                <w:color w:val="auto"/>
              </w:rPr>
              <w:t>—</w:t>
            </w:r>
          </w:p>
        </w:tc>
        <w:tc>
          <w:tcPr>
            <w:tcW w:w="840" w:type="dxa"/>
            <w:vAlign w:val="bottom"/>
            <w:gridSpan w:val="2"/>
          </w:tcPr>
          <w:p>
            <w:pPr>
              <w:jc w:val="right"/>
              <w:ind w:right="140"/>
              <w:spacing w:after="0"/>
              <w:rPr>
                <w:sz w:val="20"/>
                <w:szCs w:val="20"/>
                <w:color w:val="auto"/>
              </w:rPr>
            </w:pPr>
            <w:r>
              <w:rPr>
                <w:rFonts w:ascii="Arial" w:cs="Arial" w:eastAsia="Arial" w:hAnsi="Arial"/>
                <w:sz w:val="10"/>
                <w:szCs w:val="10"/>
                <w:color w:val="auto"/>
              </w:rPr>
              <w:t>—</w:t>
            </w:r>
          </w:p>
        </w:tc>
        <w:tc>
          <w:tcPr>
            <w:tcW w:w="1040" w:type="dxa"/>
            <w:vAlign w:val="bottom"/>
            <w:gridSpan w:val="2"/>
          </w:tcPr>
          <w:p>
            <w:pPr>
              <w:ind w:left="800"/>
              <w:spacing w:after="0"/>
              <w:rPr>
                <w:sz w:val="20"/>
                <w:szCs w:val="20"/>
                <w:color w:val="auto"/>
              </w:rPr>
            </w:pPr>
            <w:r>
              <w:rPr>
                <w:rFonts w:ascii="Arial" w:cs="Arial" w:eastAsia="Arial" w:hAnsi="Arial"/>
                <w:sz w:val="10"/>
                <w:szCs w:val="10"/>
                <w:color w:val="auto"/>
              </w:rPr>
              <w:t>—</w:t>
            </w:r>
          </w:p>
        </w:tc>
        <w:tc>
          <w:tcPr>
            <w:tcW w:w="840" w:type="dxa"/>
            <w:vAlign w:val="bottom"/>
          </w:tcPr>
          <w:p>
            <w:pPr>
              <w:jc w:val="right"/>
              <w:spacing w:after="0"/>
              <w:rPr>
                <w:sz w:val="20"/>
                <w:szCs w:val="20"/>
                <w:color w:val="auto"/>
              </w:rPr>
            </w:pPr>
            <w:r>
              <w:rPr>
                <w:rFonts w:ascii="Arial" w:cs="Arial" w:eastAsia="Arial" w:hAnsi="Arial"/>
                <w:sz w:val="10"/>
                <w:szCs w:val="10"/>
                <w:color w:val="auto"/>
              </w:rPr>
              <w:t>17,400</w:t>
            </w:r>
          </w:p>
        </w:tc>
        <w:tc>
          <w:tcPr>
            <w:tcW w:w="0" w:type="dxa"/>
            <w:vAlign w:val="bottom"/>
          </w:tcPr>
          <w:p>
            <w:pPr>
              <w:spacing w:after="0"/>
              <w:rPr>
                <w:sz w:val="1"/>
                <w:szCs w:val="1"/>
                <w:color w:val="auto"/>
              </w:rPr>
            </w:pPr>
          </w:p>
        </w:tc>
      </w:tr>
      <w:tr>
        <w:trPr>
          <w:trHeight w:val="127"/>
        </w:trPr>
        <w:tc>
          <w:tcPr>
            <w:tcW w:w="408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0"/>
                <w:szCs w:val="10"/>
                <w:color w:val="auto"/>
              </w:rPr>
              <w:t>Operating expenses:</w:t>
            </w:r>
          </w:p>
        </w:tc>
        <w:tc>
          <w:tcPr>
            <w:tcW w:w="60" w:type="dxa"/>
            <w:vAlign w:val="bottom"/>
            <w:tcBorders>
              <w:top w:val="single" w:sz="8" w:color="auto"/>
            </w:tcBorders>
            <w:shd w:val="clear" w:color="auto" w:fill="CCEEFF"/>
          </w:tcPr>
          <w:p>
            <w:pPr>
              <w:spacing w:after="0"/>
              <w:rPr>
                <w:sz w:val="11"/>
                <w:szCs w:val="11"/>
                <w:color w:val="auto"/>
              </w:rPr>
            </w:pPr>
          </w:p>
        </w:tc>
        <w:tc>
          <w:tcPr>
            <w:tcW w:w="880" w:type="dxa"/>
            <w:vAlign w:val="bottom"/>
            <w:tcBorders>
              <w:top w:val="single" w:sz="8" w:color="auto"/>
            </w:tcBorders>
            <w:shd w:val="clear" w:color="auto" w:fill="CCEEFF"/>
          </w:tcPr>
          <w:p>
            <w:pPr>
              <w:spacing w:after="0"/>
              <w:rPr>
                <w:sz w:val="11"/>
                <w:szCs w:val="11"/>
                <w:color w:val="auto"/>
              </w:rPr>
            </w:pPr>
          </w:p>
        </w:tc>
        <w:tc>
          <w:tcPr>
            <w:tcW w:w="80" w:type="dxa"/>
            <w:vAlign w:val="bottom"/>
            <w:tcBorders>
              <w:top w:val="single" w:sz="8" w:color="CCEEFF"/>
            </w:tcBorders>
            <w:shd w:val="clear" w:color="auto" w:fill="CCEEFF"/>
          </w:tcPr>
          <w:p>
            <w:pPr>
              <w:spacing w:after="0"/>
              <w:rPr>
                <w:sz w:val="11"/>
                <w:szCs w:val="11"/>
                <w:color w:val="auto"/>
              </w:rPr>
            </w:pPr>
          </w:p>
        </w:tc>
        <w:tc>
          <w:tcPr>
            <w:tcW w:w="1000" w:type="dxa"/>
            <w:vAlign w:val="bottom"/>
            <w:tcBorders>
              <w:top w:val="single" w:sz="8" w:color="auto"/>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c>
          <w:tcPr>
            <w:tcW w:w="1220" w:type="dxa"/>
            <w:vAlign w:val="bottom"/>
            <w:tcBorders>
              <w:top w:val="single" w:sz="8" w:color="auto"/>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c>
          <w:tcPr>
            <w:tcW w:w="960" w:type="dxa"/>
            <w:vAlign w:val="bottom"/>
            <w:tcBorders>
              <w:top w:val="single" w:sz="8" w:color="auto"/>
            </w:tcBorders>
            <w:shd w:val="clear" w:color="auto" w:fill="CCEEFF"/>
          </w:tcPr>
          <w:p>
            <w:pPr>
              <w:spacing w:after="0"/>
              <w:rPr>
                <w:sz w:val="11"/>
                <w:szCs w:val="11"/>
                <w:color w:val="auto"/>
              </w:rPr>
            </w:pPr>
          </w:p>
        </w:tc>
        <w:tc>
          <w:tcPr>
            <w:tcW w:w="80" w:type="dxa"/>
            <w:vAlign w:val="bottom"/>
            <w:tcBorders>
              <w:top w:val="single" w:sz="8" w:color="CCEEFF"/>
            </w:tcBorders>
            <w:shd w:val="clear" w:color="auto" w:fill="CCEEFF"/>
          </w:tcPr>
          <w:p>
            <w:pPr>
              <w:spacing w:after="0"/>
              <w:rPr>
                <w:sz w:val="11"/>
                <w:szCs w:val="11"/>
                <w:color w:val="auto"/>
              </w:rPr>
            </w:pPr>
          </w:p>
        </w:tc>
        <w:tc>
          <w:tcPr>
            <w:tcW w:w="60" w:type="dxa"/>
            <w:vAlign w:val="bottom"/>
            <w:tcBorders>
              <w:top w:val="single" w:sz="8" w:color="auto"/>
            </w:tcBorders>
            <w:shd w:val="clear" w:color="auto" w:fill="CCEEFF"/>
          </w:tcPr>
          <w:p>
            <w:pPr>
              <w:spacing w:after="0"/>
              <w:rPr>
                <w:sz w:val="11"/>
                <w:szCs w:val="11"/>
                <w:color w:val="auto"/>
              </w:rPr>
            </w:pPr>
          </w:p>
        </w:tc>
        <w:tc>
          <w:tcPr>
            <w:tcW w:w="740" w:type="dxa"/>
            <w:vAlign w:val="bottom"/>
            <w:tcBorders>
              <w:top w:val="single" w:sz="8" w:color="auto"/>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c>
          <w:tcPr>
            <w:tcW w:w="940" w:type="dxa"/>
            <w:vAlign w:val="bottom"/>
            <w:tcBorders>
              <w:top w:val="single" w:sz="8" w:color="auto"/>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c>
          <w:tcPr>
            <w:tcW w:w="840" w:type="dxa"/>
            <w:vAlign w:val="bottom"/>
            <w:tcBorders>
              <w:top w:val="single" w:sz="8" w:color="auto"/>
            </w:tcBorders>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4080" w:type="dxa"/>
            <w:vAlign w:val="bottom"/>
          </w:tcPr>
          <w:p>
            <w:pPr>
              <w:ind w:left="100"/>
              <w:spacing w:after="0"/>
              <w:rPr>
                <w:sz w:val="20"/>
                <w:szCs w:val="20"/>
                <w:color w:val="auto"/>
              </w:rPr>
            </w:pPr>
            <w:r>
              <w:rPr>
                <w:rFonts w:ascii="Arial" w:cs="Arial" w:eastAsia="Arial" w:hAnsi="Arial"/>
                <w:sz w:val="10"/>
                <w:szCs w:val="10"/>
                <w:color w:val="auto"/>
              </w:rPr>
              <w:t>Salaries and benefits</w:t>
            </w:r>
          </w:p>
        </w:tc>
        <w:tc>
          <w:tcPr>
            <w:tcW w:w="60" w:type="dxa"/>
            <w:vAlign w:val="bottom"/>
          </w:tcPr>
          <w:p>
            <w:pPr>
              <w:spacing w:after="0"/>
              <w:rPr>
                <w:sz w:val="12"/>
                <w:szCs w:val="12"/>
                <w:color w:val="auto"/>
              </w:rPr>
            </w:pPr>
          </w:p>
        </w:tc>
        <w:tc>
          <w:tcPr>
            <w:tcW w:w="880" w:type="dxa"/>
            <w:vAlign w:val="bottom"/>
          </w:tcPr>
          <w:p>
            <w:pPr>
              <w:jc w:val="right"/>
              <w:spacing w:after="0"/>
              <w:rPr>
                <w:sz w:val="20"/>
                <w:szCs w:val="20"/>
                <w:color w:val="auto"/>
              </w:rPr>
            </w:pPr>
            <w:r>
              <w:rPr>
                <w:rFonts w:ascii="Arial" w:cs="Arial" w:eastAsia="Arial" w:hAnsi="Arial"/>
                <w:sz w:val="10"/>
                <w:szCs w:val="10"/>
                <w:color w:val="auto"/>
              </w:rPr>
              <w:t>58,537</w:t>
            </w:r>
          </w:p>
        </w:tc>
        <w:tc>
          <w:tcPr>
            <w:tcW w:w="80" w:type="dxa"/>
            <w:vAlign w:val="bottom"/>
          </w:tcPr>
          <w:p>
            <w:pPr>
              <w:spacing w:after="0"/>
              <w:rPr>
                <w:sz w:val="12"/>
                <w:szCs w:val="12"/>
                <w:color w:val="auto"/>
              </w:rPr>
            </w:pPr>
          </w:p>
        </w:tc>
        <w:tc>
          <w:tcPr>
            <w:tcW w:w="1000" w:type="dxa"/>
            <w:vAlign w:val="bottom"/>
          </w:tcPr>
          <w:p>
            <w:pPr>
              <w:jc w:val="right"/>
              <w:spacing w:after="0"/>
              <w:rPr>
                <w:sz w:val="20"/>
                <w:szCs w:val="20"/>
                <w:color w:val="auto"/>
              </w:rPr>
            </w:pPr>
            <w:r>
              <w:rPr>
                <w:rFonts w:ascii="Arial" w:cs="Arial" w:eastAsia="Arial" w:hAnsi="Arial"/>
                <w:sz w:val="10"/>
                <w:szCs w:val="10"/>
                <w:color w:val="auto"/>
              </w:rPr>
              <w:t>19,067</w:t>
            </w:r>
          </w:p>
        </w:tc>
        <w:tc>
          <w:tcPr>
            <w:tcW w:w="100" w:type="dxa"/>
            <w:vAlign w:val="bottom"/>
          </w:tcPr>
          <w:p>
            <w:pPr>
              <w:spacing w:after="0"/>
              <w:rPr>
                <w:sz w:val="12"/>
                <w:szCs w:val="12"/>
                <w:color w:val="auto"/>
              </w:rPr>
            </w:pPr>
          </w:p>
        </w:tc>
        <w:tc>
          <w:tcPr>
            <w:tcW w:w="1220" w:type="dxa"/>
            <w:vAlign w:val="bottom"/>
          </w:tcPr>
          <w:p>
            <w:pPr>
              <w:jc w:val="right"/>
              <w:spacing w:after="0"/>
              <w:rPr>
                <w:sz w:val="20"/>
                <w:szCs w:val="20"/>
                <w:color w:val="auto"/>
              </w:rPr>
            </w:pPr>
            <w:r>
              <w:rPr>
                <w:rFonts w:ascii="Arial" w:cs="Arial" w:eastAsia="Arial" w:hAnsi="Arial"/>
                <w:sz w:val="10"/>
                <w:szCs w:val="10"/>
                <w:color w:val="auto"/>
              </w:rPr>
              <w:t>4,063</w:t>
            </w:r>
          </w:p>
        </w:tc>
        <w:tc>
          <w:tcPr>
            <w:tcW w:w="100" w:type="dxa"/>
            <w:vAlign w:val="bottom"/>
          </w:tcPr>
          <w:p>
            <w:pPr>
              <w:spacing w:after="0"/>
              <w:rPr>
                <w:sz w:val="12"/>
                <w:szCs w:val="12"/>
                <w:color w:val="auto"/>
              </w:rPr>
            </w:pPr>
          </w:p>
        </w:tc>
        <w:tc>
          <w:tcPr>
            <w:tcW w:w="960" w:type="dxa"/>
            <w:vAlign w:val="bottom"/>
          </w:tcPr>
          <w:p>
            <w:pPr>
              <w:jc w:val="right"/>
              <w:spacing w:after="0"/>
              <w:rPr>
                <w:sz w:val="20"/>
                <w:szCs w:val="20"/>
                <w:color w:val="auto"/>
              </w:rPr>
            </w:pPr>
            <w:r>
              <w:rPr>
                <w:rFonts w:ascii="Arial" w:cs="Arial" w:eastAsia="Arial" w:hAnsi="Arial"/>
                <w:sz w:val="10"/>
                <w:szCs w:val="10"/>
                <w:color w:val="auto"/>
              </w:rPr>
              <w:t>382</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jc w:val="right"/>
              <w:spacing w:after="0"/>
              <w:rPr>
                <w:sz w:val="20"/>
                <w:szCs w:val="20"/>
                <w:color w:val="auto"/>
              </w:rPr>
            </w:pPr>
            <w:r>
              <w:rPr>
                <w:rFonts w:ascii="Arial" w:cs="Arial" w:eastAsia="Arial" w:hAnsi="Arial"/>
                <w:sz w:val="10"/>
                <w:szCs w:val="10"/>
                <w:color w:val="auto"/>
              </w:rPr>
              <w:t>14,594</w:t>
            </w:r>
          </w:p>
        </w:tc>
        <w:tc>
          <w:tcPr>
            <w:tcW w:w="100" w:type="dxa"/>
            <w:vAlign w:val="bottom"/>
          </w:tcPr>
          <w:p>
            <w:pPr>
              <w:spacing w:after="0"/>
              <w:rPr>
                <w:sz w:val="12"/>
                <w:szCs w:val="12"/>
                <w:color w:val="auto"/>
              </w:rPr>
            </w:pPr>
          </w:p>
        </w:tc>
        <w:tc>
          <w:tcPr>
            <w:tcW w:w="1040" w:type="dxa"/>
            <w:vAlign w:val="bottom"/>
            <w:gridSpan w:val="2"/>
          </w:tcPr>
          <w:p>
            <w:pPr>
              <w:ind w:left="800"/>
              <w:spacing w:after="0"/>
              <w:rPr>
                <w:sz w:val="20"/>
                <w:szCs w:val="20"/>
                <w:color w:val="auto"/>
              </w:rPr>
            </w:pPr>
            <w:r>
              <w:rPr>
                <w:rFonts w:ascii="Arial" w:cs="Arial" w:eastAsia="Arial" w:hAnsi="Arial"/>
                <w:sz w:val="10"/>
                <w:szCs w:val="10"/>
                <w:color w:val="auto"/>
              </w:rPr>
              <w:t>—</w:t>
            </w:r>
          </w:p>
        </w:tc>
        <w:tc>
          <w:tcPr>
            <w:tcW w:w="840" w:type="dxa"/>
            <w:vAlign w:val="bottom"/>
          </w:tcPr>
          <w:p>
            <w:pPr>
              <w:jc w:val="right"/>
              <w:spacing w:after="0"/>
              <w:rPr>
                <w:sz w:val="20"/>
                <w:szCs w:val="20"/>
                <w:color w:val="auto"/>
              </w:rPr>
            </w:pPr>
            <w:r>
              <w:rPr>
                <w:rFonts w:ascii="Arial" w:cs="Arial" w:eastAsia="Arial" w:hAnsi="Arial"/>
                <w:sz w:val="10"/>
                <w:szCs w:val="10"/>
                <w:color w:val="auto"/>
              </w:rPr>
              <w:t>96,643</w:t>
            </w:r>
          </w:p>
        </w:tc>
        <w:tc>
          <w:tcPr>
            <w:tcW w:w="0" w:type="dxa"/>
            <w:vAlign w:val="bottom"/>
          </w:tcPr>
          <w:p>
            <w:pPr>
              <w:spacing w:after="0"/>
              <w:rPr>
                <w:sz w:val="1"/>
                <w:szCs w:val="1"/>
                <w:color w:val="auto"/>
              </w:rPr>
            </w:pPr>
          </w:p>
        </w:tc>
      </w:tr>
      <w:tr>
        <w:trPr>
          <w:trHeight w:val="157"/>
        </w:trPr>
        <w:tc>
          <w:tcPr>
            <w:tcW w:w="4080" w:type="dxa"/>
            <w:vAlign w:val="bottom"/>
            <w:shd w:val="clear" w:color="auto" w:fill="CCEEFF"/>
          </w:tcPr>
          <w:p>
            <w:pPr>
              <w:ind w:left="100"/>
              <w:spacing w:after="0"/>
              <w:rPr>
                <w:sz w:val="20"/>
                <w:szCs w:val="20"/>
                <w:color w:val="auto"/>
              </w:rPr>
            </w:pPr>
            <w:r>
              <w:rPr>
                <w:rFonts w:ascii="Arial" w:cs="Arial" w:eastAsia="Arial" w:hAnsi="Arial"/>
                <w:sz w:val="10"/>
                <w:szCs w:val="10"/>
                <w:color w:val="auto"/>
              </w:rPr>
              <w:t>Depreciation and amortization</w:t>
            </w:r>
          </w:p>
        </w:tc>
        <w:tc>
          <w:tcPr>
            <w:tcW w:w="60" w:type="dxa"/>
            <w:vAlign w:val="bottom"/>
            <w:shd w:val="clear" w:color="auto" w:fill="CCEEFF"/>
          </w:tcPr>
          <w:p>
            <w:pPr>
              <w:spacing w:after="0"/>
              <w:rPr>
                <w:sz w:val="13"/>
                <w:szCs w:val="13"/>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0"/>
                <w:szCs w:val="10"/>
                <w:color w:val="auto"/>
              </w:rPr>
              <w:t>6,069</w:t>
            </w:r>
          </w:p>
        </w:tc>
        <w:tc>
          <w:tcPr>
            <w:tcW w:w="80" w:type="dxa"/>
            <w:vAlign w:val="bottom"/>
            <w:shd w:val="clear" w:color="auto" w:fill="CCEEFF"/>
          </w:tcPr>
          <w:p>
            <w:pPr>
              <w:spacing w:after="0"/>
              <w:rPr>
                <w:sz w:val="13"/>
                <w:szCs w:val="13"/>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0"/>
                <w:szCs w:val="10"/>
                <w:color w:val="auto"/>
              </w:rPr>
              <w:t>3,341</w:t>
            </w:r>
          </w:p>
        </w:tc>
        <w:tc>
          <w:tcPr>
            <w:tcW w:w="100" w:type="dxa"/>
            <w:vAlign w:val="bottom"/>
            <w:shd w:val="clear" w:color="auto" w:fill="CCEEFF"/>
          </w:tcPr>
          <w:p>
            <w:pPr>
              <w:spacing w:after="0"/>
              <w:rPr>
                <w:sz w:val="13"/>
                <w:szCs w:val="13"/>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0"/>
                <w:szCs w:val="10"/>
                <w:color w:val="auto"/>
              </w:rPr>
              <w:t>4,921</w:t>
            </w:r>
          </w:p>
        </w:tc>
        <w:tc>
          <w:tcPr>
            <w:tcW w:w="100" w:type="dxa"/>
            <w:vAlign w:val="bottom"/>
            <w:shd w:val="clear" w:color="auto" w:fill="CCEEFF"/>
          </w:tcPr>
          <w:p>
            <w:pPr>
              <w:spacing w:after="0"/>
              <w:rPr>
                <w:sz w:val="13"/>
                <w:szCs w:val="13"/>
                <w:color w:val="auto"/>
              </w:rPr>
            </w:pPr>
          </w:p>
        </w:tc>
        <w:tc>
          <w:tcPr>
            <w:tcW w:w="1100" w:type="dxa"/>
            <w:vAlign w:val="bottom"/>
            <w:gridSpan w:val="3"/>
            <w:shd w:val="clear" w:color="auto" w:fill="CCEEFF"/>
          </w:tcPr>
          <w:p>
            <w:pPr>
              <w:jc w:val="right"/>
              <w:ind w:right="180"/>
              <w:spacing w:after="0"/>
              <w:rPr>
                <w:sz w:val="20"/>
                <w:szCs w:val="20"/>
                <w:color w:val="auto"/>
              </w:rPr>
            </w:pPr>
            <w:r>
              <w:rPr>
                <w:rFonts w:ascii="Arial" w:cs="Arial" w:eastAsia="Arial" w:hAnsi="Arial"/>
                <w:sz w:val="10"/>
                <w:szCs w:val="10"/>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0"/>
                <w:szCs w:val="10"/>
                <w:color w:val="auto"/>
              </w:rPr>
              <w:t>4,126</w:t>
            </w:r>
          </w:p>
        </w:tc>
        <w:tc>
          <w:tcPr>
            <w:tcW w:w="100" w:type="dxa"/>
            <w:vAlign w:val="bottom"/>
            <w:shd w:val="clear" w:color="auto" w:fill="CCEEFF"/>
          </w:tcPr>
          <w:p>
            <w:pPr>
              <w:spacing w:after="0"/>
              <w:rPr>
                <w:sz w:val="13"/>
                <w:szCs w:val="13"/>
                <w:color w:val="auto"/>
              </w:rPr>
            </w:pPr>
          </w:p>
        </w:tc>
        <w:tc>
          <w:tcPr>
            <w:tcW w:w="1040" w:type="dxa"/>
            <w:vAlign w:val="bottom"/>
            <w:gridSpan w:val="2"/>
            <w:shd w:val="clear" w:color="auto" w:fill="CCEEFF"/>
          </w:tcPr>
          <w:p>
            <w:pPr>
              <w:ind w:left="800"/>
              <w:spacing w:after="0"/>
              <w:rPr>
                <w:sz w:val="20"/>
                <w:szCs w:val="20"/>
                <w:color w:val="auto"/>
              </w:rPr>
            </w:pPr>
            <w:r>
              <w:rPr>
                <w:rFonts w:ascii="Arial" w:cs="Arial" w:eastAsia="Arial" w:hAnsi="Arial"/>
                <w:sz w:val="10"/>
                <w:szCs w:val="10"/>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0"/>
                <w:szCs w:val="10"/>
                <w:color w:val="auto"/>
              </w:rPr>
              <w:t>18,457</w:t>
            </w:r>
          </w:p>
        </w:tc>
        <w:tc>
          <w:tcPr>
            <w:tcW w:w="0" w:type="dxa"/>
            <w:vAlign w:val="bottom"/>
          </w:tcPr>
          <w:p>
            <w:pPr>
              <w:spacing w:after="0"/>
              <w:rPr>
                <w:sz w:val="1"/>
                <w:szCs w:val="1"/>
                <w:color w:val="auto"/>
              </w:rPr>
            </w:pPr>
          </w:p>
        </w:tc>
      </w:tr>
      <w:tr>
        <w:trPr>
          <w:trHeight w:val="144"/>
        </w:trPr>
        <w:tc>
          <w:tcPr>
            <w:tcW w:w="4080" w:type="dxa"/>
            <w:vAlign w:val="bottom"/>
          </w:tcPr>
          <w:p>
            <w:pPr>
              <w:ind w:left="100"/>
              <w:spacing w:after="0"/>
              <w:rPr>
                <w:sz w:val="20"/>
                <w:szCs w:val="20"/>
                <w:color w:val="auto"/>
              </w:rPr>
            </w:pPr>
            <w:r>
              <w:rPr>
                <w:rFonts w:ascii="Arial" w:cs="Arial" w:eastAsia="Arial" w:hAnsi="Arial"/>
                <w:sz w:val="10"/>
                <w:szCs w:val="10"/>
                <w:color w:val="auto"/>
              </w:rPr>
              <w:t>Loan servicing fees to third parties</w:t>
            </w:r>
          </w:p>
        </w:tc>
        <w:tc>
          <w:tcPr>
            <w:tcW w:w="60" w:type="dxa"/>
            <w:vAlign w:val="bottom"/>
          </w:tcPr>
          <w:p>
            <w:pPr>
              <w:spacing w:after="0"/>
              <w:rPr>
                <w:sz w:val="12"/>
                <w:szCs w:val="12"/>
                <w:color w:val="auto"/>
              </w:rPr>
            </w:pPr>
          </w:p>
        </w:tc>
        <w:tc>
          <w:tcPr>
            <w:tcW w:w="960" w:type="dxa"/>
            <w:vAlign w:val="bottom"/>
            <w:gridSpan w:val="2"/>
          </w:tcPr>
          <w:p>
            <w:pPr>
              <w:jc w:val="right"/>
              <w:ind w:right="120"/>
              <w:spacing w:after="0"/>
              <w:rPr>
                <w:sz w:val="20"/>
                <w:szCs w:val="20"/>
                <w:color w:val="auto"/>
              </w:rPr>
            </w:pPr>
            <w:r>
              <w:rPr>
                <w:rFonts w:ascii="Arial" w:cs="Arial" w:eastAsia="Arial" w:hAnsi="Arial"/>
                <w:sz w:val="10"/>
                <w:szCs w:val="10"/>
                <w:color w:val="auto"/>
              </w:rPr>
              <w:t>—</w:t>
            </w:r>
          </w:p>
        </w:tc>
        <w:tc>
          <w:tcPr>
            <w:tcW w:w="1100" w:type="dxa"/>
            <w:vAlign w:val="bottom"/>
            <w:gridSpan w:val="2"/>
          </w:tcPr>
          <w:p>
            <w:pPr>
              <w:jc w:val="right"/>
              <w:ind w:right="140"/>
              <w:spacing w:after="0"/>
              <w:rPr>
                <w:sz w:val="20"/>
                <w:szCs w:val="20"/>
                <w:color w:val="auto"/>
              </w:rPr>
            </w:pPr>
            <w:r>
              <w:rPr>
                <w:rFonts w:ascii="Arial" w:cs="Arial" w:eastAsia="Arial" w:hAnsi="Arial"/>
                <w:sz w:val="10"/>
                <w:szCs w:val="10"/>
                <w:color w:val="auto"/>
              </w:rPr>
              <w:t>—</w:t>
            </w:r>
          </w:p>
        </w:tc>
        <w:tc>
          <w:tcPr>
            <w:tcW w:w="1320" w:type="dxa"/>
            <w:vAlign w:val="bottom"/>
            <w:gridSpan w:val="2"/>
          </w:tcPr>
          <w:p>
            <w:pPr>
              <w:jc w:val="right"/>
              <w:ind w:right="140"/>
              <w:spacing w:after="0"/>
              <w:rPr>
                <w:sz w:val="20"/>
                <w:szCs w:val="20"/>
                <w:color w:val="auto"/>
              </w:rPr>
            </w:pPr>
            <w:r>
              <w:rPr>
                <w:rFonts w:ascii="Arial" w:cs="Arial" w:eastAsia="Arial" w:hAnsi="Arial"/>
                <w:sz w:val="10"/>
                <w:szCs w:val="10"/>
                <w:color w:val="auto"/>
              </w:rPr>
              <w:t>—</w:t>
            </w:r>
          </w:p>
        </w:tc>
        <w:tc>
          <w:tcPr>
            <w:tcW w:w="960" w:type="dxa"/>
            <w:vAlign w:val="bottom"/>
          </w:tcPr>
          <w:p>
            <w:pPr>
              <w:jc w:val="right"/>
              <w:spacing w:after="0"/>
              <w:rPr>
                <w:sz w:val="20"/>
                <w:szCs w:val="20"/>
                <w:color w:val="auto"/>
              </w:rPr>
            </w:pPr>
            <w:r>
              <w:rPr>
                <w:rFonts w:ascii="Arial" w:cs="Arial" w:eastAsia="Arial" w:hAnsi="Arial"/>
                <w:sz w:val="10"/>
                <w:szCs w:val="10"/>
                <w:color w:val="auto"/>
              </w:rPr>
              <w:t>3,136</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0"/>
                <w:szCs w:val="10"/>
                <w:color w:val="auto"/>
              </w:rPr>
              <w:t>—</w:t>
            </w:r>
          </w:p>
        </w:tc>
        <w:tc>
          <w:tcPr>
            <w:tcW w:w="1040" w:type="dxa"/>
            <w:vAlign w:val="bottom"/>
            <w:gridSpan w:val="2"/>
          </w:tcPr>
          <w:p>
            <w:pPr>
              <w:ind w:left="800"/>
              <w:spacing w:after="0"/>
              <w:rPr>
                <w:sz w:val="20"/>
                <w:szCs w:val="20"/>
                <w:color w:val="auto"/>
              </w:rPr>
            </w:pPr>
            <w:r>
              <w:rPr>
                <w:rFonts w:ascii="Arial" w:cs="Arial" w:eastAsia="Arial" w:hAnsi="Arial"/>
                <w:sz w:val="10"/>
                <w:szCs w:val="10"/>
                <w:color w:val="auto"/>
              </w:rPr>
              <w:t>—</w:t>
            </w:r>
          </w:p>
        </w:tc>
        <w:tc>
          <w:tcPr>
            <w:tcW w:w="840" w:type="dxa"/>
            <w:vAlign w:val="bottom"/>
          </w:tcPr>
          <w:p>
            <w:pPr>
              <w:jc w:val="right"/>
              <w:spacing w:after="0"/>
              <w:rPr>
                <w:sz w:val="20"/>
                <w:szCs w:val="20"/>
                <w:color w:val="auto"/>
              </w:rPr>
            </w:pPr>
            <w:r>
              <w:rPr>
                <w:rFonts w:ascii="Arial" w:cs="Arial" w:eastAsia="Arial" w:hAnsi="Arial"/>
                <w:sz w:val="10"/>
                <w:szCs w:val="10"/>
                <w:color w:val="auto"/>
              </w:rPr>
              <w:t>3,136</w:t>
            </w:r>
          </w:p>
        </w:tc>
        <w:tc>
          <w:tcPr>
            <w:tcW w:w="0" w:type="dxa"/>
            <w:vAlign w:val="bottom"/>
          </w:tcPr>
          <w:p>
            <w:pPr>
              <w:spacing w:after="0"/>
              <w:rPr>
                <w:sz w:val="1"/>
                <w:szCs w:val="1"/>
                <w:color w:val="auto"/>
              </w:rPr>
            </w:pPr>
          </w:p>
        </w:tc>
      </w:tr>
      <w:tr>
        <w:trPr>
          <w:trHeight w:val="157"/>
        </w:trPr>
        <w:tc>
          <w:tcPr>
            <w:tcW w:w="4080" w:type="dxa"/>
            <w:vAlign w:val="bottom"/>
            <w:shd w:val="clear" w:color="auto" w:fill="CCEEFF"/>
          </w:tcPr>
          <w:p>
            <w:pPr>
              <w:ind w:left="100"/>
              <w:spacing w:after="0"/>
              <w:rPr>
                <w:sz w:val="20"/>
                <w:szCs w:val="20"/>
                <w:color w:val="auto"/>
              </w:rPr>
            </w:pPr>
            <w:r>
              <w:rPr>
                <w:rFonts w:ascii="Arial" w:cs="Arial" w:eastAsia="Arial" w:hAnsi="Arial"/>
                <w:sz w:val="10"/>
                <w:szCs w:val="10"/>
                <w:color w:val="auto"/>
              </w:rPr>
              <w:t>Other expenses</w:t>
            </w:r>
          </w:p>
        </w:tc>
        <w:tc>
          <w:tcPr>
            <w:tcW w:w="60" w:type="dxa"/>
            <w:vAlign w:val="bottom"/>
            <w:shd w:val="clear" w:color="auto" w:fill="CCEEFF"/>
          </w:tcPr>
          <w:p>
            <w:pPr>
              <w:spacing w:after="0"/>
              <w:rPr>
                <w:sz w:val="13"/>
                <w:szCs w:val="13"/>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0"/>
                <w:szCs w:val="10"/>
                <w:color w:val="auto"/>
              </w:rPr>
              <w:t>14,463</w:t>
            </w:r>
          </w:p>
        </w:tc>
        <w:tc>
          <w:tcPr>
            <w:tcW w:w="80" w:type="dxa"/>
            <w:vAlign w:val="bottom"/>
            <w:shd w:val="clear" w:color="auto" w:fill="CCEEFF"/>
          </w:tcPr>
          <w:p>
            <w:pPr>
              <w:spacing w:after="0"/>
              <w:rPr>
                <w:sz w:val="13"/>
                <w:szCs w:val="13"/>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0"/>
                <w:szCs w:val="10"/>
                <w:color w:val="auto"/>
              </w:rPr>
              <w:t>4,624</w:t>
            </w:r>
          </w:p>
        </w:tc>
        <w:tc>
          <w:tcPr>
            <w:tcW w:w="100" w:type="dxa"/>
            <w:vAlign w:val="bottom"/>
            <w:shd w:val="clear" w:color="auto" w:fill="CCEEFF"/>
          </w:tcPr>
          <w:p>
            <w:pPr>
              <w:spacing w:after="0"/>
              <w:rPr>
                <w:sz w:val="13"/>
                <w:szCs w:val="13"/>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0"/>
                <w:szCs w:val="10"/>
                <w:color w:val="auto"/>
              </w:rPr>
              <w:t>2,638</w:t>
            </w:r>
          </w:p>
        </w:tc>
        <w:tc>
          <w:tcPr>
            <w:tcW w:w="100" w:type="dxa"/>
            <w:vAlign w:val="bottom"/>
            <w:shd w:val="clear" w:color="auto" w:fill="CCEEFF"/>
          </w:tcPr>
          <w:p>
            <w:pPr>
              <w:spacing w:after="0"/>
              <w:rPr>
                <w:sz w:val="13"/>
                <w:szCs w:val="13"/>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0"/>
                <w:szCs w:val="10"/>
                <w:color w:val="auto"/>
              </w:rPr>
              <w:t>848</w:t>
            </w:r>
          </w:p>
        </w:tc>
        <w:tc>
          <w:tcPr>
            <w:tcW w:w="8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0"/>
                <w:szCs w:val="10"/>
                <w:color w:val="auto"/>
              </w:rPr>
              <w:t>10,845</w:t>
            </w:r>
          </w:p>
        </w:tc>
        <w:tc>
          <w:tcPr>
            <w:tcW w:w="100" w:type="dxa"/>
            <w:vAlign w:val="bottom"/>
            <w:shd w:val="clear" w:color="auto" w:fill="CCEEFF"/>
          </w:tcPr>
          <w:p>
            <w:pPr>
              <w:spacing w:after="0"/>
              <w:rPr>
                <w:sz w:val="13"/>
                <w:szCs w:val="13"/>
                <w:color w:val="auto"/>
              </w:rPr>
            </w:pPr>
          </w:p>
        </w:tc>
        <w:tc>
          <w:tcPr>
            <w:tcW w:w="1040" w:type="dxa"/>
            <w:vAlign w:val="bottom"/>
            <w:gridSpan w:val="2"/>
            <w:shd w:val="clear" w:color="auto" w:fill="CCEEFF"/>
          </w:tcPr>
          <w:p>
            <w:pPr>
              <w:ind w:left="800"/>
              <w:spacing w:after="0"/>
              <w:rPr>
                <w:sz w:val="20"/>
                <w:szCs w:val="20"/>
                <w:color w:val="auto"/>
              </w:rPr>
            </w:pPr>
            <w:r>
              <w:rPr>
                <w:rFonts w:ascii="Arial" w:cs="Arial" w:eastAsia="Arial" w:hAnsi="Arial"/>
                <w:sz w:val="10"/>
                <w:szCs w:val="10"/>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0"/>
                <w:szCs w:val="10"/>
                <w:color w:val="auto"/>
              </w:rPr>
              <w:t>33,417</w:t>
            </w:r>
          </w:p>
        </w:tc>
        <w:tc>
          <w:tcPr>
            <w:tcW w:w="0" w:type="dxa"/>
            <w:vAlign w:val="bottom"/>
          </w:tcPr>
          <w:p>
            <w:pPr>
              <w:spacing w:after="0"/>
              <w:rPr>
                <w:sz w:val="1"/>
                <w:szCs w:val="1"/>
                <w:color w:val="auto"/>
              </w:rPr>
            </w:pPr>
          </w:p>
        </w:tc>
      </w:tr>
      <w:tr>
        <w:trPr>
          <w:trHeight w:val="144"/>
        </w:trPr>
        <w:tc>
          <w:tcPr>
            <w:tcW w:w="4080" w:type="dxa"/>
            <w:vAlign w:val="bottom"/>
            <w:tcBorders>
              <w:bottom w:val="single" w:sz="8" w:color="CCEEFF"/>
            </w:tcBorders>
          </w:tcPr>
          <w:p>
            <w:pPr>
              <w:ind w:left="100"/>
              <w:spacing w:after="0"/>
              <w:rPr>
                <w:sz w:val="20"/>
                <w:szCs w:val="20"/>
                <w:color w:val="auto"/>
              </w:rPr>
            </w:pPr>
            <w:r>
              <w:rPr>
                <w:rFonts w:ascii="Arial" w:cs="Arial" w:eastAsia="Arial" w:hAnsi="Arial"/>
                <w:sz w:val="10"/>
                <w:szCs w:val="10"/>
                <w:color w:val="auto"/>
              </w:rPr>
              <w:t>Intersegment expenses, net</w:t>
            </w:r>
          </w:p>
        </w:tc>
        <w:tc>
          <w:tcPr>
            <w:tcW w:w="60" w:type="dxa"/>
            <w:vAlign w:val="bottom"/>
            <w:tcBorders>
              <w:bottom w:val="single" w:sz="8" w:color="auto"/>
            </w:tcBorders>
          </w:tcPr>
          <w:p>
            <w:pPr>
              <w:spacing w:after="0"/>
              <w:rPr>
                <w:sz w:val="12"/>
                <w:szCs w:val="12"/>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13,356</w:t>
            </w:r>
          </w:p>
        </w:tc>
        <w:tc>
          <w:tcPr>
            <w:tcW w:w="80" w:type="dxa"/>
            <w:vAlign w:val="bottom"/>
            <w:tcBorders>
              <w:bottom w:val="single" w:sz="8" w:color="CCEEFF"/>
            </w:tcBorders>
          </w:tcPr>
          <w:p>
            <w:pPr>
              <w:spacing w:after="0"/>
              <w:rPr>
                <w:sz w:val="12"/>
                <w:szCs w:val="12"/>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2,567</w:t>
            </w:r>
          </w:p>
        </w:tc>
        <w:tc>
          <w:tcPr>
            <w:tcW w:w="100" w:type="dxa"/>
            <w:vAlign w:val="bottom"/>
            <w:tcBorders>
              <w:bottom w:val="single" w:sz="8" w:color="CCEEFF"/>
            </w:tcBorders>
          </w:tcPr>
          <w:p>
            <w:pPr>
              <w:spacing w:after="0"/>
              <w:rPr>
                <w:sz w:val="12"/>
                <w:szCs w:val="12"/>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605</w:t>
            </w:r>
          </w:p>
        </w:tc>
        <w:tc>
          <w:tcPr>
            <w:tcW w:w="100" w:type="dxa"/>
            <w:vAlign w:val="bottom"/>
            <w:tcBorders>
              <w:bottom w:val="single" w:sz="8" w:color="CCEEFF"/>
            </w:tcBorders>
          </w:tcPr>
          <w:p>
            <w:pPr>
              <w:spacing w:after="0"/>
              <w:rPr>
                <w:sz w:val="12"/>
                <w:szCs w:val="12"/>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10,865</w:t>
            </w:r>
          </w:p>
        </w:tc>
        <w:tc>
          <w:tcPr>
            <w:tcW w:w="80" w:type="dxa"/>
            <w:vAlign w:val="bottom"/>
            <w:tcBorders>
              <w:bottom w:val="single" w:sz="8" w:color="CCEEFF"/>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(16,622)</w:t>
            </w:r>
          </w:p>
        </w:tc>
        <w:tc>
          <w:tcPr>
            <w:tcW w:w="100" w:type="dxa"/>
            <w:vAlign w:val="bottom"/>
            <w:tcBorders>
              <w:bottom w:val="single" w:sz="8" w:color="CCEEFF"/>
            </w:tcBorders>
          </w:tcPr>
          <w:p>
            <w:pPr>
              <w:spacing w:after="0"/>
              <w:rPr>
                <w:sz w:val="12"/>
                <w:szCs w:val="1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(10,771)</w:t>
            </w:r>
          </w:p>
        </w:tc>
        <w:tc>
          <w:tcPr>
            <w:tcW w:w="100" w:type="dxa"/>
            <w:vAlign w:val="bottom"/>
            <w:tcBorders>
              <w:bottom w:val="single" w:sz="8" w:color="CCEEFF"/>
            </w:tcBorders>
          </w:tcPr>
          <w:p>
            <w:pPr>
              <w:spacing w:after="0"/>
              <w:rPr>
                <w:sz w:val="12"/>
                <w:szCs w:val="12"/>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w:t>
            </w:r>
          </w:p>
        </w:tc>
        <w:tc>
          <w:tcPr>
            <w:tcW w:w="0" w:type="dxa"/>
            <w:vAlign w:val="bottom"/>
          </w:tcPr>
          <w:p>
            <w:pPr>
              <w:spacing w:after="0"/>
              <w:rPr>
                <w:sz w:val="1"/>
                <w:szCs w:val="1"/>
                <w:color w:val="auto"/>
              </w:rPr>
            </w:pPr>
          </w:p>
        </w:tc>
      </w:tr>
      <w:tr>
        <w:trPr>
          <w:trHeight w:val="142"/>
        </w:trPr>
        <w:tc>
          <w:tcPr>
            <w:tcW w:w="4080" w:type="dxa"/>
            <w:vAlign w:val="bottom"/>
            <w:shd w:val="clear" w:color="auto" w:fill="CCEEFF"/>
          </w:tcPr>
          <w:p>
            <w:pPr>
              <w:ind w:left="180"/>
              <w:spacing w:after="0"/>
              <w:rPr>
                <w:sz w:val="20"/>
                <w:szCs w:val="20"/>
                <w:color w:val="auto"/>
              </w:rPr>
            </w:pPr>
            <w:r>
              <w:rPr>
                <w:rFonts w:ascii="Arial" w:cs="Arial" w:eastAsia="Arial" w:hAnsi="Arial"/>
                <w:sz w:val="10"/>
                <w:szCs w:val="10"/>
                <w:color w:val="auto"/>
              </w:rPr>
              <w:t>Total operating expenses</w:t>
            </w:r>
          </w:p>
        </w:tc>
        <w:tc>
          <w:tcPr>
            <w:tcW w:w="60" w:type="dxa"/>
            <w:vAlign w:val="bottom"/>
            <w:tcBorders>
              <w:bottom w:val="single" w:sz="8" w:color="auto"/>
            </w:tcBorders>
            <w:shd w:val="clear" w:color="auto" w:fill="CCEEFF"/>
          </w:tcPr>
          <w:p>
            <w:pPr>
              <w:spacing w:after="0"/>
              <w:rPr>
                <w:sz w:val="12"/>
                <w:szCs w:val="12"/>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92,425</w:t>
            </w:r>
          </w:p>
        </w:tc>
        <w:tc>
          <w:tcPr>
            <w:tcW w:w="80" w:type="dxa"/>
            <w:vAlign w:val="bottom"/>
            <w:shd w:val="clear" w:color="auto" w:fill="CCEEFF"/>
          </w:tcPr>
          <w:p>
            <w:pPr>
              <w:spacing w:after="0"/>
              <w:rPr>
                <w:sz w:val="12"/>
                <w:szCs w:val="12"/>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29,599</w:t>
            </w:r>
          </w:p>
        </w:tc>
        <w:tc>
          <w:tcPr>
            <w:tcW w:w="100" w:type="dxa"/>
            <w:vAlign w:val="bottom"/>
            <w:shd w:val="clear" w:color="auto" w:fill="CCEEFF"/>
          </w:tcPr>
          <w:p>
            <w:pPr>
              <w:spacing w:after="0"/>
              <w:rPr>
                <w:sz w:val="12"/>
                <w:szCs w:val="12"/>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12,227</w:t>
            </w:r>
          </w:p>
        </w:tc>
        <w:tc>
          <w:tcPr>
            <w:tcW w:w="100" w:type="dxa"/>
            <w:vAlign w:val="bottom"/>
            <w:shd w:val="clear" w:color="auto" w:fill="CCEEFF"/>
          </w:tcPr>
          <w:p>
            <w:pPr>
              <w:spacing w:after="0"/>
              <w:rPr>
                <w:sz w:val="12"/>
                <w:szCs w:val="12"/>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15,231</w:t>
            </w:r>
          </w:p>
        </w:tc>
        <w:tc>
          <w:tcPr>
            <w:tcW w:w="8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12,943</w:t>
            </w:r>
          </w:p>
        </w:tc>
        <w:tc>
          <w:tcPr>
            <w:tcW w:w="100" w:type="dxa"/>
            <w:vAlign w:val="bottom"/>
            <w:shd w:val="clear" w:color="auto" w:fill="CCEEFF"/>
          </w:tcPr>
          <w:p>
            <w:pPr>
              <w:spacing w:after="0"/>
              <w:rPr>
                <w:sz w:val="12"/>
                <w:szCs w:val="12"/>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(10,771)</w:t>
            </w:r>
          </w:p>
        </w:tc>
        <w:tc>
          <w:tcPr>
            <w:tcW w:w="100" w:type="dxa"/>
            <w:vAlign w:val="bottom"/>
            <w:shd w:val="clear" w:color="auto" w:fill="CCEEFF"/>
          </w:tcPr>
          <w:p>
            <w:pPr>
              <w:spacing w:after="0"/>
              <w:rPr>
                <w:sz w:val="12"/>
                <w:szCs w:val="12"/>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151,653</w:t>
            </w:r>
          </w:p>
        </w:tc>
        <w:tc>
          <w:tcPr>
            <w:tcW w:w="0" w:type="dxa"/>
            <w:vAlign w:val="bottom"/>
          </w:tcPr>
          <w:p>
            <w:pPr>
              <w:spacing w:after="0"/>
              <w:rPr>
                <w:sz w:val="1"/>
                <w:szCs w:val="1"/>
                <w:color w:val="auto"/>
              </w:rPr>
            </w:pPr>
          </w:p>
        </w:tc>
      </w:tr>
      <w:tr>
        <w:trPr>
          <w:trHeight w:val="142"/>
        </w:trPr>
        <w:tc>
          <w:tcPr>
            <w:tcW w:w="4080" w:type="dxa"/>
            <w:vAlign w:val="bottom"/>
          </w:tcPr>
          <w:p>
            <w:pPr>
              <w:ind w:left="180"/>
              <w:spacing w:after="0"/>
              <w:rPr>
                <w:sz w:val="20"/>
                <w:szCs w:val="20"/>
                <w:color w:val="auto"/>
              </w:rPr>
            </w:pPr>
            <w:r>
              <w:rPr>
                <w:rFonts w:ascii="Arial" w:cs="Arial" w:eastAsia="Arial" w:hAnsi="Arial"/>
                <w:sz w:val="10"/>
                <w:szCs w:val="10"/>
                <w:color w:val="auto"/>
              </w:rPr>
              <w:t>Income (loss) before income taxes</w:t>
            </w:r>
          </w:p>
        </w:tc>
        <w:tc>
          <w:tcPr>
            <w:tcW w:w="60" w:type="dxa"/>
            <w:vAlign w:val="bottom"/>
          </w:tcPr>
          <w:p>
            <w:pPr>
              <w:spacing w:after="0"/>
              <w:rPr>
                <w:sz w:val="12"/>
                <w:szCs w:val="12"/>
                <w:color w:val="auto"/>
              </w:rPr>
            </w:pPr>
          </w:p>
        </w:tc>
        <w:tc>
          <w:tcPr>
            <w:tcW w:w="880" w:type="dxa"/>
            <w:vAlign w:val="bottom"/>
          </w:tcPr>
          <w:p>
            <w:pPr>
              <w:jc w:val="right"/>
              <w:spacing w:after="0"/>
              <w:rPr>
                <w:sz w:val="20"/>
                <w:szCs w:val="20"/>
                <w:color w:val="auto"/>
              </w:rPr>
            </w:pPr>
            <w:r>
              <w:rPr>
                <w:rFonts w:ascii="Arial" w:cs="Arial" w:eastAsia="Arial" w:hAnsi="Arial"/>
                <w:sz w:val="10"/>
                <w:szCs w:val="10"/>
                <w:color w:val="auto"/>
              </w:rPr>
              <w:t>20,036</w:t>
            </w:r>
          </w:p>
        </w:tc>
        <w:tc>
          <w:tcPr>
            <w:tcW w:w="80" w:type="dxa"/>
            <w:vAlign w:val="bottom"/>
          </w:tcPr>
          <w:p>
            <w:pPr>
              <w:spacing w:after="0"/>
              <w:rPr>
                <w:sz w:val="12"/>
                <w:szCs w:val="12"/>
                <w:color w:val="auto"/>
              </w:rPr>
            </w:pPr>
          </w:p>
        </w:tc>
        <w:tc>
          <w:tcPr>
            <w:tcW w:w="1000" w:type="dxa"/>
            <w:vAlign w:val="bottom"/>
          </w:tcPr>
          <w:p>
            <w:pPr>
              <w:jc w:val="right"/>
              <w:spacing w:after="0"/>
              <w:rPr>
                <w:sz w:val="20"/>
                <w:szCs w:val="20"/>
                <w:color w:val="auto"/>
              </w:rPr>
            </w:pPr>
            <w:r>
              <w:rPr>
                <w:rFonts w:ascii="Arial" w:cs="Arial" w:eastAsia="Arial" w:hAnsi="Arial"/>
                <w:sz w:val="10"/>
                <w:szCs w:val="10"/>
                <w:color w:val="auto"/>
              </w:rPr>
              <w:t>17,604</w:t>
            </w:r>
          </w:p>
        </w:tc>
        <w:tc>
          <w:tcPr>
            <w:tcW w:w="100" w:type="dxa"/>
            <w:vAlign w:val="bottom"/>
          </w:tcPr>
          <w:p>
            <w:pPr>
              <w:spacing w:after="0"/>
              <w:rPr>
                <w:sz w:val="12"/>
                <w:szCs w:val="12"/>
                <w:color w:val="auto"/>
              </w:rPr>
            </w:pPr>
          </w:p>
        </w:tc>
        <w:tc>
          <w:tcPr>
            <w:tcW w:w="1220" w:type="dxa"/>
            <w:vAlign w:val="bottom"/>
          </w:tcPr>
          <w:p>
            <w:pPr>
              <w:jc w:val="right"/>
              <w:spacing w:after="0"/>
              <w:rPr>
                <w:sz w:val="20"/>
                <w:szCs w:val="20"/>
                <w:color w:val="auto"/>
              </w:rPr>
            </w:pPr>
            <w:r>
              <w:rPr>
                <w:rFonts w:ascii="Arial" w:cs="Arial" w:eastAsia="Arial" w:hAnsi="Arial"/>
                <w:sz w:val="10"/>
                <w:szCs w:val="10"/>
                <w:color w:val="auto"/>
              </w:rPr>
              <w:t>(9,263)</w:t>
            </w:r>
          </w:p>
        </w:tc>
        <w:tc>
          <w:tcPr>
            <w:tcW w:w="100" w:type="dxa"/>
            <w:vAlign w:val="bottom"/>
          </w:tcPr>
          <w:p>
            <w:pPr>
              <w:spacing w:after="0"/>
              <w:rPr>
                <w:sz w:val="12"/>
                <w:szCs w:val="12"/>
                <w:color w:val="auto"/>
              </w:rPr>
            </w:pPr>
          </w:p>
        </w:tc>
        <w:tc>
          <w:tcPr>
            <w:tcW w:w="960" w:type="dxa"/>
            <w:vAlign w:val="bottom"/>
          </w:tcPr>
          <w:p>
            <w:pPr>
              <w:jc w:val="right"/>
              <w:spacing w:after="0"/>
              <w:rPr>
                <w:sz w:val="20"/>
                <w:szCs w:val="20"/>
                <w:color w:val="auto"/>
              </w:rPr>
            </w:pPr>
            <w:r>
              <w:rPr>
                <w:rFonts w:ascii="Arial" w:cs="Arial" w:eastAsia="Arial" w:hAnsi="Arial"/>
                <w:sz w:val="10"/>
                <w:szCs w:val="10"/>
                <w:color w:val="auto"/>
              </w:rPr>
              <w:t>115,718</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jc w:val="right"/>
              <w:spacing w:after="0"/>
              <w:rPr>
                <w:sz w:val="20"/>
                <w:szCs w:val="20"/>
                <w:color w:val="auto"/>
              </w:rPr>
            </w:pPr>
            <w:r>
              <w:rPr>
                <w:rFonts w:ascii="Arial" w:cs="Arial" w:eastAsia="Arial" w:hAnsi="Arial"/>
                <w:sz w:val="10"/>
                <w:szCs w:val="10"/>
                <w:color w:val="auto"/>
              </w:rPr>
              <w:t>5,066</w:t>
            </w:r>
          </w:p>
        </w:tc>
        <w:tc>
          <w:tcPr>
            <w:tcW w:w="100" w:type="dxa"/>
            <w:vAlign w:val="bottom"/>
          </w:tcPr>
          <w:p>
            <w:pPr>
              <w:spacing w:after="0"/>
              <w:rPr>
                <w:sz w:val="12"/>
                <w:szCs w:val="12"/>
                <w:color w:val="auto"/>
              </w:rPr>
            </w:pPr>
          </w:p>
        </w:tc>
        <w:tc>
          <w:tcPr>
            <w:tcW w:w="1040" w:type="dxa"/>
            <w:vAlign w:val="bottom"/>
            <w:gridSpan w:val="2"/>
          </w:tcPr>
          <w:p>
            <w:pPr>
              <w:ind w:left="800"/>
              <w:spacing w:after="0"/>
              <w:rPr>
                <w:sz w:val="20"/>
                <w:szCs w:val="20"/>
                <w:color w:val="auto"/>
              </w:rPr>
            </w:pPr>
            <w:r>
              <w:rPr>
                <w:rFonts w:ascii="Arial" w:cs="Arial" w:eastAsia="Arial" w:hAnsi="Arial"/>
                <w:sz w:val="10"/>
                <w:szCs w:val="10"/>
                <w:color w:val="auto"/>
              </w:rPr>
              <w:t>—</w:t>
            </w:r>
          </w:p>
        </w:tc>
        <w:tc>
          <w:tcPr>
            <w:tcW w:w="840" w:type="dxa"/>
            <w:vAlign w:val="bottom"/>
          </w:tcPr>
          <w:p>
            <w:pPr>
              <w:jc w:val="right"/>
              <w:spacing w:after="0"/>
              <w:rPr>
                <w:sz w:val="20"/>
                <w:szCs w:val="20"/>
                <w:color w:val="auto"/>
              </w:rPr>
            </w:pPr>
            <w:r>
              <w:rPr>
                <w:rFonts w:ascii="Arial" w:cs="Arial" w:eastAsia="Arial" w:hAnsi="Arial"/>
                <w:sz w:val="10"/>
                <w:szCs w:val="10"/>
                <w:color w:val="auto"/>
              </w:rPr>
              <w:t>149,161</w:t>
            </w:r>
          </w:p>
        </w:tc>
        <w:tc>
          <w:tcPr>
            <w:tcW w:w="0" w:type="dxa"/>
            <w:vAlign w:val="bottom"/>
          </w:tcPr>
          <w:p>
            <w:pPr>
              <w:spacing w:after="0"/>
              <w:rPr>
                <w:sz w:val="1"/>
                <w:szCs w:val="1"/>
                <w:color w:val="auto"/>
              </w:rPr>
            </w:pPr>
          </w:p>
        </w:tc>
      </w:tr>
      <w:tr>
        <w:trPr>
          <w:trHeight w:val="151"/>
        </w:trPr>
        <w:tc>
          <w:tcPr>
            <w:tcW w:w="4080" w:type="dxa"/>
            <w:vAlign w:val="bottom"/>
            <w:shd w:val="clear" w:color="auto" w:fill="CCEEFF"/>
          </w:tcPr>
          <w:p>
            <w:pPr>
              <w:ind w:left="20"/>
              <w:spacing w:after="0"/>
              <w:rPr>
                <w:sz w:val="20"/>
                <w:szCs w:val="20"/>
                <w:color w:val="auto"/>
              </w:rPr>
            </w:pPr>
            <w:r>
              <w:rPr>
                <w:rFonts w:ascii="Arial" w:cs="Arial" w:eastAsia="Arial" w:hAnsi="Arial"/>
                <w:sz w:val="10"/>
                <w:szCs w:val="10"/>
                <w:color w:val="auto"/>
              </w:rPr>
              <w:t>Income tax (expense) benefit</w:t>
            </w:r>
          </w:p>
        </w:tc>
        <w:tc>
          <w:tcPr>
            <w:tcW w:w="60" w:type="dxa"/>
            <w:vAlign w:val="bottom"/>
            <w:tcBorders>
              <w:bottom w:val="single" w:sz="8" w:color="auto"/>
            </w:tcBorders>
            <w:shd w:val="clear" w:color="auto" w:fill="CCEEFF"/>
          </w:tcPr>
          <w:p>
            <w:pPr>
              <w:spacing w:after="0"/>
              <w:rPr>
                <w:sz w:val="13"/>
                <w:szCs w:val="13"/>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(5,003)</w:t>
            </w:r>
          </w:p>
        </w:tc>
        <w:tc>
          <w:tcPr>
            <w:tcW w:w="80" w:type="dxa"/>
            <w:vAlign w:val="bottom"/>
            <w:shd w:val="clear" w:color="auto" w:fill="CCEEFF"/>
          </w:tcPr>
          <w:p>
            <w:pPr>
              <w:spacing w:after="0"/>
              <w:rPr>
                <w:sz w:val="13"/>
                <w:szCs w:val="13"/>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(4,225)</w:t>
            </w:r>
          </w:p>
        </w:tc>
        <w:tc>
          <w:tcPr>
            <w:tcW w:w="100" w:type="dxa"/>
            <w:vAlign w:val="bottom"/>
            <w:shd w:val="clear" w:color="auto" w:fill="CCEEFF"/>
          </w:tcPr>
          <w:p>
            <w:pPr>
              <w:spacing w:after="0"/>
              <w:rPr>
                <w:sz w:val="13"/>
                <w:szCs w:val="13"/>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2,223</w:t>
            </w:r>
          </w:p>
        </w:tc>
        <w:tc>
          <w:tcPr>
            <w:tcW w:w="100" w:type="dxa"/>
            <w:vAlign w:val="bottom"/>
            <w:shd w:val="clear" w:color="auto" w:fill="CCEEFF"/>
          </w:tcPr>
          <w:p>
            <w:pPr>
              <w:spacing w:after="0"/>
              <w:rPr>
                <w:sz w:val="13"/>
                <w:szCs w:val="13"/>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(27,773)</w:t>
            </w:r>
          </w:p>
        </w:tc>
        <w:tc>
          <w:tcPr>
            <w:tcW w:w="80" w:type="dxa"/>
            <w:vAlign w:val="bottom"/>
            <w:shd w:val="clear" w:color="auto" w:fill="CCEEFF"/>
          </w:tcPr>
          <w:p>
            <w:pPr>
              <w:spacing w:after="0"/>
              <w:rPr>
                <w:sz w:val="13"/>
                <w:szCs w:val="13"/>
                <w:color w:val="auto"/>
              </w:rPr>
            </w:pPr>
          </w:p>
        </w:tc>
        <w:tc>
          <w:tcPr>
            <w:tcW w:w="60" w:type="dxa"/>
            <w:vAlign w:val="bottom"/>
            <w:tcBorders>
              <w:bottom w:val="single" w:sz="8" w:color="auto"/>
            </w:tcBorders>
            <w:shd w:val="clear" w:color="auto" w:fill="CCEEFF"/>
          </w:tcPr>
          <w:p>
            <w:pPr>
              <w:spacing w:after="0"/>
              <w:rPr>
                <w:sz w:val="13"/>
                <w:szCs w:val="13"/>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(1,199)</w:t>
            </w:r>
          </w:p>
        </w:tc>
        <w:tc>
          <w:tcPr>
            <w:tcW w:w="100" w:type="dxa"/>
            <w:vAlign w:val="bottom"/>
            <w:shd w:val="clear" w:color="auto" w:fill="CCEEFF"/>
          </w:tcPr>
          <w:p>
            <w:pPr>
              <w:spacing w:after="0"/>
              <w:rPr>
                <w:sz w:val="13"/>
                <w:szCs w:val="13"/>
                <w:color w:val="auto"/>
              </w:rPr>
            </w:pPr>
          </w:p>
        </w:tc>
        <w:tc>
          <w:tcPr>
            <w:tcW w:w="940" w:type="dxa"/>
            <w:vAlign w:val="bottom"/>
            <w:tcBorders>
              <w:bottom w:val="single" w:sz="8" w:color="auto"/>
            </w:tcBorders>
            <w:shd w:val="clear" w:color="auto" w:fill="CCEEFF"/>
          </w:tcPr>
          <w:p>
            <w:pPr>
              <w:ind w:left="800"/>
              <w:spacing w:after="0"/>
              <w:rPr>
                <w:sz w:val="20"/>
                <w:szCs w:val="20"/>
                <w:color w:val="auto"/>
              </w:rPr>
            </w:pPr>
            <w:r>
              <w:rPr>
                <w:rFonts w:ascii="Arial" w:cs="Arial" w:eastAsia="Arial" w:hAnsi="Arial"/>
                <w:sz w:val="10"/>
                <w:szCs w:val="10"/>
                <w:color w:val="auto"/>
              </w:rPr>
              <w:t>—</w:t>
            </w:r>
          </w:p>
        </w:tc>
        <w:tc>
          <w:tcPr>
            <w:tcW w:w="100" w:type="dxa"/>
            <w:vAlign w:val="bottom"/>
            <w:shd w:val="clear" w:color="auto" w:fill="CCEEFF"/>
          </w:tcPr>
          <w:p>
            <w:pPr>
              <w:spacing w:after="0"/>
              <w:rPr>
                <w:sz w:val="13"/>
                <w:szCs w:val="13"/>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(35,976)</w:t>
            </w:r>
          </w:p>
        </w:tc>
        <w:tc>
          <w:tcPr>
            <w:tcW w:w="0" w:type="dxa"/>
            <w:vAlign w:val="bottom"/>
          </w:tcPr>
          <w:p>
            <w:pPr>
              <w:spacing w:after="0"/>
              <w:rPr>
                <w:sz w:val="1"/>
                <w:szCs w:val="1"/>
                <w:color w:val="auto"/>
              </w:rPr>
            </w:pPr>
          </w:p>
        </w:tc>
      </w:tr>
      <w:tr>
        <w:trPr>
          <w:trHeight w:val="142"/>
        </w:trPr>
        <w:tc>
          <w:tcPr>
            <w:tcW w:w="4080" w:type="dxa"/>
            <w:vAlign w:val="bottom"/>
          </w:tcPr>
          <w:p>
            <w:pPr>
              <w:ind w:left="180"/>
              <w:spacing w:after="0"/>
              <w:rPr>
                <w:sz w:val="20"/>
                <w:szCs w:val="20"/>
                <w:color w:val="auto"/>
              </w:rPr>
            </w:pPr>
            <w:r>
              <w:rPr>
                <w:rFonts w:ascii="Arial" w:cs="Arial" w:eastAsia="Arial" w:hAnsi="Arial"/>
                <w:sz w:val="10"/>
                <w:szCs w:val="10"/>
                <w:color w:val="auto"/>
              </w:rPr>
              <w:t>Net income (loss)</w:t>
            </w:r>
          </w:p>
        </w:tc>
        <w:tc>
          <w:tcPr>
            <w:tcW w:w="60" w:type="dxa"/>
            <w:vAlign w:val="bottom"/>
          </w:tcPr>
          <w:p>
            <w:pPr>
              <w:spacing w:after="0"/>
              <w:rPr>
                <w:sz w:val="12"/>
                <w:szCs w:val="12"/>
                <w:color w:val="auto"/>
              </w:rPr>
            </w:pPr>
          </w:p>
        </w:tc>
        <w:tc>
          <w:tcPr>
            <w:tcW w:w="880" w:type="dxa"/>
            <w:vAlign w:val="bottom"/>
          </w:tcPr>
          <w:p>
            <w:pPr>
              <w:jc w:val="right"/>
              <w:spacing w:after="0"/>
              <w:rPr>
                <w:sz w:val="20"/>
                <w:szCs w:val="20"/>
                <w:color w:val="auto"/>
              </w:rPr>
            </w:pPr>
            <w:r>
              <w:rPr>
                <w:rFonts w:ascii="Arial" w:cs="Arial" w:eastAsia="Arial" w:hAnsi="Arial"/>
                <w:sz w:val="10"/>
                <w:szCs w:val="10"/>
                <w:color w:val="auto"/>
              </w:rPr>
              <w:t>15,033</w:t>
            </w:r>
          </w:p>
        </w:tc>
        <w:tc>
          <w:tcPr>
            <w:tcW w:w="80" w:type="dxa"/>
            <w:vAlign w:val="bottom"/>
          </w:tcPr>
          <w:p>
            <w:pPr>
              <w:spacing w:after="0"/>
              <w:rPr>
                <w:sz w:val="12"/>
                <w:szCs w:val="12"/>
                <w:color w:val="auto"/>
              </w:rPr>
            </w:pPr>
          </w:p>
        </w:tc>
        <w:tc>
          <w:tcPr>
            <w:tcW w:w="1000" w:type="dxa"/>
            <w:vAlign w:val="bottom"/>
          </w:tcPr>
          <w:p>
            <w:pPr>
              <w:jc w:val="right"/>
              <w:spacing w:after="0"/>
              <w:rPr>
                <w:sz w:val="20"/>
                <w:szCs w:val="20"/>
                <w:color w:val="auto"/>
              </w:rPr>
            </w:pPr>
            <w:r>
              <w:rPr>
                <w:rFonts w:ascii="Arial" w:cs="Arial" w:eastAsia="Arial" w:hAnsi="Arial"/>
                <w:sz w:val="10"/>
                <w:szCs w:val="10"/>
                <w:color w:val="auto"/>
              </w:rPr>
              <w:t>13,379</w:t>
            </w:r>
          </w:p>
        </w:tc>
        <w:tc>
          <w:tcPr>
            <w:tcW w:w="100" w:type="dxa"/>
            <w:vAlign w:val="bottom"/>
          </w:tcPr>
          <w:p>
            <w:pPr>
              <w:spacing w:after="0"/>
              <w:rPr>
                <w:sz w:val="12"/>
                <w:szCs w:val="12"/>
                <w:color w:val="auto"/>
              </w:rPr>
            </w:pPr>
          </w:p>
        </w:tc>
        <w:tc>
          <w:tcPr>
            <w:tcW w:w="1220" w:type="dxa"/>
            <w:vAlign w:val="bottom"/>
          </w:tcPr>
          <w:p>
            <w:pPr>
              <w:jc w:val="right"/>
              <w:spacing w:after="0"/>
              <w:rPr>
                <w:sz w:val="20"/>
                <w:szCs w:val="20"/>
                <w:color w:val="auto"/>
              </w:rPr>
            </w:pPr>
            <w:r>
              <w:rPr>
                <w:rFonts w:ascii="Arial" w:cs="Arial" w:eastAsia="Arial" w:hAnsi="Arial"/>
                <w:sz w:val="10"/>
                <w:szCs w:val="10"/>
                <w:color w:val="auto"/>
              </w:rPr>
              <w:t>(7,040)</w:t>
            </w:r>
          </w:p>
        </w:tc>
        <w:tc>
          <w:tcPr>
            <w:tcW w:w="100" w:type="dxa"/>
            <w:vAlign w:val="bottom"/>
          </w:tcPr>
          <w:p>
            <w:pPr>
              <w:spacing w:after="0"/>
              <w:rPr>
                <w:sz w:val="12"/>
                <w:szCs w:val="12"/>
                <w:color w:val="auto"/>
              </w:rPr>
            </w:pPr>
          </w:p>
        </w:tc>
        <w:tc>
          <w:tcPr>
            <w:tcW w:w="960" w:type="dxa"/>
            <w:vAlign w:val="bottom"/>
          </w:tcPr>
          <w:p>
            <w:pPr>
              <w:jc w:val="right"/>
              <w:spacing w:after="0"/>
              <w:rPr>
                <w:sz w:val="20"/>
                <w:szCs w:val="20"/>
                <w:color w:val="auto"/>
              </w:rPr>
            </w:pPr>
            <w:r>
              <w:rPr>
                <w:rFonts w:ascii="Arial" w:cs="Arial" w:eastAsia="Arial" w:hAnsi="Arial"/>
                <w:sz w:val="10"/>
                <w:szCs w:val="10"/>
                <w:color w:val="auto"/>
              </w:rPr>
              <w:t>87,945</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jc w:val="right"/>
              <w:spacing w:after="0"/>
              <w:rPr>
                <w:sz w:val="20"/>
                <w:szCs w:val="20"/>
                <w:color w:val="auto"/>
              </w:rPr>
            </w:pPr>
            <w:r>
              <w:rPr>
                <w:rFonts w:ascii="Arial" w:cs="Arial" w:eastAsia="Arial" w:hAnsi="Arial"/>
                <w:sz w:val="10"/>
                <w:szCs w:val="10"/>
                <w:color w:val="auto"/>
              </w:rPr>
              <w:t>3,867</w:t>
            </w:r>
          </w:p>
        </w:tc>
        <w:tc>
          <w:tcPr>
            <w:tcW w:w="100" w:type="dxa"/>
            <w:vAlign w:val="bottom"/>
          </w:tcPr>
          <w:p>
            <w:pPr>
              <w:spacing w:after="0"/>
              <w:rPr>
                <w:sz w:val="12"/>
                <w:szCs w:val="12"/>
                <w:color w:val="auto"/>
              </w:rPr>
            </w:pPr>
          </w:p>
        </w:tc>
        <w:tc>
          <w:tcPr>
            <w:tcW w:w="1040" w:type="dxa"/>
            <w:vAlign w:val="bottom"/>
            <w:gridSpan w:val="2"/>
          </w:tcPr>
          <w:p>
            <w:pPr>
              <w:ind w:left="800"/>
              <w:spacing w:after="0"/>
              <w:rPr>
                <w:sz w:val="20"/>
                <w:szCs w:val="20"/>
                <w:color w:val="auto"/>
              </w:rPr>
            </w:pPr>
            <w:r>
              <w:rPr>
                <w:rFonts w:ascii="Arial" w:cs="Arial" w:eastAsia="Arial" w:hAnsi="Arial"/>
                <w:sz w:val="10"/>
                <w:szCs w:val="10"/>
                <w:color w:val="auto"/>
              </w:rPr>
              <w:t>—</w:t>
            </w:r>
          </w:p>
        </w:tc>
        <w:tc>
          <w:tcPr>
            <w:tcW w:w="840" w:type="dxa"/>
            <w:vAlign w:val="bottom"/>
          </w:tcPr>
          <w:p>
            <w:pPr>
              <w:jc w:val="right"/>
              <w:spacing w:after="0"/>
              <w:rPr>
                <w:sz w:val="20"/>
                <w:szCs w:val="20"/>
                <w:color w:val="auto"/>
              </w:rPr>
            </w:pPr>
            <w:r>
              <w:rPr>
                <w:rFonts w:ascii="Arial" w:cs="Arial" w:eastAsia="Arial" w:hAnsi="Arial"/>
                <w:sz w:val="10"/>
                <w:szCs w:val="10"/>
                <w:color w:val="auto"/>
              </w:rPr>
              <w:t>113,185</w:t>
            </w:r>
          </w:p>
        </w:tc>
        <w:tc>
          <w:tcPr>
            <w:tcW w:w="0" w:type="dxa"/>
            <w:vAlign w:val="bottom"/>
          </w:tcPr>
          <w:p>
            <w:pPr>
              <w:spacing w:after="0"/>
              <w:rPr>
                <w:sz w:val="1"/>
                <w:szCs w:val="1"/>
                <w:color w:val="auto"/>
              </w:rPr>
            </w:pPr>
          </w:p>
        </w:tc>
      </w:tr>
      <w:tr>
        <w:trPr>
          <w:trHeight w:val="151"/>
        </w:trPr>
        <w:tc>
          <w:tcPr>
            <w:tcW w:w="4080" w:type="dxa"/>
            <w:vAlign w:val="bottom"/>
            <w:shd w:val="clear" w:color="auto" w:fill="CCEEFF"/>
          </w:tcPr>
          <w:p>
            <w:pPr>
              <w:ind w:left="140"/>
              <w:spacing w:after="0"/>
              <w:rPr>
                <w:sz w:val="20"/>
                <w:szCs w:val="20"/>
                <w:color w:val="auto"/>
              </w:rPr>
            </w:pPr>
            <w:r>
              <w:rPr>
                <w:rFonts w:ascii="Arial" w:cs="Arial" w:eastAsia="Arial" w:hAnsi="Arial"/>
                <w:sz w:val="10"/>
                <w:szCs w:val="10"/>
                <w:color w:val="auto"/>
              </w:rPr>
              <w:t>Net loss (income) attributable to noncontrolling interests</w:t>
            </w:r>
          </w:p>
        </w:tc>
        <w:tc>
          <w:tcPr>
            <w:tcW w:w="60" w:type="dxa"/>
            <w:vAlign w:val="bottom"/>
            <w:tcBorders>
              <w:bottom w:val="single" w:sz="8" w:color="auto"/>
            </w:tcBorders>
            <w:shd w:val="clear" w:color="auto" w:fill="CCEEFF"/>
          </w:tcPr>
          <w:p>
            <w:pPr>
              <w:spacing w:after="0"/>
              <w:rPr>
                <w:sz w:val="13"/>
                <w:szCs w:val="13"/>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808</w:t>
            </w:r>
          </w:p>
        </w:tc>
        <w:tc>
          <w:tcPr>
            <w:tcW w:w="80" w:type="dxa"/>
            <w:vAlign w:val="bottom"/>
            <w:shd w:val="clear" w:color="auto" w:fill="CCEEFF"/>
          </w:tcPr>
          <w:p>
            <w:pPr>
              <w:spacing w:after="0"/>
              <w:rPr>
                <w:sz w:val="13"/>
                <w:szCs w:val="13"/>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w:t>
            </w:r>
          </w:p>
        </w:tc>
        <w:tc>
          <w:tcPr>
            <w:tcW w:w="100" w:type="dxa"/>
            <w:vAlign w:val="bottom"/>
            <w:shd w:val="clear" w:color="auto" w:fill="CCEEFF"/>
          </w:tcPr>
          <w:p>
            <w:pPr>
              <w:spacing w:after="0"/>
              <w:rPr>
                <w:sz w:val="13"/>
                <w:szCs w:val="13"/>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w:t>
            </w:r>
          </w:p>
        </w:tc>
        <w:tc>
          <w:tcPr>
            <w:tcW w:w="100" w:type="dxa"/>
            <w:vAlign w:val="bottom"/>
            <w:shd w:val="clear" w:color="auto" w:fill="CCEEFF"/>
          </w:tcPr>
          <w:p>
            <w:pPr>
              <w:spacing w:after="0"/>
              <w:rPr>
                <w:sz w:val="13"/>
                <w:szCs w:val="13"/>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w:t>
            </w:r>
          </w:p>
        </w:tc>
        <w:tc>
          <w:tcPr>
            <w:tcW w:w="80" w:type="dxa"/>
            <w:vAlign w:val="bottom"/>
            <w:shd w:val="clear" w:color="auto" w:fill="CCEEFF"/>
          </w:tcPr>
          <w:p>
            <w:pPr>
              <w:spacing w:after="0"/>
              <w:rPr>
                <w:sz w:val="13"/>
                <w:szCs w:val="13"/>
                <w:color w:val="auto"/>
              </w:rPr>
            </w:pPr>
          </w:p>
        </w:tc>
        <w:tc>
          <w:tcPr>
            <w:tcW w:w="60" w:type="dxa"/>
            <w:vAlign w:val="bottom"/>
            <w:tcBorders>
              <w:bottom w:val="single" w:sz="8" w:color="auto"/>
            </w:tcBorders>
            <w:shd w:val="clear" w:color="auto" w:fill="CCEEFF"/>
          </w:tcPr>
          <w:p>
            <w:pPr>
              <w:spacing w:after="0"/>
              <w:rPr>
                <w:sz w:val="13"/>
                <w:szCs w:val="13"/>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(68)</w:t>
            </w:r>
          </w:p>
        </w:tc>
        <w:tc>
          <w:tcPr>
            <w:tcW w:w="100" w:type="dxa"/>
            <w:vAlign w:val="bottom"/>
            <w:shd w:val="clear" w:color="auto" w:fill="CCEEFF"/>
          </w:tcPr>
          <w:p>
            <w:pPr>
              <w:spacing w:after="0"/>
              <w:rPr>
                <w:sz w:val="13"/>
                <w:szCs w:val="13"/>
                <w:color w:val="auto"/>
              </w:rPr>
            </w:pPr>
          </w:p>
        </w:tc>
        <w:tc>
          <w:tcPr>
            <w:tcW w:w="940" w:type="dxa"/>
            <w:vAlign w:val="bottom"/>
            <w:tcBorders>
              <w:bottom w:val="single" w:sz="8" w:color="auto"/>
            </w:tcBorders>
            <w:shd w:val="clear" w:color="auto" w:fill="CCEEFF"/>
          </w:tcPr>
          <w:p>
            <w:pPr>
              <w:ind w:left="800"/>
              <w:spacing w:after="0"/>
              <w:rPr>
                <w:sz w:val="20"/>
                <w:szCs w:val="20"/>
                <w:color w:val="auto"/>
              </w:rPr>
            </w:pPr>
            <w:r>
              <w:rPr>
                <w:rFonts w:ascii="Arial" w:cs="Arial" w:eastAsia="Arial" w:hAnsi="Arial"/>
                <w:sz w:val="10"/>
                <w:szCs w:val="10"/>
                <w:color w:val="auto"/>
              </w:rPr>
              <w:t>—</w:t>
            </w:r>
          </w:p>
        </w:tc>
        <w:tc>
          <w:tcPr>
            <w:tcW w:w="100" w:type="dxa"/>
            <w:vAlign w:val="bottom"/>
            <w:shd w:val="clear" w:color="auto" w:fill="CCEEFF"/>
          </w:tcPr>
          <w:p>
            <w:pPr>
              <w:spacing w:after="0"/>
              <w:rPr>
                <w:sz w:val="13"/>
                <w:szCs w:val="13"/>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740</w:t>
            </w:r>
          </w:p>
        </w:tc>
        <w:tc>
          <w:tcPr>
            <w:tcW w:w="0" w:type="dxa"/>
            <w:vAlign w:val="bottom"/>
          </w:tcPr>
          <w:p>
            <w:pPr>
              <w:spacing w:after="0"/>
              <w:rPr>
                <w:sz w:val="1"/>
                <w:szCs w:val="1"/>
                <w:color w:val="auto"/>
              </w:rPr>
            </w:pPr>
          </w:p>
        </w:tc>
      </w:tr>
      <w:tr>
        <w:trPr>
          <w:trHeight w:val="148"/>
        </w:trPr>
        <w:tc>
          <w:tcPr>
            <w:tcW w:w="4080" w:type="dxa"/>
            <w:vAlign w:val="bottom"/>
          </w:tcPr>
          <w:p>
            <w:pPr>
              <w:ind w:left="280"/>
              <w:spacing w:after="0"/>
              <w:rPr>
                <w:sz w:val="20"/>
                <w:szCs w:val="20"/>
                <w:color w:val="auto"/>
              </w:rPr>
            </w:pPr>
            <w:r>
              <w:rPr>
                <w:rFonts w:ascii="Arial" w:cs="Arial" w:eastAsia="Arial" w:hAnsi="Arial"/>
                <w:sz w:val="10"/>
                <w:szCs w:val="10"/>
                <w:color w:val="auto"/>
              </w:rPr>
              <w:t>Net income (loss) attributable to Nelnet, Inc.</w:t>
            </w: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880" w:type="dxa"/>
            <w:vAlign w:val="bottom"/>
          </w:tcPr>
          <w:p>
            <w:pPr>
              <w:jc w:val="right"/>
              <w:spacing w:after="0"/>
              <w:rPr>
                <w:sz w:val="20"/>
                <w:szCs w:val="20"/>
                <w:color w:val="auto"/>
              </w:rPr>
            </w:pPr>
            <w:r>
              <w:rPr>
                <w:rFonts w:ascii="Arial" w:cs="Arial" w:eastAsia="Arial" w:hAnsi="Arial"/>
                <w:sz w:val="10"/>
                <w:szCs w:val="10"/>
                <w:color w:val="auto"/>
              </w:rPr>
              <w:t>15,841</w:t>
            </w:r>
          </w:p>
        </w:tc>
        <w:tc>
          <w:tcPr>
            <w:tcW w:w="80" w:type="dxa"/>
            <w:vAlign w:val="bottom"/>
          </w:tcPr>
          <w:p>
            <w:pPr>
              <w:spacing w:after="0"/>
              <w:rPr>
                <w:sz w:val="12"/>
                <w:szCs w:val="12"/>
                <w:color w:val="auto"/>
              </w:rPr>
            </w:pPr>
          </w:p>
        </w:tc>
        <w:tc>
          <w:tcPr>
            <w:tcW w:w="1000" w:type="dxa"/>
            <w:vAlign w:val="bottom"/>
          </w:tcPr>
          <w:p>
            <w:pPr>
              <w:jc w:val="right"/>
              <w:spacing w:after="0"/>
              <w:rPr>
                <w:sz w:val="20"/>
                <w:szCs w:val="20"/>
                <w:color w:val="auto"/>
              </w:rPr>
            </w:pPr>
            <w:r>
              <w:rPr>
                <w:rFonts w:ascii="Arial" w:cs="Arial" w:eastAsia="Arial" w:hAnsi="Arial"/>
                <w:sz w:val="10"/>
                <w:szCs w:val="10"/>
                <w:color w:val="auto"/>
              </w:rPr>
              <w:t>13,379</w:t>
            </w:r>
          </w:p>
        </w:tc>
        <w:tc>
          <w:tcPr>
            <w:tcW w:w="100" w:type="dxa"/>
            <w:vAlign w:val="bottom"/>
          </w:tcPr>
          <w:p>
            <w:pPr>
              <w:spacing w:after="0"/>
              <w:rPr>
                <w:sz w:val="12"/>
                <w:szCs w:val="12"/>
                <w:color w:val="auto"/>
              </w:rPr>
            </w:pPr>
          </w:p>
        </w:tc>
        <w:tc>
          <w:tcPr>
            <w:tcW w:w="1220" w:type="dxa"/>
            <w:vAlign w:val="bottom"/>
          </w:tcPr>
          <w:p>
            <w:pPr>
              <w:jc w:val="right"/>
              <w:spacing w:after="0"/>
              <w:rPr>
                <w:sz w:val="20"/>
                <w:szCs w:val="20"/>
                <w:color w:val="auto"/>
              </w:rPr>
            </w:pPr>
            <w:r>
              <w:rPr>
                <w:rFonts w:ascii="Arial" w:cs="Arial" w:eastAsia="Arial" w:hAnsi="Arial"/>
                <w:sz w:val="10"/>
                <w:szCs w:val="10"/>
                <w:color w:val="auto"/>
              </w:rPr>
              <w:t>(7,040)</w:t>
            </w:r>
          </w:p>
        </w:tc>
        <w:tc>
          <w:tcPr>
            <w:tcW w:w="100" w:type="dxa"/>
            <w:vAlign w:val="bottom"/>
          </w:tcPr>
          <w:p>
            <w:pPr>
              <w:spacing w:after="0"/>
              <w:rPr>
                <w:sz w:val="12"/>
                <w:szCs w:val="12"/>
                <w:color w:val="auto"/>
              </w:rPr>
            </w:pPr>
          </w:p>
        </w:tc>
        <w:tc>
          <w:tcPr>
            <w:tcW w:w="960" w:type="dxa"/>
            <w:vAlign w:val="bottom"/>
          </w:tcPr>
          <w:p>
            <w:pPr>
              <w:jc w:val="right"/>
              <w:spacing w:after="0"/>
              <w:rPr>
                <w:sz w:val="20"/>
                <w:szCs w:val="20"/>
                <w:color w:val="auto"/>
              </w:rPr>
            </w:pPr>
            <w:r>
              <w:rPr>
                <w:rFonts w:ascii="Arial" w:cs="Arial" w:eastAsia="Arial" w:hAnsi="Arial"/>
                <w:sz w:val="10"/>
                <w:szCs w:val="10"/>
                <w:color w:val="auto"/>
              </w:rPr>
              <w:t>87,945</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jc w:val="right"/>
              <w:spacing w:after="0"/>
              <w:rPr>
                <w:sz w:val="20"/>
                <w:szCs w:val="20"/>
                <w:color w:val="auto"/>
              </w:rPr>
            </w:pPr>
            <w:r>
              <w:rPr>
                <w:rFonts w:ascii="Arial" w:cs="Arial" w:eastAsia="Arial" w:hAnsi="Arial"/>
                <w:sz w:val="10"/>
                <w:szCs w:val="10"/>
                <w:color w:val="auto"/>
              </w:rPr>
              <w:t>3,799</w:t>
            </w:r>
          </w:p>
        </w:tc>
        <w:tc>
          <w:tcPr>
            <w:tcW w:w="100" w:type="dxa"/>
            <w:vAlign w:val="bottom"/>
          </w:tcPr>
          <w:p>
            <w:pPr>
              <w:spacing w:after="0"/>
              <w:rPr>
                <w:sz w:val="12"/>
                <w:szCs w:val="12"/>
                <w:color w:val="auto"/>
              </w:rPr>
            </w:pPr>
          </w:p>
        </w:tc>
        <w:tc>
          <w:tcPr>
            <w:tcW w:w="1040" w:type="dxa"/>
            <w:vAlign w:val="bottom"/>
            <w:gridSpan w:val="2"/>
          </w:tcPr>
          <w:p>
            <w:pPr>
              <w:ind w:left="800"/>
              <w:spacing w:after="0"/>
              <w:rPr>
                <w:sz w:val="20"/>
                <w:szCs w:val="20"/>
                <w:color w:val="auto"/>
              </w:rPr>
            </w:pPr>
            <w:r>
              <w:rPr>
                <w:rFonts w:ascii="Arial" w:cs="Arial" w:eastAsia="Arial" w:hAnsi="Arial"/>
                <w:sz w:val="10"/>
                <w:szCs w:val="10"/>
                <w:color w:val="auto"/>
              </w:rPr>
              <w:t>—</w:t>
            </w:r>
          </w:p>
        </w:tc>
        <w:tc>
          <w:tcPr>
            <w:tcW w:w="840" w:type="dxa"/>
            <w:vAlign w:val="bottom"/>
          </w:tcPr>
          <w:p>
            <w:pPr>
              <w:jc w:val="right"/>
              <w:spacing w:after="0"/>
              <w:rPr>
                <w:sz w:val="20"/>
                <w:szCs w:val="20"/>
                <w:color w:val="auto"/>
              </w:rPr>
            </w:pPr>
            <w:r>
              <w:rPr>
                <w:rFonts w:ascii="Arial" w:cs="Arial" w:eastAsia="Arial" w:hAnsi="Arial"/>
                <w:sz w:val="10"/>
                <w:szCs w:val="10"/>
                <w:color w:val="auto"/>
              </w:rPr>
              <w:t>113,925</w:t>
            </w:r>
          </w:p>
        </w:tc>
        <w:tc>
          <w:tcPr>
            <w:tcW w:w="0" w:type="dxa"/>
            <w:vAlign w:val="bottom"/>
          </w:tcPr>
          <w:p>
            <w:pPr>
              <w:spacing w:after="0"/>
              <w:rPr>
                <w:sz w:val="1"/>
                <w:szCs w:val="1"/>
                <w:color w:val="auto"/>
              </w:rPr>
            </w:pPr>
          </w:p>
        </w:tc>
      </w:tr>
      <w:tr>
        <w:trPr>
          <w:trHeight w:val="20"/>
        </w:trPr>
        <w:tc>
          <w:tcPr>
            <w:tcW w:w="4080" w:type="dxa"/>
            <w:vAlign w:val="bottom"/>
            <w:tcBorders>
              <w:bottom w:val="single" w:sz="8" w:color="CCEEFF"/>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4"/>
        </w:trPr>
        <w:tc>
          <w:tcPr>
            <w:tcW w:w="40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7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1"/>
        </w:trPr>
        <w:tc>
          <w:tcPr>
            <w:tcW w:w="4080" w:type="dxa"/>
            <w:vAlign w:val="bottom"/>
          </w:tcPr>
          <w:p>
            <w:pPr>
              <w:ind w:left="20"/>
              <w:spacing w:after="0"/>
              <w:rPr>
                <w:sz w:val="20"/>
                <w:szCs w:val="20"/>
                <w:color w:val="auto"/>
              </w:rPr>
            </w:pPr>
            <w:r>
              <w:rPr>
                <w:rFonts w:ascii="Arial" w:cs="Arial" w:eastAsia="Arial" w:hAnsi="Arial"/>
                <w:sz w:val="10"/>
                <w:szCs w:val="10"/>
                <w:color w:val="auto"/>
              </w:rPr>
              <w:t>Total assets as of March 31, 2018</w:t>
            </w: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281,208</w:t>
            </w:r>
          </w:p>
        </w:tc>
        <w:tc>
          <w:tcPr>
            <w:tcW w:w="80" w:type="dxa"/>
            <w:vAlign w:val="bottom"/>
          </w:tcPr>
          <w:p>
            <w:pPr>
              <w:spacing w:after="0"/>
              <w:rPr>
                <w:sz w:val="13"/>
                <w:szCs w:val="13"/>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193,283</w:t>
            </w:r>
          </w:p>
        </w:tc>
        <w:tc>
          <w:tcPr>
            <w:tcW w:w="100" w:type="dxa"/>
            <w:vAlign w:val="bottom"/>
          </w:tcPr>
          <w:p>
            <w:pPr>
              <w:spacing w:after="0"/>
              <w:rPr>
                <w:sz w:val="13"/>
                <w:szCs w:val="13"/>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228,750</w:t>
            </w:r>
          </w:p>
        </w:tc>
        <w:tc>
          <w:tcPr>
            <w:tcW w:w="100" w:type="dxa"/>
            <w:vAlign w:val="bottom"/>
          </w:tcPr>
          <w:p>
            <w:pPr>
              <w:spacing w:after="0"/>
              <w:rPr>
                <w:sz w:val="13"/>
                <w:szCs w:val="13"/>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22,804,734</w:t>
            </w:r>
          </w:p>
        </w:tc>
        <w:tc>
          <w:tcPr>
            <w:tcW w:w="80" w:type="dxa"/>
            <w:vAlign w:val="bottom"/>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718,251</w:t>
            </w:r>
          </w:p>
        </w:tc>
        <w:tc>
          <w:tcPr>
            <w:tcW w:w="100" w:type="dxa"/>
            <w:vAlign w:val="bottom"/>
          </w:tcPr>
          <w:p>
            <w:pPr>
              <w:spacing w:after="0"/>
              <w:rPr>
                <w:sz w:val="13"/>
                <w:szCs w:val="13"/>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(327,824)</w:t>
            </w:r>
          </w:p>
        </w:tc>
        <w:tc>
          <w:tcPr>
            <w:tcW w:w="100" w:type="dxa"/>
            <w:vAlign w:val="bottom"/>
          </w:tcPr>
          <w:p>
            <w:pPr>
              <w:spacing w:after="0"/>
              <w:rPr>
                <w:sz w:val="13"/>
                <w:szCs w:val="13"/>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23,898,402</w:t>
            </w:r>
          </w:p>
        </w:tc>
        <w:tc>
          <w:tcPr>
            <w:tcW w:w="0" w:type="dxa"/>
            <w:vAlign w:val="bottom"/>
          </w:tcPr>
          <w:p>
            <w:pPr>
              <w:spacing w:after="0"/>
              <w:rPr>
                <w:sz w:val="1"/>
                <w:szCs w:val="1"/>
                <w:color w:val="auto"/>
              </w:rPr>
            </w:pPr>
          </w:p>
        </w:tc>
      </w:tr>
      <w:tr>
        <w:trPr>
          <w:trHeight w:val="20"/>
        </w:trPr>
        <w:tc>
          <w:tcPr>
            <w:tcW w:w="408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21</w:t>
      </w:r>
    </w:p>
    <w:p>
      <w:pPr>
        <w:sectPr>
          <w:pgSz w:w="11900" w:h="16838" w:orient="portrait"/>
          <w:cols w:equalWidth="0" w:num="1">
            <w:col w:w="11340"/>
          </w:cols>
          <w:pgMar w:left="280" w:top="779" w:right="279" w:bottom="1440" w:gutter="0" w:footer="0" w:header="0"/>
        </w:sectPr>
      </w:pPr>
    </w:p>
    <w:bookmarkStart w:id="22" w:name="page23"/>
    <w:bookmarkEnd w:id="22"/>
    <w:p>
      <w:pPr>
        <w:spacing w:after="0"/>
        <w:rPr>
          <w:sz w:val="20"/>
          <w:szCs w:val="20"/>
          <w:color w:val="auto"/>
        </w:rPr>
      </w:pPr>
      <w:r>
        <w:rPr>
          <w:rFonts w:ascii="Arial" w:cs="Arial" w:eastAsia="Arial" w:hAnsi="Arial"/>
          <w:sz w:val="14"/>
          <w:szCs w:val="14"/>
          <w:b w:val="1"/>
          <w:bCs w:val="1"/>
          <w:color w:val="auto"/>
        </w:rPr>
        <w:t>11. Disaggregated Revenue and Deferred Revenue</w:t>
      </w:r>
    </w:p>
    <w:p>
      <w:pPr>
        <w:spacing w:after="0" w:line="145" w:lineRule="exact"/>
        <w:rPr>
          <w:sz w:val="20"/>
          <w:szCs w:val="20"/>
          <w:color w:val="auto"/>
        </w:rPr>
      </w:pPr>
    </w:p>
    <w:p>
      <w:pPr>
        <w:spacing w:after="0"/>
        <w:rPr>
          <w:sz w:val="20"/>
          <w:szCs w:val="20"/>
          <w:color w:val="auto"/>
        </w:rPr>
      </w:pPr>
      <w:r>
        <w:rPr>
          <w:rFonts w:ascii="Arial" w:cs="Arial" w:eastAsia="Arial" w:hAnsi="Arial"/>
          <w:sz w:val="14"/>
          <w:szCs w:val="14"/>
          <w:color w:val="auto"/>
        </w:rPr>
        <w:t>The following tables provide disaggregated revenue by service offering and/or customer type for the Company's fee-based reportable operating segments.</w:t>
      </w:r>
    </w:p>
    <w:p>
      <w:pPr>
        <w:spacing w:after="0" w:line="141" w:lineRule="exact"/>
        <w:rPr>
          <w:sz w:val="20"/>
          <w:szCs w:val="20"/>
          <w:color w:val="auto"/>
        </w:rPr>
      </w:pPr>
    </w:p>
    <w:p>
      <w:pPr>
        <w:spacing w:after="0"/>
        <w:rPr>
          <w:sz w:val="20"/>
          <w:szCs w:val="20"/>
          <w:color w:val="auto"/>
        </w:rPr>
      </w:pPr>
      <w:r>
        <w:rPr>
          <w:rFonts w:ascii="Arial" w:cs="Arial" w:eastAsia="Arial" w:hAnsi="Arial"/>
          <w:sz w:val="14"/>
          <w:szCs w:val="14"/>
          <w:b w:val="1"/>
          <w:bCs w:val="1"/>
          <w:i w:val="1"/>
          <w:iCs w:val="1"/>
          <w:color w:val="auto"/>
        </w:rPr>
        <w:t>Loan Servicing and Systems</w:t>
      </w:r>
    </w:p>
    <w:p>
      <w:pPr>
        <w:spacing w:after="0" w:line="55" w:lineRule="exact"/>
        <w:rPr>
          <w:sz w:val="20"/>
          <w:szCs w:val="20"/>
          <w:color w:val="auto"/>
        </w:rPr>
      </w:pPr>
    </w:p>
    <w:tbl>
      <w:tblPr>
        <w:tblLayout w:type="fixed"/>
        <w:tblInd w:w="1500" w:type="dxa"/>
        <w:tblCellMar>
          <w:top w:w="0" w:type="dxa"/>
          <w:left w:w="0" w:type="dxa"/>
          <w:bottom w:w="0" w:type="dxa"/>
          <w:right w:w="0" w:type="dxa"/>
        </w:tblCellMar>
      </w:tblPr>
      <w:tr>
        <w:trPr>
          <w:trHeight w:val="167"/>
        </w:trPr>
        <w:tc>
          <w:tcPr>
            <w:tcW w:w="40" w:type="dxa"/>
            <w:vAlign w:val="bottom"/>
          </w:tcPr>
          <w:p>
            <w:pPr>
              <w:spacing w:after="0"/>
              <w:rPr>
                <w:sz w:val="14"/>
                <w:szCs w:val="14"/>
                <w:color w:val="auto"/>
              </w:rPr>
            </w:pPr>
          </w:p>
        </w:tc>
        <w:tc>
          <w:tcPr>
            <w:tcW w:w="5220" w:type="dxa"/>
            <w:vAlign w:val="bottom"/>
          </w:tcPr>
          <w:p>
            <w:pPr>
              <w:spacing w:after="0"/>
              <w:rPr>
                <w:sz w:val="14"/>
                <w:szCs w:val="14"/>
                <w:color w:val="auto"/>
              </w:rPr>
            </w:pPr>
          </w:p>
        </w:tc>
        <w:tc>
          <w:tcPr>
            <w:tcW w:w="2620" w:type="dxa"/>
            <w:vAlign w:val="bottom"/>
            <w:gridSpan w:val="4"/>
          </w:tcPr>
          <w:p>
            <w:pPr>
              <w:jc w:val="right"/>
              <w:ind w:right="180"/>
              <w:spacing w:after="0"/>
              <w:rPr>
                <w:sz w:val="20"/>
                <w:szCs w:val="20"/>
                <w:color w:val="auto"/>
              </w:rPr>
            </w:pPr>
            <w:r>
              <w:rPr>
                <w:rFonts w:ascii="Arial" w:cs="Arial" w:eastAsia="Arial" w:hAnsi="Arial"/>
                <w:sz w:val="13"/>
                <w:szCs w:val="13"/>
                <w:b w:val="1"/>
                <w:bCs w:val="1"/>
                <w:color w:val="auto"/>
              </w:rPr>
              <w:t>Three months ended March 31,</w:t>
            </w:r>
          </w:p>
        </w:tc>
        <w:tc>
          <w:tcPr>
            <w:tcW w:w="560" w:type="dxa"/>
            <w:vAlign w:val="bottom"/>
          </w:tcPr>
          <w:p>
            <w:pPr>
              <w:spacing w:after="0"/>
              <w:rPr>
                <w:sz w:val="14"/>
                <w:szCs w:val="14"/>
                <w:color w:val="auto"/>
              </w:rPr>
            </w:pPr>
          </w:p>
        </w:tc>
      </w:tr>
      <w:tr>
        <w:trPr>
          <w:trHeight w:val="27"/>
        </w:trPr>
        <w:tc>
          <w:tcPr>
            <w:tcW w:w="40" w:type="dxa"/>
            <w:vAlign w:val="bottom"/>
          </w:tcPr>
          <w:p>
            <w:pPr>
              <w:spacing w:after="0"/>
              <w:rPr>
                <w:sz w:val="2"/>
                <w:szCs w:val="2"/>
                <w:color w:val="auto"/>
              </w:rPr>
            </w:pPr>
          </w:p>
        </w:tc>
        <w:tc>
          <w:tcPr>
            <w:tcW w:w="5220" w:type="dxa"/>
            <w:vAlign w:val="bottom"/>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gridSpan w:val="3"/>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r>
      <w:tr>
        <w:trPr>
          <w:trHeight w:val="169"/>
        </w:trPr>
        <w:tc>
          <w:tcPr>
            <w:tcW w:w="40" w:type="dxa"/>
            <w:vAlign w:val="bottom"/>
          </w:tcPr>
          <w:p>
            <w:pPr>
              <w:spacing w:after="0"/>
              <w:rPr>
                <w:sz w:val="14"/>
                <w:szCs w:val="14"/>
                <w:color w:val="auto"/>
              </w:rPr>
            </w:pPr>
          </w:p>
        </w:tc>
        <w:tc>
          <w:tcPr>
            <w:tcW w:w="5220" w:type="dxa"/>
            <w:vAlign w:val="bottom"/>
          </w:tcPr>
          <w:p>
            <w:pPr>
              <w:spacing w:after="0"/>
              <w:rPr>
                <w:sz w:val="14"/>
                <w:szCs w:val="14"/>
                <w:color w:val="auto"/>
              </w:rPr>
            </w:pPr>
          </w:p>
        </w:tc>
        <w:tc>
          <w:tcPr>
            <w:tcW w:w="980" w:type="dxa"/>
            <w:vAlign w:val="bottom"/>
          </w:tcPr>
          <w:p>
            <w:pPr>
              <w:jc w:val="right"/>
              <w:ind w:right="15"/>
              <w:spacing w:after="0"/>
              <w:rPr>
                <w:sz w:val="20"/>
                <w:szCs w:val="20"/>
                <w:color w:val="auto"/>
              </w:rPr>
            </w:pPr>
            <w:r>
              <w:rPr>
                <w:rFonts w:ascii="Arial" w:cs="Arial" w:eastAsia="Arial" w:hAnsi="Arial"/>
                <w:sz w:val="13"/>
                <w:szCs w:val="13"/>
                <w:b w:val="1"/>
                <w:bCs w:val="1"/>
                <w:color w:val="auto"/>
              </w:rPr>
              <w:t>2019</w:t>
            </w:r>
          </w:p>
        </w:tc>
        <w:tc>
          <w:tcPr>
            <w:tcW w:w="1640" w:type="dxa"/>
            <w:vAlign w:val="bottom"/>
            <w:gridSpan w:val="3"/>
          </w:tcPr>
          <w:p>
            <w:pPr>
              <w:jc w:val="right"/>
              <w:ind w:right="80"/>
              <w:spacing w:after="0"/>
              <w:rPr>
                <w:sz w:val="20"/>
                <w:szCs w:val="20"/>
                <w:color w:val="auto"/>
              </w:rPr>
            </w:pPr>
            <w:r>
              <w:rPr>
                <w:rFonts w:ascii="Arial" w:cs="Arial" w:eastAsia="Arial" w:hAnsi="Arial"/>
                <w:sz w:val="13"/>
                <w:szCs w:val="13"/>
                <w:b w:val="1"/>
                <w:bCs w:val="1"/>
                <w:color w:val="auto"/>
              </w:rPr>
              <w:t>2018</w:t>
            </w:r>
          </w:p>
        </w:tc>
        <w:tc>
          <w:tcPr>
            <w:tcW w:w="560" w:type="dxa"/>
            <w:vAlign w:val="bottom"/>
          </w:tcPr>
          <w:p>
            <w:pPr>
              <w:spacing w:after="0"/>
              <w:rPr>
                <w:sz w:val="14"/>
                <w:szCs w:val="14"/>
                <w:color w:val="auto"/>
              </w:rPr>
            </w:pPr>
          </w:p>
        </w:tc>
      </w:tr>
      <w:tr>
        <w:trPr>
          <w:trHeight w:val="27"/>
        </w:trPr>
        <w:tc>
          <w:tcPr>
            <w:tcW w:w="40" w:type="dxa"/>
            <w:vAlign w:val="bottom"/>
          </w:tcPr>
          <w:p>
            <w:pPr>
              <w:spacing w:after="0"/>
              <w:rPr>
                <w:sz w:val="2"/>
                <w:szCs w:val="2"/>
                <w:color w:val="auto"/>
              </w:rPr>
            </w:pPr>
          </w:p>
        </w:tc>
        <w:tc>
          <w:tcPr>
            <w:tcW w:w="5220" w:type="dxa"/>
            <w:vAlign w:val="bottom"/>
            <w:tcBorders>
              <w:bottom w:val="single" w:sz="8" w:color="CCEEFF"/>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r>
      <w:tr>
        <w:trPr>
          <w:trHeight w:val="176"/>
        </w:trPr>
        <w:tc>
          <w:tcPr>
            <w:tcW w:w="40" w:type="dxa"/>
            <w:vAlign w:val="bottom"/>
          </w:tcPr>
          <w:p>
            <w:pPr>
              <w:spacing w:after="0"/>
              <w:rPr>
                <w:sz w:val="15"/>
                <w:szCs w:val="15"/>
                <w:color w:val="auto"/>
              </w:rPr>
            </w:pPr>
          </w:p>
        </w:tc>
        <w:tc>
          <w:tcPr>
            <w:tcW w:w="52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Government servicing - Nelnet</w:t>
            </w:r>
          </w:p>
        </w:tc>
        <w:tc>
          <w:tcPr>
            <w:tcW w:w="980" w:type="dxa"/>
            <w:vAlign w:val="bottom"/>
            <w:tcBorders>
              <w:bottom w:val="single" w:sz="8" w:color="CCEEFF"/>
            </w:tcBorders>
            <w:shd w:val="clear" w:color="auto" w:fill="CCEEFF"/>
          </w:tcPr>
          <w:p>
            <w:pPr>
              <w:jc w:val="right"/>
              <w:ind w:right="835"/>
              <w:spacing w:after="0"/>
              <w:rPr>
                <w:sz w:val="20"/>
                <w:szCs w:val="20"/>
                <w:color w:val="auto"/>
              </w:rPr>
            </w:pPr>
            <w:r>
              <w:rPr>
                <w:rFonts w:ascii="Arial" w:cs="Arial" w:eastAsia="Arial" w:hAnsi="Arial"/>
                <w:sz w:val="13"/>
                <w:szCs w:val="13"/>
                <w:color w:val="auto"/>
                <w:w w:val="82"/>
              </w:rPr>
              <w:t>$</w:t>
            </w:r>
          </w:p>
        </w:tc>
        <w:tc>
          <w:tcPr>
            <w:tcW w:w="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39,640</w:t>
            </w:r>
          </w:p>
        </w:tc>
        <w:tc>
          <w:tcPr>
            <w:tcW w:w="120" w:type="dxa"/>
            <w:vAlign w:val="bottom"/>
            <w:tcBorders>
              <w:bottom w:val="single" w:sz="8" w:color="CCEEFF"/>
            </w:tcBorders>
            <w:shd w:val="clear" w:color="auto" w:fill="CCEEFF"/>
          </w:tcPr>
          <w:p>
            <w:pPr>
              <w:spacing w:after="0"/>
              <w:rPr>
                <w:sz w:val="15"/>
                <w:szCs w:val="15"/>
                <w:color w:val="auto"/>
              </w:rPr>
            </w:pPr>
          </w:p>
        </w:tc>
        <w:tc>
          <w:tcPr>
            <w:tcW w:w="960" w:type="dxa"/>
            <w:vAlign w:val="bottom"/>
            <w:tcBorders>
              <w:bottom w:val="single" w:sz="8" w:color="CCEEFF"/>
            </w:tcBorders>
            <w:shd w:val="clear" w:color="auto" w:fill="CCEEFF"/>
          </w:tcPr>
          <w:p>
            <w:pPr>
              <w:spacing w:after="0"/>
              <w:rPr>
                <w:sz w:val="15"/>
                <w:szCs w:val="15"/>
                <w:color w:val="auto"/>
              </w:rPr>
            </w:pPr>
          </w:p>
        </w:tc>
        <w:tc>
          <w:tcPr>
            <w:tcW w:w="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39,327</w:t>
            </w:r>
          </w:p>
        </w:tc>
      </w:tr>
      <w:tr>
        <w:trPr>
          <w:trHeight w:val="178"/>
        </w:trPr>
        <w:tc>
          <w:tcPr>
            <w:tcW w:w="40" w:type="dxa"/>
            <w:vAlign w:val="bottom"/>
          </w:tcPr>
          <w:p>
            <w:pPr>
              <w:spacing w:after="0"/>
              <w:rPr>
                <w:sz w:val="15"/>
                <w:szCs w:val="15"/>
                <w:color w:val="auto"/>
              </w:rPr>
            </w:pPr>
          </w:p>
        </w:tc>
        <w:tc>
          <w:tcPr>
            <w:tcW w:w="5220" w:type="dxa"/>
            <w:vAlign w:val="bottom"/>
          </w:tcPr>
          <w:p>
            <w:pPr>
              <w:spacing w:after="0"/>
              <w:rPr>
                <w:sz w:val="20"/>
                <w:szCs w:val="20"/>
                <w:color w:val="auto"/>
              </w:rPr>
            </w:pPr>
            <w:r>
              <w:rPr>
                <w:rFonts w:ascii="Arial" w:cs="Arial" w:eastAsia="Arial" w:hAnsi="Arial"/>
                <w:sz w:val="13"/>
                <w:szCs w:val="13"/>
                <w:color w:val="auto"/>
              </w:rPr>
              <w:t>Government servicing - Great Lakes</w:t>
            </w:r>
          </w:p>
        </w:tc>
        <w:tc>
          <w:tcPr>
            <w:tcW w:w="980" w:type="dxa"/>
            <w:vAlign w:val="bottom"/>
          </w:tcPr>
          <w:p>
            <w:pPr>
              <w:spacing w:after="0"/>
              <w:rPr>
                <w:sz w:val="15"/>
                <w:szCs w:val="15"/>
                <w:color w:val="auto"/>
              </w:rPr>
            </w:pPr>
          </w:p>
        </w:tc>
        <w:tc>
          <w:tcPr>
            <w:tcW w:w="560" w:type="dxa"/>
            <w:vAlign w:val="bottom"/>
          </w:tcPr>
          <w:p>
            <w:pPr>
              <w:jc w:val="right"/>
              <w:spacing w:after="0"/>
              <w:rPr>
                <w:sz w:val="20"/>
                <w:szCs w:val="20"/>
                <w:color w:val="auto"/>
              </w:rPr>
            </w:pPr>
            <w:r>
              <w:rPr>
                <w:rFonts w:ascii="Arial" w:cs="Arial" w:eastAsia="Arial" w:hAnsi="Arial"/>
                <w:sz w:val="13"/>
                <w:szCs w:val="13"/>
                <w:color w:val="auto"/>
              </w:rPr>
              <w:t>47,077</w:t>
            </w:r>
          </w:p>
        </w:tc>
        <w:tc>
          <w:tcPr>
            <w:tcW w:w="1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560" w:type="dxa"/>
            <w:vAlign w:val="bottom"/>
          </w:tcPr>
          <w:p>
            <w:pPr>
              <w:jc w:val="right"/>
              <w:spacing w:after="0"/>
              <w:rPr>
                <w:sz w:val="20"/>
                <w:szCs w:val="20"/>
                <w:color w:val="auto"/>
              </w:rPr>
            </w:pPr>
            <w:r>
              <w:rPr>
                <w:rFonts w:ascii="Arial" w:cs="Arial" w:eastAsia="Arial" w:hAnsi="Arial"/>
                <w:sz w:val="13"/>
                <w:szCs w:val="13"/>
                <w:color w:val="auto"/>
              </w:rPr>
              <w:t>30,754</w:t>
            </w:r>
          </w:p>
        </w:tc>
      </w:tr>
      <w:tr>
        <w:trPr>
          <w:trHeight w:val="27"/>
        </w:trPr>
        <w:tc>
          <w:tcPr>
            <w:tcW w:w="40" w:type="dxa"/>
            <w:vAlign w:val="bottom"/>
          </w:tcPr>
          <w:p>
            <w:pPr>
              <w:spacing w:after="0"/>
              <w:rPr>
                <w:sz w:val="2"/>
                <w:szCs w:val="2"/>
                <w:color w:val="auto"/>
              </w:rPr>
            </w:pPr>
          </w:p>
        </w:tc>
        <w:tc>
          <w:tcPr>
            <w:tcW w:w="5220" w:type="dxa"/>
            <w:vAlign w:val="bottom"/>
          </w:tcPr>
          <w:p>
            <w:pPr>
              <w:spacing w:after="0"/>
              <w:rPr>
                <w:sz w:val="2"/>
                <w:szCs w:val="2"/>
                <w:color w:val="auto"/>
              </w:rPr>
            </w:pPr>
          </w:p>
        </w:tc>
        <w:tc>
          <w:tcPr>
            <w:tcW w:w="980" w:type="dxa"/>
            <w:vAlign w:val="bottom"/>
          </w:tcPr>
          <w:p>
            <w:pPr>
              <w:spacing w:after="0"/>
              <w:rPr>
                <w:sz w:val="2"/>
                <w:szCs w:val="2"/>
                <w:color w:val="auto"/>
              </w:rPr>
            </w:pPr>
          </w:p>
        </w:tc>
        <w:tc>
          <w:tcPr>
            <w:tcW w:w="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60" w:type="dxa"/>
            <w:vAlign w:val="bottom"/>
          </w:tcPr>
          <w:p>
            <w:pPr>
              <w:spacing w:after="0"/>
              <w:rPr>
                <w:sz w:val="2"/>
                <w:szCs w:val="2"/>
                <w:color w:val="auto"/>
              </w:rPr>
            </w:pPr>
          </w:p>
        </w:tc>
        <w:tc>
          <w:tcPr>
            <w:tcW w:w="560" w:type="dxa"/>
            <w:vAlign w:val="bottom"/>
          </w:tcPr>
          <w:p>
            <w:pPr>
              <w:spacing w:after="0"/>
              <w:rPr>
                <w:sz w:val="2"/>
                <w:szCs w:val="2"/>
                <w:color w:val="auto"/>
              </w:rPr>
            </w:pPr>
          </w:p>
        </w:tc>
      </w:tr>
      <w:tr>
        <w:trPr>
          <w:trHeight w:val="185"/>
        </w:trPr>
        <w:tc>
          <w:tcPr>
            <w:tcW w:w="40" w:type="dxa"/>
            <w:vAlign w:val="bottom"/>
          </w:tcPr>
          <w:p>
            <w:pPr>
              <w:spacing w:after="0"/>
              <w:rPr>
                <w:sz w:val="16"/>
                <w:szCs w:val="16"/>
                <w:color w:val="auto"/>
              </w:rPr>
            </w:pPr>
          </w:p>
        </w:tc>
        <w:tc>
          <w:tcPr>
            <w:tcW w:w="52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Private education and consumer loan servicing</w:t>
            </w:r>
          </w:p>
        </w:tc>
        <w:tc>
          <w:tcPr>
            <w:tcW w:w="980" w:type="dxa"/>
            <w:vAlign w:val="bottom"/>
            <w:tcBorders>
              <w:bottom w:val="single" w:sz="8" w:color="CCEEFF"/>
            </w:tcBorders>
            <w:shd w:val="clear" w:color="auto" w:fill="CCEEFF"/>
          </w:tcPr>
          <w:p>
            <w:pPr>
              <w:spacing w:after="0"/>
              <w:rPr>
                <w:sz w:val="16"/>
                <w:szCs w:val="16"/>
                <w:color w:val="auto"/>
              </w:rPr>
            </w:pPr>
          </w:p>
        </w:tc>
        <w:tc>
          <w:tcPr>
            <w:tcW w:w="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9,480</w:t>
            </w:r>
          </w:p>
        </w:tc>
        <w:tc>
          <w:tcPr>
            <w:tcW w:w="120" w:type="dxa"/>
            <w:vAlign w:val="bottom"/>
            <w:tcBorders>
              <w:bottom w:val="single" w:sz="8" w:color="CCEEFF"/>
            </w:tcBorders>
            <w:shd w:val="clear" w:color="auto" w:fill="CCEEFF"/>
          </w:tcPr>
          <w:p>
            <w:pPr>
              <w:spacing w:after="0"/>
              <w:rPr>
                <w:sz w:val="16"/>
                <w:szCs w:val="16"/>
                <w:color w:val="auto"/>
              </w:rPr>
            </w:pPr>
          </w:p>
        </w:tc>
        <w:tc>
          <w:tcPr>
            <w:tcW w:w="960" w:type="dxa"/>
            <w:vAlign w:val="bottom"/>
            <w:tcBorders>
              <w:bottom w:val="single" w:sz="8" w:color="CCEEFF"/>
            </w:tcBorders>
            <w:shd w:val="clear" w:color="auto" w:fill="CCEEFF"/>
          </w:tcPr>
          <w:p>
            <w:pPr>
              <w:spacing w:after="0"/>
              <w:rPr>
                <w:sz w:val="16"/>
                <w:szCs w:val="16"/>
                <w:color w:val="auto"/>
              </w:rPr>
            </w:pPr>
          </w:p>
        </w:tc>
        <w:tc>
          <w:tcPr>
            <w:tcW w:w="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13,101</w:t>
            </w:r>
          </w:p>
        </w:tc>
      </w:tr>
      <w:tr>
        <w:trPr>
          <w:trHeight w:val="202"/>
        </w:trPr>
        <w:tc>
          <w:tcPr>
            <w:tcW w:w="40" w:type="dxa"/>
            <w:vAlign w:val="bottom"/>
          </w:tcPr>
          <w:p>
            <w:pPr>
              <w:spacing w:after="0"/>
              <w:rPr>
                <w:sz w:val="17"/>
                <w:szCs w:val="17"/>
                <w:color w:val="auto"/>
              </w:rPr>
            </w:pPr>
          </w:p>
        </w:tc>
        <w:tc>
          <w:tcPr>
            <w:tcW w:w="5220" w:type="dxa"/>
            <w:vAlign w:val="bottom"/>
          </w:tcPr>
          <w:p>
            <w:pPr>
              <w:spacing w:after="0"/>
              <w:rPr>
                <w:sz w:val="20"/>
                <w:szCs w:val="20"/>
                <w:color w:val="auto"/>
              </w:rPr>
            </w:pPr>
            <w:r>
              <w:rPr>
                <w:rFonts w:ascii="Arial" w:cs="Arial" w:eastAsia="Arial" w:hAnsi="Arial"/>
                <w:sz w:val="13"/>
                <w:szCs w:val="13"/>
                <w:color w:val="auto"/>
              </w:rPr>
              <w:t>FFELP servicing</w:t>
            </w:r>
          </w:p>
        </w:tc>
        <w:tc>
          <w:tcPr>
            <w:tcW w:w="980" w:type="dxa"/>
            <w:vAlign w:val="bottom"/>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3"/>
                <w:szCs w:val="13"/>
                <w:color w:val="auto"/>
              </w:rPr>
              <w:t>6,695</w:t>
            </w:r>
          </w:p>
        </w:tc>
        <w:tc>
          <w:tcPr>
            <w:tcW w:w="1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3"/>
                <w:szCs w:val="13"/>
                <w:color w:val="auto"/>
              </w:rPr>
              <w:t>7,691</w:t>
            </w:r>
          </w:p>
        </w:tc>
      </w:tr>
      <w:tr>
        <w:trPr>
          <w:trHeight w:val="187"/>
        </w:trPr>
        <w:tc>
          <w:tcPr>
            <w:tcW w:w="40" w:type="dxa"/>
            <w:vAlign w:val="bottom"/>
          </w:tcPr>
          <w:p>
            <w:pPr>
              <w:spacing w:after="0"/>
              <w:rPr>
                <w:sz w:val="16"/>
                <w:szCs w:val="16"/>
                <w:color w:val="auto"/>
              </w:rPr>
            </w:pPr>
          </w:p>
        </w:tc>
        <w:tc>
          <w:tcPr>
            <w:tcW w:w="52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Software services</w:t>
            </w:r>
          </w:p>
        </w:tc>
        <w:tc>
          <w:tcPr>
            <w:tcW w:w="980" w:type="dxa"/>
            <w:vAlign w:val="bottom"/>
            <w:tcBorders>
              <w:bottom w:val="single" w:sz="8" w:color="CCEEFF"/>
            </w:tcBorders>
            <w:shd w:val="clear" w:color="auto" w:fill="CCEEFF"/>
          </w:tcPr>
          <w:p>
            <w:pPr>
              <w:spacing w:after="0"/>
              <w:rPr>
                <w:sz w:val="16"/>
                <w:szCs w:val="16"/>
                <w:color w:val="auto"/>
              </w:rPr>
            </w:pPr>
          </w:p>
        </w:tc>
        <w:tc>
          <w:tcPr>
            <w:tcW w:w="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9,741</w:t>
            </w:r>
          </w:p>
        </w:tc>
        <w:tc>
          <w:tcPr>
            <w:tcW w:w="120" w:type="dxa"/>
            <w:vAlign w:val="bottom"/>
            <w:tcBorders>
              <w:bottom w:val="single" w:sz="8" w:color="CCEEFF"/>
            </w:tcBorders>
            <w:shd w:val="clear" w:color="auto" w:fill="CCEEFF"/>
          </w:tcPr>
          <w:p>
            <w:pPr>
              <w:spacing w:after="0"/>
              <w:rPr>
                <w:sz w:val="16"/>
                <w:szCs w:val="16"/>
                <w:color w:val="auto"/>
              </w:rPr>
            </w:pPr>
          </w:p>
        </w:tc>
        <w:tc>
          <w:tcPr>
            <w:tcW w:w="960" w:type="dxa"/>
            <w:vAlign w:val="bottom"/>
            <w:tcBorders>
              <w:bottom w:val="single" w:sz="8" w:color="CCEEFF"/>
            </w:tcBorders>
            <w:shd w:val="clear" w:color="auto" w:fill="CCEEFF"/>
          </w:tcPr>
          <w:p>
            <w:pPr>
              <w:spacing w:after="0"/>
              <w:rPr>
                <w:sz w:val="16"/>
                <w:szCs w:val="16"/>
                <w:color w:val="auto"/>
              </w:rPr>
            </w:pPr>
          </w:p>
        </w:tc>
        <w:tc>
          <w:tcPr>
            <w:tcW w:w="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7,589</w:t>
            </w:r>
          </w:p>
        </w:tc>
      </w:tr>
      <w:tr>
        <w:trPr>
          <w:trHeight w:val="202"/>
        </w:trPr>
        <w:tc>
          <w:tcPr>
            <w:tcW w:w="5260" w:type="dxa"/>
            <w:vAlign w:val="bottom"/>
            <w:gridSpan w:val="2"/>
          </w:tcPr>
          <w:p>
            <w:pPr>
              <w:spacing w:after="0"/>
              <w:rPr>
                <w:sz w:val="20"/>
                <w:szCs w:val="20"/>
                <w:color w:val="auto"/>
              </w:rPr>
            </w:pPr>
            <w:r>
              <w:rPr>
                <w:rFonts w:ascii="Arial" w:cs="Arial" w:eastAsia="Arial" w:hAnsi="Arial"/>
                <w:sz w:val="13"/>
                <w:szCs w:val="13"/>
                <w:color w:val="auto"/>
              </w:rPr>
              <w:t>Outsourced services and other</w:t>
            </w:r>
          </w:p>
        </w:tc>
        <w:tc>
          <w:tcPr>
            <w:tcW w:w="980" w:type="dxa"/>
            <w:vAlign w:val="bottom"/>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3"/>
                <w:szCs w:val="13"/>
                <w:color w:val="auto"/>
              </w:rPr>
              <w:t>2,265</w:t>
            </w:r>
          </w:p>
        </w:tc>
        <w:tc>
          <w:tcPr>
            <w:tcW w:w="1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3"/>
                <w:szCs w:val="13"/>
                <w:color w:val="auto"/>
              </w:rPr>
              <w:t>1,679</w:t>
            </w:r>
          </w:p>
        </w:tc>
      </w:tr>
      <w:tr>
        <w:trPr>
          <w:trHeight w:val="223"/>
        </w:trPr>
        <w:tc>
          <w:tcPr>
            <w:tcW w:w="40" w:type="dxa"/>
            <w:vAlign w:val="bottom"/>
          </w:tcPr>
          <w:p>
            <w:pPr>
              <w:spacing w:after="0"/>
              <w:rPr>
                <w:sz w:val="18"/>
                <w:szCs w:val="18"/>
                <w:color w:val="auto"/>
              </w:rPr>
            </w:pPr>
          </w:p>
        </w:tc>
        <w:tc>
          <w:tcPr>
            <w:tcW w:w="522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Loan servicing and systems revenue</w:t>
            </w:r>
          </w:p>
        </w:tc>
        <w:tc>
          <w:tcPr>
            <w:tcW w:w="980" w:type="dxa"/>
            <w:vAlign w:val="bottom"/>
            <w:tcBorders>
              <w:top w:val="single" w:sz="8" w:color="auto"/>
              <w:bottom w:val="single" w:sz="8" w:color="CCEEFF"/>
            </w:tcBorders>
            <w:shd w:val="clear" w:color="auto" w:fill="CCEEFF"/>
          </w:tcPr>
          <w:p>
            <w:pPr>
              <w:jc w:val="right"/>
              <w:ind w:right="835"/>
              <w:spacing w:after="0"/>
              <w:rPr>
                <w:sz w:val="20"/>
                <w:szCs w:val="20"/>
                <w:color w:val="auto"/>
              </w:rPr>
            </w:pPr>
            <w:r>
              <w:rPr>
                <w:rFonts w:ascii="Arial" w:cs="Arial" w:eastAsia="Arial" w:hAnsi="Arial"/>
                <w:sz w:val="13"/>
                <w:szCs w:val="13"/>
                <w:color w:val="auto"/>
                <w:w w:val="82"/>
              </w:rPr>
              <w:t>$</w:t>
            </w:r>
          </w:p>
        </w:tc>
        <w:tc>
          <w:tcPr>
            <w:tcW w:w="5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114,898</w:t>
            </w: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960" w:type="dxa"/>
            <w:vAlign w:val="bottom"/>
            <w:tcBorders>
              <w:top w:val="single" w:sz="8" w:color="auto"/>
              <w:bottom w:val="single" w:sz="8" w:color="CCEEFF"/>
            </w:tcBorders>
            <w:shd w:val="clear" w:color="auto" w:fill="CCEEFF"/>
          </w:tcPr>
          <w:p>
            <w:pPr>
              <w:spacing w:after="0"/>
              <w:rPr>
                <w:sz w:val="18"/>
                <w:szCs w:val="18"/>
                <w:color w:val="auto"/>
              </w:rPr>
            </w:pPr>
          </w:p>
        </w:tc>
        <w:tc>
          <w:tcPr>
            <w:tcW w:w="5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100,141</w:t>
            </w:r>
          </w:p>
        </w:tc>
      </w:tr>
      <w:tr>
        <w:trPr>
          <w:trHeight w:val="20"/>
        </w:trPr>
        <w:tc>
          <w:tcPr>
            <w:tcW w:w="40" w:type="dxa"/>
            <w:vAlign w:val="bottom"/>
          </w:tcPr>
          <w:p>
            <w:pPr>
              <w:spacing w:after="0" w:line="20" w:lineRule="exact"/>
              <w:rPr>
                <w:sz w:val="1"/>
                <w:szCs w:val="1"/>
                <w:color w:val="auto"/>
              </w:rPr>
            </w:pPr>
          </w:p>
        </w:tc>
        <w:tc>
          <w:tcPr>
            <w:tcW w:w="5220" w:type="dxa"/>
            <w:vAlign w:val="bottom"/>
            <w:tcBorders>
              <w:top w:val="single" w:sz="8" w:color="CCEEFF"/>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0239"/>
          </w:cols>
          <w:pgMar w:left="220" w:top="739" w:right="1440" w:bottom="1440" w:gutter="0" w:footer="0" w:header="0"/>
        </w:sectPr>
      </w:pPr>
    </w:p>
    <w:p>
      <w:pPr>
        <w:spacing w:after="0" w:line="5" w:lineRule="exact"/>
        <w:rPr>
          <w:sz w:val="20"/>
          <w:szCs w:val="20"/>
          <w:color w:val="auto"/>
        </w:rPr>
      </w:pPr>
    </w:p>
    <w:p>
      <w:pPr>
        <w:spacing w:after="0"/>
        <w:rPr>
          <w:sz w:val="20"/>
          <w:szCs w:val="20"/>
          <w:color w:val="auto"/>
        </w:rPr>
      </w:pPr>
      <w:r>
        <w:rPr>
          <w:rFonts w:ascii="Arial" w:cs="Arial" w:eastAsia="Arial" w:hAnsi="Arial"/>
          <w:sz w:val="14"/>
          <w:szCs w:val="14"/>
          <w:b w:val="1"/>
          <w:bCs w:val="1"/>
          <w:i w:val="1"/>
          <w:iCs w:val="1"/>
          <w:color w:val="auto"/>
        </w:rPr>
        <w:t>Education Technology, Services, and Payment Processing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975360</wp:posOffset>
            </wp:positionH>
            <wp:positionV relativeFrom="paragraph">
              <wp:posOffset>294640</wp:posOffset>
            </wp:positionV>
            <wp:extent cx="5337810" cy="13716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337810" cy="137160"/>
                    </a:xfrm>
                    <a:prstGeom prst="rect">
                      <a:avLst/>
                    </a:prstGeom>
                    <a:noFill/>
                  </pic:spPr>
                </pic:pic>
              </a:graphicData>
            </a:graphic>
          </wp:anchor>
        </w:drawing>
      </w:r>
    </w:p>
    <w:p>
      <w:pPr>
        <w:spacing w:after="0" w:line="200" w:lineRule="exact"/>
        <w:rPr>
          <w:sz w:val="20"/>
          <w:szCs w:val="20"/>
          <w:color w:val="auto"/>
        </w:rPr>
      </w:pPr>
    </w:p>
    <w:p>
      <w:pPr>
        <w:spacing w:after="0" w:line="270" w:lineRule="exact"/>
        <w:rPr>
          <w:sz w:val="20"/>
          <w:szCs w:val="20"/>
          <w:color w:val="auto"/>
        </w:rPr>
      </w:pPr>
    </w:p>
    <w:p>
      <w:pPr>
        <w:ind w:left="1540"/>
        <w:spacing w:after="0"/>
        <w:rPr>
          <w:sz w:val="20"/>
          <w:szCs w:val="20"/>
          <w:color w:val="auto"/>
        </w:rPr>
      </w:pPr>
      <w:r>
        <w:rPr>
          <w:rFonts w:ascii="Arial" w:cs="Arial" w:eastAsia="Arial" w:hAnsi="Arial"/>
          <w:sz w:val="13"/>
          <w:szCs w:val="13"/>
          <w:color w:val="auto"/>
        </w:rPr>
        <w:t>Tuition payment plan services</w:t>
      </w:r>
    </w:p>
    <w:p>
      <w:pPr>
        <w:spacing w:after="0" w:line="77" w:lineRule="exact"/>
        <w:rPr>
          <w:sz w:val="20"/>
          <w:szCs w:val="20"/>
          <w:color w:val="auto"/>
        </w:rPr>
      </w:pPr>
    </w:p>
    <w:p>
      <w:pPr>
        <w:ind w:left="1540"/>
        <w:spacing w:after="0"/>
        <w:rPr>
          <w:sz w:val="20"/>
          <w:szCs w:val="20"/>
          <w:color w:val="auto"/>
        </w:rPr>
      </w:pPr>
      <w:r>
        <w:rPr>
          <w:rFonts w:ascii="Arial" w:cs="Arial" w:eastAsia="Arial" w:hAnsi="Arial"/>
          <w:sz w:val="13"/>
          <w:szCs w:val="13"/>
          <w:color w:val="auto"/>
        </w:rPr>
        <w:t>Payment processing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975360</wp:posOffset>
            </wp:positionH>
            <wp:positionV relativeFrom="paragraph">
              <wp:posOffset>12065</wp:posOffset>
            </wp:positionV>
            <wp:extent cx="5337810" cy="130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337810" cy="130175"/>
                    </a:xfrm>
                    <a:prstGeom prst="rect">
                      <a:avLst/>
                    </a:prstGeom>
                    <a:noFill/>
                  </pic:spPr>
                </pic:pic>
              </a:graphicData>
            </a:graphic>
          </wp:anchor>
        </w:drawing>
      </w:r>
    </w:p>
    <w:p>
      <w:pPr>
        <w:spacing w:after="0" w:line="35" w:lineRule="exact"/>
        <w:rPr>
          <w:sz w:val="20"/>
          <w:szCs w:val="20"/>
          <w:color w:val="auto"/>
        </w:rPr>
      </w:pPr>
    </w:p>
    <w:p>
      <w:pPr>
        <w:ind w:left="1540"/>
        <w:spacing w:after="0"/>
        <w:rPr>
          <w:sz w:val="20"/>
          <w:szCs w:val="20"/>
          <w:color w:val="auto"/>
        </w:rPr>
      </w:pPr>
      <w:r>
        <w:rPr>
          <w:rFonts w:ascii="Arial" w:cs="Arial" w:eastAsia="Arial" w:hAnsi="Arial"/>
          <w:sz w:val="13"/>
          <w:szCs w:val="13"/>
          <w:color w:val="auto"/>
        </w:rPr>
        <w:t>Education technology and services</w:t>
      </w:r>
    </w:p>
    <w:p>
      <w:pPr>
        <w:spacing w:after="0" w:line="55" w:lineRule="exact"/>
        <w:rPr>
          <w:sz w:val="20"/>
          <w:szCs w:val="20"/>
          <w:color w:val="auto"/>
        </w:rPr>
      </w:pPr>
    </w:p>
    <w:p>
      <w:pPr>
        <w:ind w:left="1540"/>
        <w:spacing w:after="0"/>
        <w:rPr>
          <w:sz w:val="20"/>
          <w:szCs w:val="20"/>
          <w:color w:val="auto"/>
        </w:rPr>
      </w:pPr>
      <w:r>
        <w:rPr>
          <w:rFonts w:ascii="Arial" w:cs="Arial" w:eastAsia="Arial" w:hAnsi="Arial"/>
          <w:sz w:val="13"/>
          <w:szCs w:val="13"/>
          <w:color w:val="auto"/>
        </w:rPr>
        <w:t>Other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975360</wp:posOffset>
            </wp:positionH>
            <wp:positionV relativeFrom="paragraph">
              <wp:posOffset>12065</wp:posOffset>
            </wp:positionV>
            <wp:extent cx="5337810" cy="15049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5337810" cy="150495"/>
                    </a:xfrm>
                    <a:prstGeom prst="rect">
                      <a:avLst/>
                    </a:prstGeom>
                    <a:noFill/>
                  </pic:spPr>
                </pic:pic>
              </a:graphicData>
            </a:graphic>
          </wp:anchor>
        </w:drawing>
      </w:r>
    </w:p>
    <w:p>
      <w:pPr>
        <w:spacing w:after="0" w:line="68" w:lineRule="exact"/>
        <w:rPr>
          <w:sz w:val="20"/>
          <w:szCs w:val="20"/>
          <w:color w:val="auto"/>
        </w:rPr>
      </w:pPr>
    </w:p>
    <w:p>
      <w:pPr>
        <w:ind w:left="1540"/>
        <w:spacing w:after="0"/>
        <w:rPr>
          <w:sz w:val="20"/>
          <w:szCs w:val="20"/>
          <w:color w:val="auto"/>
        </w:rPr>
      </w:pPr>
      <w:r>
        <w:rPr>
          <w:rFonts w:ascii="Arial" w:cs="Arial" w:eastAsia="Arial" w:hAnsi="Arial"/>
          <w:sz w:val="13"/>
          <w:szCs w:val="13"/>
          <w:color w:val="auto"/>
        </w:rPr>
        <w:t>Education technology, services, and payment processing revenue</w:t>
      </w:r>
    </w:p>
    <w:p>
      <w:pPr>
        <w:spacing w:after="0" w:line="245" w:lineRule="exact"/>
        <w:rPr>
          <w:sz w:val="20"/>
          <w:szCs w:val="20"/>
          <w:color w:val="auto"/>
        </w:rPr>
      </w:pPr>
    </w:p>
    <w:p>
      <w:pPr>
        <w:spacing w:after="0"/>
        <w:rPr>
          <w:sz w:val="20"/>
          <w:szCs w:val="20"/>
          <w:color w:val="auto"/>
        </w:rPr>
      </w:pPr>
      <w:r>
        <w:rPr>
          <w:rFonts w:ascii="Arial" w:cs="Arial" w:eastAsia="Arial" w:hAnsi="Arial"/>
          <w:sz w:val="14"/>
          <w:szCs w:val="14"/>
          <w:b w:val="1"/>
          <w:bCs w:val="1"/>
          <w:i w:val="1"/>
          <w:iCs w:val="1"/>
          <w:color w:val="auto"/>
        </w:rPr>
        <w:t>Communications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975360</wp:posOffset>
            </wp:positionH>
            <wp:positionV relativeFrom="paragraph">
              <wp:posOffset>294640</wp:posOffset>
            </wp:positionV>
            <wp:extent cx="5337810" cy="13716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5337810" cy="137160"/>
                    </a:xfrm>
                    <a:prstGeom prst="rect">
                      <a:avLst/>
                    </a:prstGeom>
                    <a:noFill/>
                  </pic:spPr>
                </pic:pic>
              </a:graphicData>
            </a:graphic>
          </wp:anchor>
        </w:drawing>
      </w:r>
    </w:p>
    <w:p>
      <w:pPr>
        <w:spacing w:after="0" w:line="200" w:lineRule="exact"/>
        <w:rPr>
          <w:sz w:val="20"/>
          <w:szCs w:val="20"/>
          <w:color w:val="auto"/>
        </w:rPr>
      </w:pPr>
    </w:p>
    <w:p>
      <w:pPr>
        <w:spacing w:after="0" w:line="270" w:lineRule="exact"/>
        <w:rPr>
          <w:sz w:val="20"/>
          <w:szCs w:val="20"/>
          <w:color w:val="auto"/>
        </w:rPr>
      </w:pPr>
    </w:p>
    <w:p>
      <w:pPr>
        <w:ind w:left="1540"/>
        <w:spacing w:after="0"/>
        <w:rPr>
          <w:sz w:val="20"/>
          <w:szCs w:val="20"/>
          <w:color w:val="auto"/>
        </w:rPr>
      </w:pPr>
      <w:r>
        <w:rPr>
          <w:rFonts w:ascii="Arial" w:cs="Arial" w:eastAsia="Arial" w:hAnsi="Arial"/>
          <w:sz w:val="13"/>
          <w:szCs w:val="13"/>
          <w:color w:val="auto"/>
        </w:rPr>
        <w:t>Internet</w:t>
      </w:r>
    </w:p>
    <w:p>
      <w:pPr>
        <w:spacing w:after="0" w:line="55" w:lineRule="exact"/>
        <w:rPr>
          <w:sz w:val="20"/>
          <w:szCs w:val="20"/>
          <w:color w:val="auto"/>
        </w:rPr>
      </w:pPr>
    </w:p>
    <w:p>
      <w:pPr>
        <w:ind w:left="1540"/>
        <w:spacing w:after="0"/>
        <w:rPr>
          <w:sz w:val="20"/>
          <w:szCs w:val="20"/>
          <w:color w:val="auto"/>
        </w:rPr>
      </w:pPr>
      <w:r>
        <w:rPr>
          <w:rFonts w:ascii="Arial" w:cs="Arial" w:eastAsia="Arial" w:hAnsi="Arial"/>
          <w:sz w:val="13"/>
          <w:szCs w:val="13"/>
          <w:color w:val="auto"/>
        </w:rPr>
        <w:t>Television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975360</wp:posOffset>
            </wp:positionH>
            <wp:positionV relativeFrom="paragraph">
              <wp:posOffset>25400</wp:posOffset>
            </wp:positionV>
            <wp:extent cx="5337810" cy="13017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5337810" cy="130175"/>
                    </a:xfrm>
                    <a:prstGeom prst="rect">
                      <a:avLst/>
                    </a:prstGeom>
                    <a:noFill/>
                  </pic:spPr>
                </pic:pic>
              </a:graphicData>
            </a:graphic>
          </wp:anchor>
        </w:drawing>
      </w:r>
    </w:p>
    <w:p>
      <w:pPr>
        <w:spacing w:after="0" w:line="35" w:lineRule="exact"/>
        <w:rPr>
          <w:sz w:val="20"/>
          <w:szCs w:val="20"/>
          <w:color w:val="auto"/>
        </w:rPr>
      </w:pPr>
    </w:p>
    <w:p>
      <w:pPr>
        <w:ind w:left="1540"/>
        <w:spacing w:after="0"/>
        <w:rPr>
          <w:sz w:val="20"/>
          <w:szCs w:val="20"/>
          <w:color w:val="auto"/>
        </w:rPr>
      </w:pPr>
      <w:r>
        <w:rPr>
          <w:rFonts w:ascii="Arial" w:cs="Arial" w:eastAsia="Arial" w:hAnsi="Arial"/>
          <w:sz w:val="13"/>
          <w:szCs w:val="13"/>
          <w:color w:val="auto"/>
        </w:rPr>
        <w:t>Telephone</w:t>
      </w:r>
    </w:p>
    <w:p>
      <w:pPr>
        <w:spacing w:after="0" w:line="55" w:lineRule="exact"/>
        <w:rPr>
          <w:sz w:val="20"/>
          <w:szCs w:val="20"/>
          <w:color w:val="auto"/>
        </w:rPr>
      </w:pPr>
    </w:p>
    <w:p>
      <w:pPr>
        <w:ind w:left="1540"/>
        <w:spacing w:after="0"/>
        <w:rPr>
          <w:sz w:val="20"/>
          <w:szCs w:val="20"/>
          <w:color w:val="auto"/>
        </w:rPr>
      </w:pPr>
      <w:r>
        <w:rPr>
          <w:rFonts w:ascii="Arial" w:cs="Arial" w:eastAsia="Arial" w:hAnsi="Arial"/>
          <w:sz w:val="13"/>
          <w:szCs w:val="13"/>
          <w:color w:val="auto"/>
        </w:rPr>
        <w:t>Other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975360</wp:posOffset>
            </wp:positionH>
            <wp:positionV relativeFrom="paragraph">
              <wp:posOffset>25400</wp:posOffset>
            </wp:positionV>
            <wp:extent cx="5337810" cy="15049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5337810" cy="150495"/>
                    </a:xfrm>
                    <a:prstGeom prst="rect">
                      <a:avLst/>
                    </a:prstGeom>
                    <a:noFill/>
                  </pic:spPr>
                </pic:pic>
              </a:graphicData>
            </a:graphic>
          </wp:anchor>
        </w:drawing>
      </w:r>
    </w:p>
    <w:p>
      <w:pPr>
        <w:spacing w:after="0" w:line="68" w:lineRule="exact"/>
        <w:rPr>
          <w:sz w:val="20"/>
          <w:szCs w:val="20"/>
          <w:color w:val="auto"/>
        </w:rPr>
      </w:pPr>
    </w:p>
    <w:p>
      <w:pPr>
        <w:ind w:left="1540"/>
        <w:spacing w:after="0"/>
        <w:rPr>
          <w:sz w:val="20"/>
          <w:szCs w:val="20"/>
          <w:color w:val="auto"/>
        </w:rPr>
      </w:pPr>
      <w:r>
        <w:rPr>
          <w:rFonts w:ascii="Arial" w:cs="Arial" w:eastAsia="Arial" w:hAnsi="Arial"/>
          <w:sz w:val="13"/>
          <w:szCs w:val="13"/>
          <w:color w:val="auto"/>
        </w:rPr>
        <w:t>Communications revenue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975360</wp:posOffset>
            </wp:positionH>
            <wp:positionV relativeFrom="paragraph">
              <wp:posOffset>135255</wp:posOffset>
            </wp:positionV>
            <wp:extent cx="5337810" cy="130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5337810" cy="130175"/>
                    </a:xfrm>
                    <a:prstGeom prst="rect">
                      <a:avLst/>
                    </a:prstGeom>
                    <a:noFill/>
                  </pic:spPr>
                </pic:pic>
              </a:graphicData>
            </a:graphic>
          </wp:anchor>
        </w:drawing>
      </w:r>
    </w:p>
    <w:p>
      <w:pPr>
        <w:spacing w:after="0" w:line="208" w:lineRule="exact"/>
        <w:rPr>
          <w:sz w:val="20"/>
          <w:szCs w:val="20"/>
          <w:color w:val="auto"/>
        </w:rPr>
      </w:pPr>
    </w:p>
    <w:p>
      <w:pPr>
        <w:ind w:left="1540"/>
        <w:spacing w:after="0"/>
        <w:rPr>
          <w:sz w:val="20"/>
          <w:szCs w:val="20"/>
          <w:color w:val="auto"/>
        </w:rPr>
      </w:pPr>
      <w:r>
        <w:rPr>
          <w:rFonts w:ascii="Arial" w:cs="Arial" w:eastAsia="Arial" w:hAnsi="Arial"/>
          <w:sz w:val="13"/>
          <w:szCs w:val="13"/>
          <w:color w:val="auto"/>
        </w:rPr>
        <w:t>Residential revenue</w:t>
      </w:r>
    </w:p>
    <w:p>
      <w:pPr>
        <w:spacing w:after="0" w:line="55" w:lineRule="exact"/>
        <w:rPr>
          <w:sz w:val="20"/>
          <w:szCs w:val="20"/>
          <w:color w:val="auto"/>
        </w:rPr>
      </w:pPr>
    </w:p>
    <w:p>
      <w:pPr>
        <w:ind w:left="1540"/>
        <w:spacing w:after="0"/>
        <w:rPr>
          <w:sz w:val="20"/>
          <w:szCs w:val="20"/>
          <w:color w:val="auto"/>
        </w:rPr>
      </w:pPr>
      <w:r>
        <w:rPr>
          <w:rFonts w:ascii="Arial" w:cs="Arial" w:eastAsia="Arial" w:hAnsi="Arial"/>
          <w:sz w:val="13"/>
          <w:szCs w:val="13"/>
          <w:color w:val="auto"/>
        </w:rPr>
        <w:t>Business revenue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975360</wp:posOffset>
            </wp:positionH>
            <wp:positionV relativeFrom="paragraph">
              <wp:posOffset>25400</wp:posOffset>
            </wp:positionV>
            <wp:extent cx="5337810" cy="130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5337810" cy="130175"/>
                    </a:xfrm>
                    <a:prstGeom prst="rect">
                      <a:avLst/>
                    </a:prstGeom>
                    <a:noFill/>
                  </pic:spPr>
                </pic:pic>
              </a:graphicData>
            </a:graphic>
          </wp:anchor>
        </w:drawing>
      </w:r>
    </w:p>
    <w:p>
      <w:pPr>
        <w:spacing w:after="0" w:line="35" w:lineRule="exact"/>
        <w:rPr>
          <w:sz w:val="20"/>
          <w:szCs w:val="20"/>
          <w:color w:val="auto"/>
        </w:rPr>
      </w:pPr>
    </w:p>
    <w:p>
      <w:pPr>
        <w:ind w:left="1540"/>
        <w:spacing w:after="0"/>
        <w:rPr>
          <w:sz w:val="20"/>
          <w:szCs w:val="20"/>
          <w:color w:val="auto"/>
        </w:rPr>
      </w:pPr>
      <w:r>
        <w:rPr>
          <w:rFonts w:ascii="Arial" w:cs="Arial" w:eastAsia="Arial" w:hAnsi="Arial"/>
          <w:sz w:val="13"/>
          <w:szCs w:val="13"/>
          <w:color w:val="auto"/>
        </w:rPr>
        <w:t>Other</w:t>
      </w:r>
    </w:p>
    <w:p>
      <w:pPr>
        <w:spacing w:after="0" w:line="88" w:lineRule="exact"/>
        <w:rPr>
          <w:sz w:val="20"/>
          <w:szCs w:val="20"/>
          <w:color w:val="auto"/>
        </w:rPr>
      </w:pPr>
    </w:p>
    <w:p>
      <w:pPr>
        <w:ind w:left="1540"/>
        <w:spacing w:after="0"/>
        <w:rPr>
          <w:sz w:val="20"/>
          <w:szCs w:val="20"/>
          <w:color w:val="auto"/>
        </w:rPr>
      </w:pPr>
      <w:r>
        <w:rPr>
          <w:rFonts w:ascii="Arial" w:cs="Arial" w:eastAsia="Arial" w:hAnsi="Arial"/>
          <w:sz w:val="13"/>
          <w:szCs w:val="13"/>
          <w:color w:val="auto"/>
        </w:rPr>
        <w:t>Communications revenue</w:t>
      </w:r>
    </w:p>
    <w:p>
      <w:pPr>
        <w:spacing w:after="0" w:line="267" w:lineRule="exact"/>
        <w:rPr>
          <w:sz w:val="20"/>
          <w:szCs w:val="20"/>
          <w:color w:val="auto"/>
        </w:rPr>
      </w:pPr>
    </w:p>
    <w:p>
      <w:pPr>
        <w:spacing w:after="0"/>
        <w:rPr>
          <w:sz w:val="20"/>
          <w:szCs w:val="20"/>
          <w:color w:val="auto"/>
        </w:rPr>
      </w:pPr>
      <w:r>
        <w:rPr>
          <w:rFonts w:ascii="Arial" w:cs="Arial" w:eastAsia="Arial" w:hAnsi="Arial"/>
          <w:sz w:val="14"/>
          <w:szCs w:val="14"/>
          <w:b w:val="1"/>
          <w:bCs w:val="1"/>
          <w:i w:val="1"/>
          <w:iCs w:val="1"/>
          <w:color w:val="auto"/>
        </w:rPr>
        <w:t>Other Income</w:t>
      </w:r>
    </w:p>
    <w:p>
      <w:pPr>
        <w:spacing w:after="0" w:line="141" w:lineRule="exact"/>
        <w:rPr>
          <w:sz w:val="20"/>
          <w:szCs w:val="20"/>
          <w:color w:val="auto"/>
        </w:rPr>
      </w:pPr>
    </w:p>
    <w:p>
      <w:pPr>
        <w:spacing w:after="0"/>
        <w:rPr>
          <w:sz w:val="20"/>
          <w:szCs w:val="20"/>
          <w:color w:val="auto"/>
        </w:rPr>
      </w:pPr>
      <w:r>
        <w:rPr>
          <w:rFonts w:ascii="Arial" w:cs="Arial" w:eastAsia="Arial" w:hAnsi="Arial"/>
          <w:sz w:val="13"/>
          <w:szCs w:val="13"/>
          <w:color w:val="auto"/>
        </w:rPr>
        <w:t>The following table provides the components of "other income" on the consolidated statements of income: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975360</wp:posOffset>
            </wp:positionH>
            <wp:positionV relativeFrom="paragraph">
              <wp:posOffset>329565</wp:posOffset>
            </wp:positionV>
            <wp:extent cx="5337810" cy="130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5337810" cy="130175"/>
                    </a:xfrm>
                    <a:prstGeom prst="rect">
                      <a:avLst/>
                    </a:prstGeom>
                    <a:noFill/>
                  </pic:spPr>
                </pic:pic>
              </a:graphicData>
            </a:graphic>
          </wp:anchor>
        </w:drawing>
      </w:r>
    </w:p>
    <w:p>
      <w:pPr>
        <w:spacing w:after="0" w:line="200" w:lineRule="exact"/>
        <w:rPr>
          <w:sz w:val="20"/>
          <w:szCs w:val="20"/>
          <w:color w:val="auto"/>
        </w:rPr>
      </w:pPr>
    </w:p>
    <w:p>
      <w:pPr>
        <w:spacing w:after="0" w:line="313" w:lineRule="exact"/>
        <w:rPr>
          <w:sz w:val="20"/>
          <w:szCs w:val="20"/>
          <w:color w:val="auto"/>
        </w:rPr>
      </w:pPr>
    </w:p>
    <w:p>
      <w:pPr>
        <w:ind w:left="1540"/>
        <w:spacing w:after="0"/>
        <w:rPr>
          <w:sz w:val="20"/>
          <w:szCs w:val="20"/>
          <w:color w:val="auto"/>
        </w:rPr>
      </w:pPr>
      <w:r>
        <w:rPr>
          <w:rFonts w:ascii="Arial" w:cs="Arial" w:eastAsia="Arial" w:hAnsi="Arial"/>
          <w:sz w:val="13"/>
          <w:szCs w:val="13"/>
          <w:color w:val="auto"/>
        </w:rPr>
        <w:t>Borrower late fee income</w:t>
      </w:r>
    </w:p>
    <w:p>
      <w:pPr>
        <w:spacing w:after="0" w:line="55" w:lineRule="exact"/>
        <w:rPr>
          <w:sz w:val="20"/>
          <w:szCs w:val="20"/>
          <w:color w:val="auto"/>
        </w:rPr>
      </w:pPr>
    </w:p>
    <w:p>
      <w:pPr>
        <w:ind w:left="1540"/>
        <w:spacing w:after="0"/>
        <w:rPr>
          <w:sz w:val="20"/>
          <w:szCs w:val="20"/>
          <w:color w:val="auto"/>
        </w:rPr>
      </w:pPr>
      <w:r>
        <w:rPr>
          <w:rFonts w:ascii="Arial" w:cs="Arial" w:eastAsia="Arial" w:hAnsi="Arial"/>
          <w:sz w:val="13"/>
          <w:szCs w:val="13"/>
          <w:color w:val="auto"/>
        </w:rPr>
        <w:t>Management fee revenue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975360</wp:posOffset>
            </wp:positionH>
            <wp:positionV relativeFrom="paragraph">
              <wp:posOffset>25400</wp:posOffset>
            </wp:positionV>
            <wp:extent cx="5337810" cy="130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5337810" cy="130175"/>
                    </a:xfrm>
                    <a:prstGeom prst="rect">
                      <a:avLst/>
                    </a:prstGeom>
                    <a:noFill/>
                  </pic:spPr>
                </pic:pic>
              </a:graphicData>
            </a:graphic>
          </wp:anchor>
        </w:drawing>
      </w:r>
    </w:p>
    <w:p>
      <w:pPr>
        <w:spacing w:after="0" w:line="35" w:lineRule="exact"/>
        <w:rPr>
          <w:sz w:val="20"/>
          <w:szCs w:val="20"/>
          <w:color w:val="auto"/>
        </w:rPr>
      </w:pPr>
    </w:p>
    <w:p>
      <w:pPr>
        <w:ind w:left="1540"/>
        <w:spacing w:after="0"/>
        <w:rPr>
          <w:sz w:val="20"/>
          <w:szCs w:val="20"/>
          <w:color w:val="auto"/>
        </w:rPr>
      </w:pPr>
      <w:r>
        <w:rPr>
          <w:rFonts w:ascii="Arial" w:cs="Arial" w:eastAsia="Arial" w:hAnsi="Arial"/>
          <w:sz w:val="13"/>
          <w:szCs w:val="13"/>
          <w:color w:val="auto"/>
        </w:rPr>
        <w:t>Investment advisory fees</w:t>
      </w:r>
    </w:p>
    <w:p>
      <w:pPr>
        <w:spacing w:after="0" w:line="55" w:lineRule="exact"/>
        <w:rPr>
          <w:sz w:val="20"/>
          <w:szCs w:val="20"/>
          <w:color w:val="auto"/>
        </w:rPr>
      </w:pPr>
    </w:p>
    <w:p>
      <w:pPr>
        <w:ind w:left="1540"/>
        <w:spacing w:after="0"/>
        <w:rPr>
          <w:sz w:val="20"/>
          <w:szCs w:val="20"/>
          <w:color w:val="auto"/>
        </w:rPr>
      </w:pPr>
      <w:r>
        <w:rPr>
          <w:rFonts w:ascii="Arial" w:cs="Arial" w:eastAsia="Arial" w:hAnsi="Arial"/>
          <w:sz w:val="13"/>
          <w:szCs w:val="13"/>
          <w:color w:val="auto"/>
        </w:rPr>
        <w:t>(Loss) gain on investments and notes receivable, net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975360</wp:posOffset>
            </wp:positionH>
            <wp:positionV relativeFrom="paragraph">
              <wp:posOffset>25400</wp:posOffset>
            </wp:positionV>
            <wp:extent cx="5337810" cy="13017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5337810" cy="130175"/>
                    </a:xfrm>
                    <a:prstGeom prst="rect">
                      <a:avLst/>
                    </a:prstGeom>
                    <a:noFill/>
                  </pic:spPr>
                </pic:pic>
              </a:graphicData>
            </a:graphic>
          </wp:anchor>
        </w:drawing>
      </w:r>
    </w:p>
    <w:p>
      <w:pPr>
        <w:spacing w:after="0" w:line="57" w:lineRule="exact"/>
        <w:rPr>
          <w:sz w:val="20"/>
          <w:szCs w:val="20"/>
          <w:color w:val="auto"/>
        </w:rPr>
      </w:pPr>
    </w:p>
    <w:p>
      <w:pPr>
        <w:ind w:left="1540"/>
        <w:spacing w:after="0"/>
        <w:rPr>
          <w:sz w:val="20"/>
          <w:szCs w:val="20"/>
          <w:color w:val="auto"/>
        </w:rPr>
      </w:pPr>
      <w:r>
        <w:rPr>
          <w:rFonts w:ascii="Arial" w:cs="Arial" w:eastAsia="Arial" w:hAnsi="Arial"/>
          <w:sz w:val="13"/>
          <w:szCs w:val="13"/>
          <w:color w:val="auto"/>
        </w:rPr>
        <w:t>Other</w:t>
      </w:r>
    </w:p>
    <w:p>
      <w:pPr>
        <w:spacing w:after="0" w:line="66" w:lineRule="exact"/>
        <w:rPr>
          <w:sz w:val="20"/>
          <w:szCs w:val="20"/>
          <w:color w:val="auto"/>
        </w:rPr>
      </w:pPr>
    </w:p>
    <w:p>
      <w:pPr>
        <w:ind w:left="1540"/>
        <w:spacing w:after="0"/>
        <w:rPr>
          <w:sz w:val="20"/>
          <w:szCs w:val="20"/>
          <w:color w:val="auto"/>
        </w:rPr>
      </w:pPr>
      <w:r>
        <w:rPr>
          <w:rFonts w:ascii="Arial" w:cs="Arial" w:eastAsia="Arial" w:hAnsi="Arial"/>
          <w:sz w:val="13"/>
          <w:szCs w:val="13"/>
          <w:color w:val="auto"/>
        </w:rPr>
        <w:t>Other income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ind w:left="720"/>
        <w:spacing w:after="0"/>
        <w:rPr>
          <w:sz w:val="20"/>
          <w:szCs w:val="20"/>
          <w:color w:val="auto"/>
        </w:rPr>
      </w:pPr>
      <w:r>
        <w:rPr>
          <w:rFonts w:ascii="Arial" w:cs="Arial" w:eastAsia="Arial" w:hAnsi="Arial"/>
          <w:sz w:val="13"/>
          <w:szCs w:val="13"/>
          <w:b w:val="1"/>
          <w:bCs w:val="1"/>
          <w:color w:val="auto"/>
        </w:rPr>
        <w:t>Three months ended 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27940</wp:posOffset>
            </wp:positionV>
            <wp:extent cx="2018665" cy="698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2018665" cy="6985"/>
                    </a:xfrm>
                    <a:prstGeom prst="rect">
                      <a:avLst/>
                    </a:prstGeom>
                    <a:noFill/>
                  </pic:spPr>
                </pic:pic>
              </a:graphicData>
            </a:graphic>
          </wp:anchor>
        </w:drawing>
      </w:r>
    </w:p>
    <w:p>
      <w:pPr>
        <w:spacing w:after="0" w:line="46"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360" w:type="dxa"/>
            <w:vAlign w:val="bottom"/>
          </w:tcPr>
          <w:p>
            <w:pPr>
              <w:spacing w:after="0"/>
              <w:rPr>
                <w:sz w:val="14"/>
                <w:szCs w:val="14"/>
                <w:color w:val="auto"/>
              </w:rPr>
            </w:pPr>
          </w:p>
        </w:tc>
        <w:tc>
          <w:tcPr>
            <w:tcW w:w="1180" w:type="dxa"/>
            <w:vAlign w:val="bottom"/>
          </w:tcPr>
          <w:p>
            <w:pPr>
              <w:jc w:val="right"/>
              <w:ind w:right="575"/>
              <w:spacing w:after="0"/>
              <w:rPr>
                <w:sz w:val="20"/>
                <w:szCs w:val="20"/>
                <w:color w:val="auto"/>
              </w:rPr>
            </w:pPr>
            <w:r>
              <w:rPr>
                <w:rFonts w:ascii="Arial" w:cs="Arial" w:eastAsia="Arial" w:hAnsi="Arial"/>
                <w:sz w:val="13"/>
                <w:szCs w:val="13"/>
                <w:b w:val="1"/>
                <w:bCs w:val="1"/>
                <w:color w:val="auto"/>
              </w:rPr>
              <w:t>2019</w:t>
            </w:r>
          </w:p>
        </w:tc>
        <w:tc>
          <w:tcPr>
            <w:tcW w:w="120" w:type="dxa"/>
            <w:vAlign w:val="bottom"/>
          </w:tcPr>
          <w:p>
            <w:pPr>
              <w:spacing w:after="0"/>
              <w:rPr>
                <w:sz w:val="14"/>
                <w:szCs w:val="14"/>
                <w:color w:val="auto"/>
              </w:rPr>
            </w:pPr>
          </w:p>
        </w:tc>
        <w:tc>
          <w:tcPr>
            <w:tcW w:w="1520" w:type="dxa"/>
            <w:vAlign w:val="bottom"/>
          </w:tcPr>
          <w:p>
            <w:pPr>
              <w:jc w:val="right"/>
              <w:ind w:right="575"/>
              <w:spacing w:after="0"/>
              <w:rPr>
                <w:sz w:val="20"/>
                <w:szCs w:val="20"/>
                <w:color w:val="auto"/>
              </w:rPr>
            </w:pPr>
            <w:r>
              <w:rPr>
                <w:rFonts w:ascii="Arial" w:cs="Arial" w:eastAsia="Arial" w:hAnsi="Arial"/>
                <w:sz w:val="13"/>
                <w:szCs w:val="13"/>
                <w:b w:val="1"/>
                <w:bCs w:val="1"/>
                <w:color w:val="auto"/>
              </w:rPr>
              <w:t>2018</w:t>
            </w:r>
          </w:p>
        </w:tc>
      </w:tr>
      <w:tr>
        <w:trPr>
          <w:trHeight w:val="27"/>
        </w:trPr>
        <w:tc>
          <w:tcPr>
            <w:tcW w:w="3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r>
      <w:tr>
        <w:trPr>
          <w:trHeight w:val="169"/>
        </w:trPr>
        <w:tc>
          <w:tcPr>
            <w:tcW w:w="360" w:type="dxa"/>
            <w:vAlign w:val="bottom"/>
          </w:tcPr>
          <w:p>
            <w:pPr>
              <w:jc w:val="right"/>
              <w:ind w:right="215"/>
              <w:spacing w:after="0"/>
              <w:rPr>
                <w:sz w:val="20"/>
                <w:szCs w:val="20"/>
                <w:color w:val="auto"/>
              </w:rPr>
            </w:pPr>
            <w:r>
              <w:rPr>
                <w:rFonts w:ascii="Arial" w:cs="Arial" w:eastAsia="Arial" w:hAnsi="Arial"/>
                <w:sz w:val="13"/>
                <w:szCs w:val="13"/>
                <w:color w:val="auto"/>
                <w:w w:val="82"/>
              </w:rPr>
              <w:t>$</w:t>
            </w:r>
          </w:p>
        </w:tc>
        <w:tc>
          <w:tcPr>
            <w:tcW w:w="1180" w:type="dxa"/>
            <w:vAlign w:val="bottom"/>
          </w:tcPr>
          <w:p>
            <w:pPr>
              <w:jc w:val="right"/>
              <w:spacing w:after="0"/>
              <w:rPr>
                <w:sz w:val="20"/>
                <w:szCs w:val="20"/>
                <w:color w:val="auto"/>
              </w:rPr>
            </w:pPr>
            <w:r>
              <w:rPr>
                <w:rFonts w:ascii="Arial" w:cs="Arial" w:eastAsia="Arial" w:hAnsi="Arial"/>
                <w:sz w:val="13"/>
                <w:szCs w:val="13"/>
                <w:color w:val="auto"/>
              </w:rPr>
              <w:t>30,173</w:t>
            </w:r>
          </w:p>
        </w:tc>
        <w:tc>
          <w:tcPr>
            <w:tcW w:w="120" w:type="dxa"/>
            <w:vAlign w:val="bottom"/>
          </w:tcPr>
          <w:p>
            <w:pPr>
              <w:spacing w:after="0"/>
              <w:rPr>
                <w:sz w:val="14"/>
                <w:szCs w:val="14"/>
                <w:color w:val="auto"/>
              </w:rPr>
            </w:pPr>
          </w:p>
        </w:tc>
        <w:tc>
          <w:tcPr>
            <w:tcW w:w="1520" w:type="dxa"/>
            <w:vAlign w:val="bottom"/>
          </w:tcPr>
          <w:p>
            <w:pPr>
              <w:jc w:val="right"/>
              <w:spacing w:after="0"/>
              <w:rPr>
                <w:sz w:val="20"/>
                <w:szCs w:val="20"/>
                <w:color w:val="auto"/>
              </w:rPr>
            </w:pPr>
            <w:r>
              <w:rPr>
                <w:rFonts w:ascii="Arial" w:cs="Arial" w:eastAsia="Arial" w:hAnsi="Arial"/>
                <w:sz w:val="13"/>
                <w:szCs w:val="13"/>
                <w:color w:val="auto"/>
              </w:rPr>
              <w:t>23,043</w:t>
            </w:r>
          </w:p>
        </w:tc>
      </w:tr>
      <w:tr>
        <w:trPr>
          <w:trHeight w:val="205"/>
        </w:trPr>
        <w:tc>
          <w:tcPr>
            <w:tcW w:w="360" w:type="dxa"/>
            <w:vAlign w:val="bottom"/>
          </w:tcPr>
          <w:p>
            <w:pPr>
              <w:spacing w:after="0"/>
              <w:rPr>
                <w:sz w:val="17"/>
                <w:szCs w:val="17"/>
                <w:color w:val="auto"/>
              </w:rPr>
            </w:pPr>
          </w:p>
        </w:tc>
        <w:tc>
          <w:tcPr>
            <w:tcW w:w="1180" w:type="dxa"/>
            <w:vAlign w:val="bottom"/>
          </w:tcPr>
          <w:p>
            <w:pPr>
              <w:jc w:val="right"/>
              <w:spacing w:after="0"/>
              <w:rPr>
                <w:sz w:val="20"/>
                <w:szCs w:val="20"/>
                <w:color w:val="auto"/>
              </w:rPr>
            </w:pPr>
            <w:r>
              <w:rPr>
                <w:rFonts w:ascii="Arial" w:cs="Arial" w:eastAsia="Arial" w:hAnsi="Arial"/>
                <w:sz w:val="13"/>
                <w:szCs w:val="13"/>
                <w:color w:val="auto"/>
              </w:rPr>
              <w:t>28,979</w:t>
            </w:r>
          </w:p>
        </w:tc>
        <w:tc>
          <w:tcPr>
            <w:tcW w:w="120" w:type="dxa"/>
            <w:vAlign w:val="bottom"/>
          </w:tcPr>
          <w:p>
            <w:pPr>
              <w:spacing w:after="0"/>
              <w:rPr>
                <w:sz w:val="17"/>
                <w:szCs w:val="17"/>
                <w:color w:val="auto"/>
              </w:rPr>
            </w:pPr>
          </w:p>
        </w:tc>
        <w:tc>
          <w:tcPr>
            <w:tcW w:w="1520" w:type="dxa"/>
            <w:vAlign w:val="bottom"/>
          </w:tcPr>
          <w:p>
            <w:pPr>
              <w:jc w:val="right"/>
              <w:spacing w:after="0"/>
              <w:rPr>
                <w:sz w:val="20"/>
                <w:szCs w:val="20"/>
                <w:color w:val="auto"/>
              </w:rPr>
            </w:pPr>
            <w:r>
              <w:rPr>
                <w:rFonts w:ascii="Arial" w:cs="Arial" w:eastAsia="Arial" w:hAnsi="Arial"/>
                <w:sz w:val="13"/>
                <w:szCs w:val="13"/>
                <w:color w:val="auto"/>
              </w:rPr>
              <w:t>19,926</w:t>
            </w:r>
          </w:p>
        </w:tc>
      </w:tr>
      <w:tr>
        <w:trPr>
          <w:trHeight w:val="205"/>
        </w:trPr>
        <w:tc>
          <w:tcPr>
            <w:tcW w:w="360" w:type="dxa"/>
            <w:vAlign w:val="bottom"/>
          </w:tcPr>
          <w:p>
            <w:pPr>
              <w:spacing w:after="0"/>
              <w:rPr>
                <w:sz w:val="17"/>
                <w:szCs w:val="17"/>
                <w:color w:val="auto"/>
              </w:rPr>
            </w:pPr>
          </w:p>
        </w:tc>
        <w:tc>
          <w:tcPr>
            <w:tcW w:w="1180" w:type="dxa"/>
            <w:vAlign w:val="bottom"/>
          </w:tcPr>
          <w:p>
            <w:pPr>
              <w:jc w:val="right"/>
              <w:spacing w:after="0"/>
              <w:rPr>
                <w:sz w:val="20"/>
                <w:szCs w:val="20"/>
                <w:color w:val="auto"/>
              </w:rPr>
            </w:pPr>
            <w:r>
              <w:rPr>
                <w:rFonts w:ascii="Arial" w:cs="Arial" w:eastAsia="Arial" w:hAnsi="Arial"/>
                <w:sz w:val="13"/>
                <w:szCs w:val="13"/>
                <w:color w:val="auto"/>
              </w:rPr>
              <w:t>19,709</w:t>
            </w:r>
          </w:p>
        </w:tc>
        <w:tc>
          <w:tcPr>
            <w:tcW w:w="120" w:type="dxa"/>
            <w:vAlign w:val="bottom"/>
          </w:tcPr>
          <w:p>
            <w:pPr>
              <w:spacing w:after="0"/>
              <w:rPr>
                <w:sz w:val="17"/>
                <w:szCs w:val="17"/>
                <w:color w:val="auto"/>
              </w:rPr>
            </w:pPr>
          </w:p>
        </w:tc>
        <w:tc>
          <w:tcPr>
            <w:tcW w:w="1520" w:type="dxa"/>
            <w:vAlign w:val="bottom"/>
          </w:tcPr>
          <w:p>
            <w:pPr>
              <w:jc w:val="right"/>
              <w:spacing w:after="0"/>
              <w:rPr>
                <w:sz w:val="20"/>
                <w:szCs w:val="20"/>
                <w:color w:val="auto"/>
              </w:rPr>
            </w:pPr>
            <w:r>
              <w:rPr>
                <w:rFonts w:ascii="Arial" w:cs="Arial" w:eastAsia="Arial" w:hAnsi="Arial"/>
                <w:sz w:val="13"/>
                <w:szCs w:val="13"/>
                <w:color w:val="auto"/>
              </w:rPr>
              <w:t>16,975</w:t>
            </w:r>
          </w:p>
        </w:tc>
      </w:tr>
      <w:tr>
        <w:trPr>
          <w:trHeight w:val="205"/>
        </w:trPr>
        <w:tc>
          <w:tcPr>
            <w:tcW w:w="360" w:type="dxa"/>
            <w:vAlign w:val="bottom"/>
          </w:tcPr>
          <w:p>
            <w:pPr>
              <w:spacing w:after="0"/>
              <w:rPr>
                <w:sz w:val="17"/>
                <w:szCs w:val="17"/>
                <w:color w:val="auto"/>
              </w:rPr>
            </w:pPr>
          </w:p>
        </w:tc>
        <w:tc>
          <w:tcPr>
            <w:tcW w:w="1180" w:type="dxa"/>
            <w:vAlign w:val="bottom"/>
          </w:tcPr>
          <w:p>
            <w:pPr>
              <w:jc w:val="right"/>
              <w:spacing w:after="0"/>
              <w:rPr>
                <w:sz w:val="20"/>
                <w:szCs w:val="20"/>
                <w:color w:val="auto"/>
              </w:rPr>
            </w:pPr>
            <w:r>
              <w:rPr>
                <w:rFonts w:ascii="Arial" w:cs="Arial" w:eastAsia="Arial" w:hAnsi="Arial"/>
                <w:sz w:val="13"/>
                <w:szCs w:val="13"/>
                <w:color w:val="auto"/>
              </w:rPr>
              <w:t>298</w:t>
            </w:r>
          </w:p>
        </w:tc>
        <w:tc>
          <w:tcPr>
            <w:tcW w:w="120" w:type="dxa"/>
            <w:vAlign w:val="bottom"/>
          </w:tcPr>
          <w:p>
            <w:pPr>
              <w:spacing w:after="0"/>
              <w:rPr>
                <w:sz w:val="17"/>
                <w:szCs w:val="17"/>
                <w:color w:val="auto"/>
              </w:rPr>
            </w:pPr>
          </w:p>
        </w:tc>
        <w:tc>
          <w:tcPr>
            <w:tcW w:w="1520" w:type="dxa"/>
            <w:vAlign w:val="bottom"/>
          </w:tcPr>
          <w:p>
            <w:pPr>
              <w:jc w:val="right"/>
              <w:spacing w:after="0"/>
              <w:rPr>
                <w:sz w:val="20"/>
                <w:szCs w:val="20"/>
                <w:color w:val="auto"/>
              </w:rPr>
            </w:pPr>
            <w:r>
              <w:rPr>
                <w:rFonts w:ascii="Arial" w:cs="Arial" w:eastAsia="Arial" w:hAnsi="Arial"/>
                <w:sz w:val="13"/>
                <w:szCs w:val="13"/>
                <w:color w:val="auto"/>
              </w:rPr>
              <w:t>277</w:t>
            </w:r>
          </w:p>
        </w:tc>
      </w:tr>
      <w:tr>
        <w:trPr>
          <w:trHeight w:val="27"/>
        </w:trPr>
        <w:tc>
          <w:tcPr>
            <w:tcW w:w="3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r>
      <w:tr>
        <w:trPr>
          <w:trHeight w:val="169"/>
        </w:trPr>
        <w:tc>
          <w:tcPr>
            <w:tcW w:w="360" w:type="dxa"/>
            <w:vAlign w:val="bottom"/>
          </w:tcPr>
          <w:p>
            <w:pPr>
              <w:jc w:val="right"/>
              <w:ind w:right="215"/>
              <w:spacing w:after="0"/>
              <w:rPr>
                <w:sz w:val="20"/>
                <w:szCs w:val="20"/>
                <w:color w:val="auto"/>
              </w:rPr>
            </w:pPr>
            <w:r>
              <w:rPr>
                <w:rFonts w:ascii="Arial" w:cs="Arial" w:eastAsia="Arial" w:hAnsi="Arial"/>
                <w:sz w:val="13"/>
                <w:szCs w:val="13"/>
                <w:color w:val="auto"/>
                <w:w w:val="82"/>
              </w:rPr>
              <w:t>$</w:t>
            </w:r>
          </w:p>
        </w:tc>
        <w:tc>
          <w:tcPr>
            <w:tcW w:w="1180" w:type="dxa"/>
            <w:vAlign w:val="bottom"/>
          </w:tcPr>
          <w:p>
            <w:pPr>
              <w:jc w:val="right"/>
              <w:spacing w:after="0"/>
              <w:rPr>
                <w:sz w:val="20"/>
                <w:szCs w:val="20"/>
                <w:color w:val="auto"/>
              </w:rPr>
            </w:pPr>
            <w:r>
              <w:rPr>
                <w:rFonts w:ascii="Arial" w:cs="Arial" w:eastAsia="Arial" w:hAnsi="Arial"/>
                <w:sz w:val="13"/>
                <w:szCs w:val="13"/>
                <w:color w:val="auto"/>
              </w:rPr>
              <w:t>79,159</w:t>
            </w:r>
          </w:p>
        </w:tc>
        <w:tc>
          <w:tcPr>
            <w:tcW w:w="120" w:type="dxa"/>
            <w:vAlign w:val="bottom"/>
          </w:tcPr>
          <w:p>
            <w:pPr>
              <w:spacing w:after="0"/>
              <w:rPr>
                <w:sz w:val="14"/>
                <w:szCs w:val="14"/>
                <w:color w:val="auto"/>
              </w:rPr>
            </w:pPr>
          </w:p>
        </w:tc>
        <w:tc>
          <w:tcPr>
            <w:tcW w:w="1520" w:type="dxa"/>
            <w:vAlign w:val="bottom"/>
          </w:tcPr>
          <w:p>
            <w:pPr>
              <w:jc w:val="right"/>
              <w:spacing w:after="0"/>
              <w:rPr>
                <w:sz w:val="20"/>
                <w:szCs w:val="20"/>
                <w:color w:val="auto"/>
              </w:rPr>
            </w:pPr>
            <w:r>
              <w:rPr>
                <w:rFonts w:ascii="Arial" w:cs="Arial" w:eastAsia="Arial" w:hAnsi="Arial"/>
                <w:sz w:val="13"/>
                <w:szCs w:val="13"/>
                <w:color w:val="auto"/>
              </w:rPr>
              <w:t>60,221</w:t>
            </w:r>
          </w:p>
        </w:tc>
      </w:tr>
      <w:tr>
        <w:trPr>
          <w:trHeight w:val="27"/>
        </w:trPr>
        <w:tc>
          <w:tcPr>
            <w:tcW w:w="3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r>
      <w:tr>
        <w:trPr>
          <w:trHeight w:val="20"/>
        </w:trPr>
        <w:tc>
          <w:tcPr>
            <w:tcW w:w="3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20" w:lineRule="exact"/>
        <w:rPr>
          <w:sz w:val="20"/>
          <w:szCs w:val="20"/>
          <w:color w:val="auto"/>
        </w:rPr>
      </w:pPr>
    </w:p>
    <w:p>
      <w:pPr>
        <w:ind w:left="720"/>
        <w:spacing w:after="0"/>
        <w:rPr>
          <w:sz w:val="20"/>
          <w:szCs w:val="20"/>
          <w:color w:val="auto"/>
        </w:rPr>
      </w:pPr>
      <w:r>
        <w:rPr>
          <w:rFonts w:ascii="Arial" w:cs="Arial" w:eastAsia="Arial" w:hAnsi="Arial"/>
          <w:sz w:val="13"/>
          <w:szCs w:val="13"/>
          <w:b w:val="1"/>
          <w:bCs w:val="1"/>
          <w:color w:val="auto"/>
        </w:rPr>
        <w:t>Three months ended 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27940</wp:posOffset>
            </wp:positionV>
            <wp:extent cx="2018665" cy="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2018665" cy="6985"/>
                    </a:xfrm>
                    <a:prstGeom prst="rect">
                      <a:avLst/>
                    </a:prstGeom>
                    <a:noFill/>
                  </pic:spPr>
                </pic:pic>
              </a:graphicData>
            </a:graphic>
          </wp:anchor>
        </w:drawing>
      </w:r>
    </w:p>
    <w:p>
      <w:pPr>
        <w:spacing w:after="0" w:line="46"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360" w:type="dxa"/>
            <w:vAlign w:val="bottom"/>
          </w:tcPr>
          <w:p>
            <w:pPr>
              <w:spacing w:after="0"/>
              <w:rPr>
                <w:sz w:val="14"/>
                <w:szCs w:val="14"/>
                <w:color w:val="auto"/>
              </w:rPr>
            </w:pPr>
          </w:p>
        </w:tc>
        <w:tc>
          <w:tcPr>
            <w:tcW w:w="1180" w:type="dxa"/>
            <w:vAlign w:val="bottom"/>
          </w:tcPr>
          <w:p>
            <w:pPr>
              <w:jc w:val="right"/>
              <w:ind w:right="575"/>
              <w:spacing w:after="0"/>
              <w:rPr>
                <w:sz w:val="20"/>
                <w:szCs w:val="20"/>
                <w:color w:val="auto"/>
              </w:rPr>
            </w:pPr>
            <w:r>
              <w:rPr>
                <w:rFonts w:ascii="Arial" w:cs="Arial" w:eastAsia="Arial" w:hAnsi="Arial"/>
                <w:sz w:val="13"/>
                <w:szCs w:val="13"/>
                <w:b w:val="1"/>
                <w:bCs w:val="1"/>
                <w:color w:val="auto"/>
              </w:rPr>
              <w:t>2019</w:t>
            </w:r>
          </w:p>
        </w:tc>
        <w:tc>
          <w:tcPr>
            <w:tcW w:w="120" w:type="dxa"/>
            <w:vAlign w:val="bottom"/>
          </w:tcPr>
          <w:p>
            <w:pPr>
              <w:spacing w:after="0"/>
              <w:rPr>
                <w:sz w:val="14"/>
                <w:szCs w:val="14"/>
                <w:color w:val="auto"/>
              </w:rPr>
            </w:pPr>
          </w:p>
        </w:tc>
        <w:tc>
          <w:tcPr>
            <w:tcW w:w="1520" w:type="dxa"/>
            <w:vAlign w:val="bottom"/>
          </w:tcPr>
          <w:p>
            <w:pPr>
              <w:jc w:val="right"/>
              <w:ind w:right="575"/>
              <w:spacing w:after="0"/>
              <w:rPr>
                <w:sz w:val="20"/>
                <w:szCs w:val="20"/>
                <w:color w:val="auto"/>
              </w:rPr>
            </w:pPr>
            <w:r>
              <w:rPr>
                <w:rFonts w:ascii="Arial" w:cs="Arial" w:eastAsia="Arial" w:hAnsi="Arial"/>
                <w:sz w:val="13"/>
                <w:szCs w:val="13"/>
                <w:b w:val="1"/>
                <w:bCs w:val="1"/>
                <w:color w:val="auto"/>
              </w:rPr>
              <w:t>2018</w:t>
            </w:r>
          </w:p>
        </w:tc>
      </w:tr>
      <w:tr>
        <w:trPr>
          <w:trHeight w:val="27"/>
        </w:trPr>
        <w:tc>
          <w:tcPr>
            <w:tcW w:w="3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r>
      <w:tr>
        <w:trPr>
          <w:trHeight w:val="169"/>
        </w:trPr>
        <w:tc>
          <w:tcPr>
            <w:tcW w:w="360" w:type="dxa"/>
            <w:vAlign w:val="bottom"/>
          </w:tcPr>
          <w:p>
            <w:pPr>
              <w:jc w:val="right"/>
              <w:ind w:right="215"/>
              <w:spacing w:after="0"/>
              <w:rPr>
                <w:sz w:val="20"/>
                <w:szCs w:val="20"/>
                <w:color w:val="auto"/>
              </w:rPr>
            </w:pPr>
            <w:r>
              <w:rPr>
                <w:rFonts w:ascii="Arial" w:cs="Arial" w:eastAsia="Arial" w:hAnsi="Arial"/>
                <w:sz w:val="13"/>
                <w:szCs w:val="13"/>
                <w:color w:val="auto"/>
                <w:w w:val="82"/>
              </w:rPr>
              <w:t>$</w:t>
            </w:r>
          </w:p>
        </w:tc>
        <w:tc>
          <w:tcPr>
            <w:tcW w:w="1180" w:type="dxa"/>
            <w:vAlign w:val="bottom"/>
          </w:tcPr>
          <w:p>
            <w:pPr>
              <w:jc w:val="right"/>
              <w:spacing w:after="0"/>
              <w:rPr>
                <w:sz w:val="20"/>
                <w:szCs w:val="20"/>
                <w:color w:val="auto"/>
              </w:rPr>
            </w:pPr>
            <w:r>
              <w:rPr>
                <w:rFonts w:ascii="Arial" w:cs="Arial" w:eastAsia="Arial" w:hAnsi="Arial"/>
                <w:sz w:val="13"/>
                <w:szCs w:val="13"/>
                <w:color w:val="auto"/>
              </w:rPr>
              <w:t>8,449</w:t>
            </w:r>
          </w:p>
        </w:tc>
        <w:tc>
          <w:tcPr>
            <w:tcW w:w="120" w:type="dxa"/>
            <w:vAlign w:val="bottom"/>
          </w:tcPr>
          <w:p>
            <w:pPr>
              <w:spacing w:after="0"/>
              <w:rPr>
                <w:sz w:val="14"/>
                <w:szCs w:val="14"/>
                <w:color w:val="auto"/>
              </w:rPr>
            </w:pPr>
          </w:p>
        </w:tc>
        <w:tc>
          <w:tcPr>
            <w:tcW w:w="1520" w:type="dxa"/>
            <w:vAlign w:val="bottom"/>
          </w:tcPr>
          <w:p>
            <w:pPr>
              <w:jc w:val="right"/>
              <w:spacing w:after="0"/>
              <w:rPr>
                <w:sz w:val="20"/>
                <w:szCs w:val="20"/>
                <w:color w:val="auto"/>
              </w:rPr>
            </w:pPr>
            <w:r>
              <w:rPr>
                <w:rFonts w:ascii="Arial" w:cs="Arial" w:eastAsia="Arial" w:hAnsi="Arial"/>
                <w:sz w:val="13"/>
                <w:szCs w:val="13"/>
                <w:color w:val="auto"/>
              </w:rPr>
              <w:t>4,696</w:t>
            </w:r>
          </w:p>
        </w:tc>
      </w:tr>
      <w:tr>
        <w:trPr>
          <w:trHeight w:val="205"/>
        </w:trPr>
        <w:tc>
          <w:tcPr>
            <w:tcW w:w="360" w:type="dxa"/>
            <w:vAlign w:val="bottom"/>
          </w:tcPr>
          <w:p>
            <w:pPr>
              <w:spacing w:after="0"/>
              <w:rPr>
                <w:sz w:val="17"/>
                <w:szCs w:val="17"/>
                <w:color w:val="auto"/>
              </w:rPr>
            </w:pPr>
          </w:p>
        </w:tc>
        <w:tc>
          <w:tcPr>
            <w:tcW w:w="1180" w:type="dxa"/>
            <w:vAlign w:val="bottom"/>
          </w:tcPr>
          <w:p>
            <w:pPr>
              <w:jc w:val="right"/>
              <w:spacing w:after="0"/>
              <w:rPr>
                <w:sz w:val="20"/>
                <w:szCs w:val="20"/>
                <w:color w:val="auto"/>
              </w:rPr>
            </w:pPr>
            <w:r>
              <w:rPr>
                <w:rFonts w:ascii="Arial" w:cs="Arial" w:eastAsia="Arial" w:hAnsi="Arial"/>
                <w:sz w:val="13"/>
                <w:szCs w:val="13"/>
                <w:color w:val="auto"/>
              </w:rPr>
              <w:t>3,898</w:t>
            </w:r>
          </w:p>
        </w:tc>
        <w:tc>
          <w:tcPr>
            <w:tcW w:w="120" w:type="dxa"/>
            <w:vAlign w:val="bottom"/>
          </w:tcPr>
          <w:p>
            <w:pPr>
              <w:spacing w:after="0"/>
              <w:rPr>
                <w:sz w:val="17"/>
                <w:szCs w:val="17"/>
                <w:color w:val="auto"/>
              </w:rPr>
            </w:pPr>
          </w:p>
        </w:tc>
        <w:tc>
          <w:tcPr>
            <w:tcW w:w="1520" w:type="dxa"/>
            <w:vAlign w:val="bottom"/>
          </w:tcPr>
          <w:p>
            <w:pPr>
              <w:jc w:val="right"/>
              <w:spacing w:after="0"/>
              <w:rPr>
                <w:sz w:val="20"/>
                <w:szCs w:val="20"/>
                <w:color w:val="auto"/>
              </w:rPr>
            </w:pPr>
            <w:r>
              <w:rPr>
                <w:rFonts w:ascii="Arial" w:cs="Arial" w:eastAsia="Arial" w:hAnsi="Arial"/>
                <w:sz w:val="13"/>
                <w:szCs w:val="13"/>
                <w:color w:val="auto"/>
              </w:rPr>
              <w:t>2,784</w:t>
            </w:r>
          </w:p>
        </w:tc>
      </w:tr>
      <w:tr>
        <w:trPr>
          <w:trHeight w:val="205"/>
        </w:trPr>
        <w:tc>
          <w:tcPr>
            <w:tcW w:w="360" w:type="dxa"/>
            <w:vAlign w:val="bottom"/>
          </w:tcPr>
          <w:p>
            <w:pPr>
              <w:spacing w:after="0"/>
              <w:rPr>
                <w:sz w:val="17"/>
                <w:szCs w:val="17"/>
                <w:color w:val="auto"/>
              </w:rPr>
            </w:pPr>
          </w:p>
        </w:tc>
        <w:tc>
          <w:tcPr>
            <w:tcW w:w="1180" w:type="dxa"/>
            <w:vAlign w:val="bottom"/>
          </w:tcPr>
          <w:p>
            <w:pPr>
              <w:jc w:val="right"/>
              <w:spacing w:after="0"/>
              <w:rPr>
                <w:sz w:val="20"/>
                <w:szCs w:val="20"/>
                <w:color w:val="auto"/>
              </w:rPr>
            </w:pPr>
            <w:r>
              <w:rPr>
                <w:rFonts w:ascii="Arial" w:cs="Arial" w:eastAsia="Arial" w:hAnsi="Arial"/>
                <w:sz w:val="13"/>
                <w:szCs w:val="13"/>
                <w:color w:val="auto"/>
              </w:rPr>
              <w:t>2,167</w:t>
            </w:r>
          </w:p>
        </w:tc>
        <w:tc>
          <w:tcPr>
            <w:tcW w:w="120" w:type="dxa"/>
            <w:vAlign w:val="bottom"/>
          </w:tcPr>
          <w:p>
            <w:pPr>
              <w:spacing w:after="0"/>
              <w:rPr>
                <w:sz w:val="17"/>
                <w:szCs w:val="17"/>
                <w:color w:val="auto"/>
              </w:rPr>
            </w:pPr>
          </w:p>
        </w:tc>
        <w:tc>
          <w:tcPr>
            <w:tcW w:w="1520" w:type="dxa"/>
            <w:vAlign w:val="bottom"/>
          </w:tcPr>
          <w:p>
            <w:pPr>
              <w:jc w:val="right"/>
              <w:spacing w:after="0"/>
              <w:rPr>
                <w:sz w:val="20"/>
                <w:szCs w:val="20"/>
                <w:color w:val="auto"/>
              </w:rPr>
            </w:pPr>
            <w:r>
              <w:rPr>
                <w:rFonts w:ascii="Arial" w:cs="Arial" w:eastAsia="Arial" w:hAnsi="Arial"/>
                <w:sz w:val="13"/>
                <w:szCs w:val="13"/>
                <w:color w:val="auto"/>
              </w:rPr>
              <w:t>1,691</w:t>
            </w:r>
          </w:p>
        </w:tc>
      </w:tr>
      <w:tr>
        <w:trPr>
          <w:trHeight w:val="205"/>
        </w:trPr>
        <w:tc>
          <w:tcPr>
            <w:tcW w:w="360" w:type="dxa"/>
            <w:vAlign w:val="bottom"/>
          </w:tcPr>
          <w:p>
            <w:pPr>
              <w:spacing w:after="0"/>
              <w:rPr>
                <w:sz w:val="17"/>
                <w:szCs w:val="17"/>
                <w:color w:val="auto"/>
              </w:rPr>
            </w:pPr>
          </w:p>
        </w:tc>
        <w:tc>
          <w:tcPr>
            <w:tcW w:w="1180" w:type="dxa"/>
            <w:vAlign w:val="bottom"/>
          </w:tcPr>
          <w:p>
            <w:pPr>
              <w:jc w:val="right"/>
              <w:spacing w:after="0"/>
              <w:rPr>
                <w:sz w:val="20"/>
                <w:szCs w:val="20"/>
                <w:color w:val="auto"/>
              </w:rPr>
            </w:pPr>
            <w:r>
              <w:rPr>
                <w:rFonts w:ascii="Arial" w:cs="Arial" w:eastAsia="Arial" w:hAnsi="Arial"/>
                <w:sz w:val="13"/>
                <w:szCs w:val="13"/>
                <w:color w:val="auto"/>
              </w:rPr>
              <w:t>29</w:t>
            </w:r>
          </w:p>
        </w:tc>
        <w:tc>
          <w:tcPr>
            <w:tcW w:w="120" w:type="dxa"/>
            <w:vAlign w:val="bottom"/>
          </w:tcPr>
          <w:p>
            <w:pPr>
              <w:spacing w:after="0"/>
              <w:rPr>
                <w:sz w:val="17"/>
                <w:szCs w:val="17"/>
                <w:color w:val="auto"/>
              </w:rPr>
            </w:pPr>
          </w:p>
        </w:tc>
        <w:tc>
          <w:tcPr>
            <w:tcW w:w="1520" w:type="dxa"/>
            <w:vAlign w:val="bottom"/>
          </w:tcPr>
          <w:p>
            <w:pPr>
              <w:jc w:val="right"/>
              <w:spacing w:after="0"/>
              <w:rPr>
                <w:sz w:val="20"/>
                <w:szCs w:val="20"/>
                <w:color w:val="auto"/>
              </w:rPr>
            </w:pPr>
            <w:r>
              <w:rPr>
                <w:rFonts w:ascii="Arial" w:cs="Arial" w:eastAsia="Arial" w:hAnsi="Arial"/>
                <w:sz w:val="13"/>
                <w:szCs w:val="13"/>
                <w:color w:val="auto"/>
              </w:rPr>
              <w:t>18</w:t>
            </w:r>
          </w:p>
        </w:tc>
      </w:tr>
      <w:tr>
        <w:trPr>
          <w:trHeight w:val="27"/>
        </w:trPr>
        <w:tc>
          <w:tcPr>
            <w:tcW w:w="3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r>
      <w:tr>
        <w:trPr>
          <w:trHeight w:val="169"/>
        </w:trPr>
        <w:tc>
          <w:tcPr>
            <w:tcW w:w="360" w:type="dxa"/>
            <w:vAlign w:val="bottom"/>
          </w:tcPr>
          <w:p>
            <w:pPr>
              <w:jc w:val="right"/>
              <w:ind w:right="215"/>
              <w:spacing w:after="0"/>
              <w:rPr>
                <w:sz w:val="20"/>
                <w:szCs w:val="20"/>
                <w:color w:val="auto"/>
              </w:rPr>
            </w:pPr>
            <w:r>
              <w:rPr>
                <w:rFonts w:ascii="Arial" w:cs="Arial" w:eastAsia="Arial" w:hAnsi="Arial"/>
                <w:sz w:val="13"/>
                <w:szCs w:val="13"/>
                <w:color w:val="auto"/>
                <w:w w:val="82"/>
              </w:rPr>
              <w:t>$</w:t>
            </w:r>
          </w:p>
        </w:tc>
        <w:tc>
          <w:tcPr>
            <w:tcW w:w="1180" w:type="dxa"/>
            <w:vAlign w:val="bottom"/>
          </w:tcPr>
          <w:p>
            <w:pPr>
              <w:jc w:val="right"/>
              <w:spacing w:after="0"/>
              <w:rPr>
                <w:sz w:val="20"/>
                <w:szCs w:val="20"/>
                <w:color w:val="auto"/>
              </w:rPr>
            </w:pPr>
            <w:r>
              <w:rPr>
                <w:rFonts w:ascii="Arial" w:cs="Arial" w:eastAsia="Arial" w:hAnsi="Arial"/>
                <w:sz w:val="13"/>
                <w:szCs w:val="13"/>
                <w:color w:val="auto"/>
              </w:rPr>
              <w:t>14,543</w:t>
            </w:r>
          </w:p>
        </w:tc>
        <w:tc>
          <w:tcPr>
            <w:tcW w:w="120" w:type="dxa"/>
            <w:vAlign w:val="bottom"/>
          </w:tcPr>
          <w:p>
            <w:pPr>
              <w:spacing w:after="0"/>
              <w:rPr>
                <w:sz w:val="14"/>
                <w:szCs w:val="14"/>
                <w:color w:val="auto"/>
              </w:rPr>
            </w:pPr>
          </w:p>
        </w:tc>
        <w:tc>
          <w:tcPr>
            <w:tcW w:w="1520" w:type="dxa"/>
            <w:vAlign w:val="bottom"/>
          </w:tcPr>
          <w:p>
            <w:pPr>
              <w:jc w:val="right"/>
              <w:spacing w:after="0"/>
              <w:rPr>
                <w:sz w:val="20"/>
                <w:szCs w:val="20"/>
                <w:color w:val="auto"/>
              </w:rPr>
            </w:pPr>
            <w:r>
              <w:rPr>
                <w:rFonts w:ascii="Arial" w:cs="Arial" w:eastAsia="Arial" w:hAnsi="Arial"/>
                <w:sz w:val="13"/>
                <w:szCs w:val="13"/>
                <w:color w:val="auto"/>
              </w:rPr>
              <w:t>9,189</w:t>
            </w:r>
          </w:p>
        </w:tc>
      </w:tr>
      <w:tr>
        <w:trPr>
          <w:trHeight w:val="27"/>
        </w:trPr>
        <w:tc>
          <w:tcPr>
            <w:tcW w:w="3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r>
      <w:tr>
        <w:trPr>
          <w:trHeight w:val="20"/>
        </w:trPr>
        <w:tc>
          <w:tcPr>
            <w:tcW w:w="3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r>
      <w:tr>
        <w:trPr>
          <w:trHeight w:val="312"/>
        </w:trPr>
        <w:tc>
          <w:tcPr>
            <w:tcW w:w="360" w:type="dxa"/>
            <w:vAlign w:val="bottom"/>
          </w:tcPr>
          <w:p>
            <w:pPr>
              <w:jc w:val="right"/>
              <w:ind w:right="215"/>
              <w:spacing w:after="0"/>
              <w:rPr>
                <w:sz w:val="20"/>
                <w:szCs w:val="20"/>
                <w:color w:val="auto"/>
              </w:rPr>
            </w:pPr>
            <w:r>
              <w:rPr>
                <w:rFonts w:ascii="Arial" w:cs="Arial" w:eastAsia="Arial" w:hAnsi="Arial"/>
                <w:sz w:val="13"/>
                <w:szCs w:val="13"/>
                <w:color w:val="auto"/>
                <w:w w:val="82"/>
              </w:rPr>
              <w:t>$</w:t>
            </w:r>
          </w:p>
        </w:tc>
        <w:tc>
          <w:tcPr>
            <w:tcW w:w="1180" w:type="dxa"/>
            <w:vAlign w:val="bottom"/>
          </w:tcPr>
          <w:p>
            <w:pPr>
              <w:jc w:val="right"/>
              <w:spacing w:after="0"/>
              <w:rPr>
                <w:sz w:val="20"/>
                <w:szCs w:val="20"/>
                <w:color w:val="auto"/>
              </w:rPr>
            </w:pPr>
            <w:r>
              <w:rPr>
                <w:rFonts w:ascii="Arial" w:cs="Arial" w:eastAsia="Arial" w:hAnsi="Arial"/>
                <w:sz w:val="13"/>
                <w:szCs w:val="13"/>
                <w:color w:val="auto"/>
              </w:rPr>
              <w:t>11,065</w:t>
            </w:r>
          </w:p>
        </w:tc>
        <w:tc>
          <w:tcPr>
            <w:tcW w:w="120" w:type="dxa"/>
            <w:vAlign w:val="bottom"/>
          </w:tcPr>
          <w:p>
            <w:pPr>
              <w:spacing w:after="0"/>
              <w:rPr>
                <w:sz w:val="24"/>
                <w:szCs w:val="24"/>
                <w:color w:val="auto"/>
              </w:rPr>
            </w:pPr>
          </w:p>
        </w:tc>
        <w:tc>
          <w:tcPr>
            <w:tcW w:w="1520" w:type="dxa"/>
            <w:vAlign w:val="bottom"/>
          </w:tcPr>
          <w:p>
            <w:pPr>
              <w:jc w:val="right"/>
              <w:spacing w:after="0"/>
              <w:rPr>
                <w:sz w:val="20"/>
                <w:szCs w:val="20"/>
                <w:color w:val="auto"/>
              </w:rPr>
            </w:pPr>
            <w:r>
              <w:rPr>
                <w:rFonts w:ascii="Arial" w:cs="Arial" w:eastAsia="Arial" w:hAnsi="Arial"/>
                <w:sz w:val="13"/>
                <w:szCs w:val="13"/>
                <w:color w:val="auto"/>
              </w:rPr>
              <w:t>6,747</w:t>
            </w:r>
          </w:p>
        </w:tc>
      </w:tr>
      <w:tr>
        <w:trPr>
          <w:trHeight w:val="205"/>
        </w:trPr>
        <w:tc>
          <w:tcPr>
            <w:tcW w:w="360" w:type="dxa"/>
            <w:vAlign w:val="bottom"/>
          </w:tcPr>
          <w:p>
            <w:pPr>
              <w:spacing w:after="0"/>
              <w:rPr>
                <w:sz w:val="17"/>
                <w:szCs w:val="17"/>
                <w:color w:val="auto"/>
              </w:rPr>
            </w:pPr>
          </w:p>
        </w:tc>
        <w:tc>
          <w:tcPr>
            <w:tcW w:w="1180" w:type="dxa"/>
            <w:vAlign w:val="bottom"/>
          </w:tcPr>
          <w:p>
            <w:pPr>
              <w:jc w:val="right"/>
              <w:spacing w:after="0"/>
              <w:rPr>
                <w:sz w:val="20"/>
                <w:szCs w:val="20"/>
                <w:color w:val="auto"/>
              </w:rPr>
            </w:pPr>
            <w:r>
              <w:rPr>
                <w:rFonts w:ascii="Arial" w:cs="Arial" w:eastAsia="Arial" w:hAnsi="Arial"/>
                <w:sz w:val="13"/>
                <w:szCs w:val="13"/>
                <w:color w:val="auto"/>
              </w:rPr>
              <w:t>3,414</w:t>
            </w:r>
          </w:p>
        </w:tc>
        <w:tc>
          <w:tcPr>
            <w:tcW w:w="120" w:type="dxa"/>
            <w:vAlign w:val="bottom"/>
          </w:tcPr>
          <w:p>
            <w:pPr>
              <w:spacing w:after="0"/>
              <w:rPr>
                <w:sz w:val="17"/>
                <w:szCs w:val="17"/>
                <w:color w:val="auto"/>
              </w:rPr>
            </w:pPr>
          </w:p>
        </w:tc>
        <w:tc>
          <w:tcPr>
            <w:tcW w:w="1520" w:type="dxa"/>
            <w:vAlign w:val="bottom"/>
          </w:tcPr>
          <w:p>
            <w:pPr>
              <w:jc w:val="right"/>
              <w:spacing w:after="0"/>
              <w:rPr>
                <w:sz w:val="20"/>
                <w:szCs w:val="20"/>
                <w:color w:val="auto"/>
              </w:rPr>
            </w:pPr>
            <w:r>
              <w:rPr>
                <w:rFonts w:ascii="Arial" w:cs="Arial" w:eastAsia="Arial" w:hAnsi="Arial"/>
                <w:sz w:val="13"/>
                <w:szCs w:val="13"/>
                <w:color w:val="auto"/>
              </w:rPr>
              <w:t>2,381</w:t>
            </w:r>
          </w:p>
        </w:tc>
      </w:tr>
      <w:tr>
        <w:trPr>
          <w:trHeight w:val="205"/>
        </w:trPr>
        <w:tc>
          <w:tcPr>
            <w:tcW w:w="360" w:type="dxa"/>
            <w:vAlign w:val="bottom"/>
          </w:tcPr>
          <w:p>
            <w:pPr>
              <w:spacing w:after="0"/>
              <w:rPr>
                <w:sz w:val="17"/>
                <w:szCs w:val="17"/>
                <w:color w:val="auto"/>
              </w:rPr>
            </w:pPr>
          </w:p>
        </w:tc>
        <w:tc>
          <w:tcPr>
            <w:tcW w:w="1180" w:type="dxa"/>
            <w:vAlign w:val="bottom"/>
          </w:tcPr>
          <w:p>
            <w:pPr>
              <w:jc w:val="right"/>
              <w:spacing w:after="0"/>
              <w:rPr>
                <w:sz w:val="20"/>
                <w:szCs w:val="20"/>
                <w:color w:val="auto"/>
              </w:rPr>
            </w:pPr>
            <w:r>
              <w:rPr>
                <w:rFonts w:ascii="Arial" w:cs="Arial" w:eastAsia="Arial" w:hAnsi="Arial"/>
                <w:sz w:val="13"/>
                <w:szCs w:val="13"/>
                <w:color w:val="auto"/>
              </w:rPr>
              <w:t>64</w:t>
            </w:r>
          </w:p>
        </w:tc>
        <w:tc>
          <w:tcPr>
            <w:tcW w:w="120" w:type="dxa"/>
            <w:vAlign w:val="bottom"/>
          </w:tcPr>
          <w:p>
            <w:pPr>
              <w:spacing w:after="0"/>
              <w:rPr>
                <w:sz w:val="17"/>
                <w:szCs w:val="17"/>
                <w:color w:val="auto"/>
              </w:rPr>
            </w:pPr>
          </w:p>
        </w:tc>
        <w:tc>
          <w:tcPr>
            <w:tcW w:w="1520" w:type="dxa"/>
            <w:vAlign w:val="bottom"/>
          </w:tcPr>
          <w:p>
            <w:pPr>
              <w:jc w:val="right"/>
              <w:spacing w:after="0"/>
              <w:rPr>
                <w:sz w:val="20"/>
                <w:szCs w:val="20"/>
                <w:color w:val="auto"/>
              </w:rPr>
            </w:pPr>
            <w:r>
              <w:rPr>
                <w:rFonts w:ascii="Arial" w:cs="Arial" w:eastAsia="Arial" w:hAnsi="Arial"/>
                <w:sz w:val="13"/>
                <w:szCs w:val="13"/>
                <w:color w:val="auto"/>
              </w:rPr>
              <w:t>61</w:t>
            </w:r>
          </w:p>
        </w:tc>
      </w:tr>
      <w:tr>
        <w:trPr>
          <w:trHeight w:val="27"/>
        </w:trPr>
        <w:tc>
          <w:tcPr>
            <w:tcW w:w="3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r>
      <w:tr>
        <w:trPr>
          <w:trHeight w:val="169"/>
        </w:trPr>
        <w:tc>
          <w:tcPr>
            <w:tcW w:w="360" w:type="dxa"/>
            <w:vAlign w:val="bottom"/>
          </w:tcPr>
          <w:p>
            <w:pPr>
              <w:jc w:val="right"/>
              <w:ind w:right="215"/>
              <w:spacing w:after="0"/>
              <w:rPr>
                <w:sz w:val="20"/>
                <w:szCs w:val="20"/>
                <w:color w:val="auto"/>
              </w:rPr>
            </w:pPr>
            <w:r>
              <w:rPr>
                <w:rFonts w:ascii="Arial" w:cs="Arial" w:eastAsia="Arial" w:hAnsi="Arial"/>
                <w:sz w:val="13"/>
                <w:szCs w:val="13"/>
                <w:color w:val="auto"/>
                <w:w w:val="82"/>
              </w:rPr>
              <w:t>$</w:t>
            </w:r>
          </w:p>
        </w:tc>
        <w:tc>
          <w:tcPr>
            <w:tcW w:w="1180" w:type="dxa"/>
            <w:vAlign w:val="bottom"/>
          </w:tcPr>
          <w:p>
            <w:pPr>
              <w:jc w:val="right"/>
              <w:spacing w:after="0"/>
              <w:rPr>
                <w:sz w:val="20"/>
                <w:szCs w:val="20"/>
                <w:color w:val="auto"/>
              </w:rPr>
            </w:pPr>
            <w:r>
              <w:rPr>
                <w:rFonts w:ascii="Arial" w:cs="Arial" w:eastAsia="Arial" w:hAnsi="Arial"/>
                <w:sz w:val="13"/>
                <w:szCs w:val="13"/>
                <w:color w:val="auto"/>
              </w:rPr>
              <w:t>14,543</w:t>
            </w:r>
          </w:p>
        </w:tc>
        <w:tc>
          <w:tcPr>
            <w:tcW w:w="120" w:type="dxa"/>
            <w:vAlign w:val="bottom"/>
          </w:tcPr>
          <w:p>
            <w:pPr>
              <w:spacing w:after="0"/>
              <w:rPr>
                <w:sz w:val="14"/>
                <w:szCs w:val="14"/>
                <w:color w:val="auto"/>
              </w:rPr>
            </w:pPr>
          </w:p>
        </w:tc>
        <w:tc>
          <w:tcPr>
            <w:tcW w:w="1520" w:type="dxa"/>
            <w:vAlign w:val="bottom"/>
          </w:tcPr>
          <w:p>
            <w:pPr>
              <w:jc w:val="right"/>
              <w:spacing w:after="0"/>
              <w:rPr>
                <w:sz w:val="20"/>
                <w:szCs w:val="20"/>
                <w:color w:val="auto"/>
              </w:rPr>
            </w:pPr>
            <w:r>
              <w:rPr>
                <w:rFonts w:ascii="Arial" w:cs="Arial" w:eastAsia="Arial" w:hAnsi="Arial"/>
                <w:sz w:val="13"/>
                <w:szCs w:val="13"/>
                <w:color w:val="auto"/>
              </w:rPr>
              <w:t>9,189</w:t>
            </w:r>
          </w:p>
        </w:tc>
      </w:tr>
      <w:tr>
        <w:trPr>
          <w:trHeight w:val="27"/>
        </w:trPr>
        <w:tc>
          <w:tcPr>
            <w:tcW w:w="3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r>
      <w:tr>
        <w:trPr>
          <w:trHeight w:val="20"/>
        </w:trPr>
        <w:tc>
          <w:tcPr>
            <w:tcW w:w="3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ind w:left="720"/>
        <w:spacing w:after="0"/>
        <w:rPr>
          <w:sz w:val="20"/>
          <w:szCs w:val="20"/>
          <w:color w:val="auto"/>
        </w:rPr>
      </w:pPr>
      <w:r>
        <w:rPr>
          <w:rFonts w:ascii="Arial" w:cs="Arial" w:eastAsia="Arial" w:hAnsi="Arial"/>
          <w:sz w:val="13"/>
          <w:szCs w:val="13"/>
          <w:b w:val="1"/>
          <w:bCs w:val="1"/>
          <w:color w:val="auto"/>
        </w:rPr>
        <w:t>Three months ended 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27940</wp:posOffset>
            </wp:positionV>
            <wp:extent cx="2018665" cy="698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2018665" cy="6985"/>
                    </a:xfrm>
                    <a:prstGeom prst="rect">
                      <a:avLst/>
                    </a:prstGeom>
                    <a:noFill/>
                  </pic:spPr>
                </pic:pic>
              </a:graphicData>
            </a:graphic>
          </wp:anchor>
        </w:drawing>
      </w:r>
    </w:p>
    <w:p>
      <w:pPr>
        <w:spacing w:after="0" w:line="46"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360" w:type="dxa"/>
            <w:vAlign w:val="bottom"/>
          </w:tcPr>
          <w:p>
            <w:pPr>
              <w:spacing w:after="0"/>
              <w:rPr>
                <w:sz w:val="14"/>
                <w:szCs w:val="14"/>
                <w:color w:val="auto"/>
              </w:rPr>
            </w:pPr>
          </w:p>
        </w:tc>
        <w:tc>
          <w:tcPr>
            <w:tcW w:w="1180" w:type="dxa"/>
            <w:vAlign w:val="bottom"/>
          </w:tcPr>
          <w:p>
            <w:pPr>
              <w:jc w:val="right"/>
              <w:ind w:right="575"/>
              <w:spacing w:after="0"/>
              <w:rPr>
                <w:sz w:val="20"/>
                <w:szCs w:val="20"/>
                <w:color w:val="auto"/>
              </w:rPr>
            </w:pPr>
            <w:r>
              <w:rPr>
                <w:rFonts w:ascii="Arial" w:cs="Arial" w:eastAsia="Arial" w:hAnsi="Arial"/>
                <w:sz w:val="13"/>
                <w:szCs w:val="13"/>
                <w:b w:val="1"/>
                <w:bCs w:val="1"/>
                <w:color w:val="auto"/>
              </w:rPr>
              <w:t>2019</w:t>
            </w:r>
          </w:p>
        </w:tc>
        <w:tc>
          <w:tcPr>
            <w:tcW w:w="120" w:type="dxa"/>
            <w:vAlign w:val="bottom"/>
          </w:tcPr>
          <w:p>
            <w:pPr>
              <w:spacing w:after="0"/>
              <w:rPr>
                <w:sz w:val="14"/>
                <w:szCs w:val="14"/>
                <w:color w:val="auto"/>
              </w:rPr>
            </w:pPr>
          </w:p>
        </w:tc>
        <w:tc>
          <w:tcPr>
            <w:tcW w:w="1520" w:type="dxa"/>
            <w:vAlign w:val="bottom"/>
          </w:tcPr>
          <w:p>
            <w:pPr>
              <w:jc w:val="right"/>
              <w:ind w:right="575"/>
              <w:spacing w:after="0"/>
              <w:rPr>
                <w:sz w:val="20"/>
                <w:szCs w:val="20"/>
                <w:color w:val="auto"/>
              </w:rPr>
            </w:pPr>
            <w:r>
              <w:rPr>
                <w:rFonts w:ascii="Arial" w:cs="Arial" w:eastAsia="Arial" w:hAnsi="Arial"/>
                <w:sz w:val="13"/>
                <w:szCs w:val="13"/>
                <w:b w:val="1"/>
                <w:bCs w:val="1"/>
                <w:color w:val="auto"/>
              </w:rPr>
              <w:t>2018</w:t>
            </w:r>
          </w:p>
        </w:tc>
      </w:tr>
      <w:tr>
        <w:trPr>
          <w:trHeight w:val="205"/>
        </w:trPr>
        <w:tc>
          <w:tcPr>
            <w:tcW w:w="360" w:type="dxa"/>
            <w:vAlign w:val="bottom"/>
          </w:tcPr>
          <w:p>
            <w:pPr>
              <w:jc w:val="right"/>
              <w:ind w:right="215"/>
              <w:spacing w:after="0"/>
              <w:rPr>
                <w:sz w:val="20"/>
                <w:szCs w:val="20"/>
                <w:color w:val="auto"/>
              </w:rPr>
            </w:pPr>
            <w:r>
              <w:rPr>
                <w:rFonts w:ascii="Arial" w:cs="Arial" w:eastAsia="Arial" w:hAnsi="Arial"/>
                <w:sz w:val="13"/>
                <w:szCs w:val="13"/>
                <w:color w:val="auto"/>
                <w:w w:val="82"/>
              </w:rPr>
              <w:t>$</w:t>
            </w:r>
          </w:p>
        </w:tc>
        <w:tc>
          <w:tcPr>
            <w:tcW w:w="1180" w:type="dxa"/>
            <w:vAlign w:val="bottom"/>
          </w:tcPr>
          <w:p>
            <w:pPr>
              <w:jc w:val="right"/>
              <w:spacing w:after="0"/>
              <w:rPr>
                <w:sz w:val="20"/>
                <w:szCs w:val="20"/>
                <w:color w:val="auto"/>
              </w:rPr>
            </w:pPr>
            <w:r>
              <w:rPr>
                <w:rFonts w:ascii="Arial" w:cs="Arial" w:eastAsia="Arial" w:hAnsi="Arial"/>
                <w:sz w:val="13"/>
                <w:szCs w:val="13"/>
                <w:color w:val="auto"/>
              </w:rPr>
              <w:t>3,512</w:t>
            </w:r>
          </w:p>
        </w:tc>
        <w:tc>
          <w:tcPr>
            <w:tcW w:w="120" w:type="dxa"/>
            <w:vAlign w:val="bottom"/>
          </w:tcPr>
          <w:p>
            <w:pPr>
              <w:spacing w:after="0"/>
              <w:rPr>
                <w:sz w:val="17"/>
                <w:szCs w:val="17"/>
                <w:color w:val="auto"/>
              </w:rPr>
            </w:pPr>
          </w:p>
        </w:tc>
        <w:tc>
          <w:tcPr>
            <w:tcW w:w="1520" w:type="dxa"/>
            <w:vAlign w:val="bottom"/>
          </w:tcPr>
          <w:p>
            <w:pPr>
              <w:jc w:val="right"/>
              <w:spacing w:after="0"/>
              <w:rPr>
                <w:sz w:val="20"/>
                <w:szCs w:val="20"/>
                <w:color w:val="auto"/>
              </w:rPr>
            </w:pPr>
            <w:r>
              <w:rPr>
                <w:rFonts w:ascii="Arial" w:cs="Arial" w:eastAsia="Arial" w:hAnsi="Arial"/>
                <w:sz w:val="13"/>
                <w:szCs w:val="13"/>
                <w:color w:val="auto"/>
              </w:rPr>
              <w:t>2,983</w:t>
            </w:r>
          </w:p>
        </w:tc>
      </w:tr>
      <w:tr>
        <w:trPr>
          <w:trHeight w:val="205"/>
        </w:trPr>
        <w:tc>
          <w:tcPr>
            <w:tcW w:w="360" w:type="dxa"/>
            <w:vAlign w:val="bottom"/>
          </w:tcPr>
          <w:p>
            <w:pPr>
              <w:spacing w:after="0"/>
              <w:rPr>
                <w:sz w:val="17"/>
                <w:szCs w:val="17"/>
                <w:color w:val="auto"/>
              </w:rPr>
            </w:pPr>
          </w:p>
        </w:tc>
        <w:tc>
          <w:tcPr>
            <w:tcW w:w="1180" w:type="dxa"/>
            <w:vAlign w:val="bottom"/>
          </w:tcPr>
          <w:p>
            <w:pPr>
              <w:jc w:val="right"/>
              <w:spacing w:after="0"/>
              <w:rPr>
                <w:sz w:val="20"/>
                <w:szCs w:val="20"/>
                <w:color w:val="auto"/>
              </w:rPr>
            </w:pPr>
            <w:r>
              <w:rPr>
                <w:rFonts w:ascii="Arial" w:cs="Arial" w:eastAsia="Arial" w:hAnsi="Arial"/>
                <w:sz w:val="13"/>
                <w:szCs w:val="13"/>
                <w:color w:val="auto"/>
              </w:rPr>
              <w:t>1,872</w:t>
            </w:r>
          </w:p>
        </w:tc>
        <w:tc>
          <w:tcPr>
            <w:tcW w:w="120" w:type="dxa"/>
            <w:vAlign w:val="bottom"/>
          </w:tcPr>
          <w:p>
            <w:pPr>
              <w:spacing w:after="0"/>
              <w:rPr>
                <w:sz w:val="17"/>
                <w:szCs w:val="17"/>
                <w:color w:val="auto"/>
              </w:rPr>
            </w:pPr>
          </w:p>
        </w:tc>
        <w:tc>
          <w:tcPr>
            <w:tcW w:w="1520" w:type="dxa"/>
            <w:vAlign w:val="bottom"/>
          </w:tcPr>
          <w:p>
            <w:pPr>
              <w:jc w:val="right"/>
              <w:spacing w:after="0"/>
              <w:rPr>
                <w:sz w:val="20"/>
                <w:szCs w:val="20"/>
                <w:color w:val="auto"/>
              </w:rPr>
            </w:pPr>
            <w:r>
              <w:rPr>
                <w:rFonts w:ascii="Arial" w:cs="Arial" w:eastAsia="Arial" w:hAnsi="Arial"/>
                <w:sz w:val="13"/>
                <w:szCs w:val="13"/>
                <w:color w:val="auto"/>
              </w:rPr>
              <w:t>1,161</w:t>
            </w:r>
          </w:p>
        </w:tc>
      </w:tr>
      <w:tr>
        <w:trPr>
          <w:trHeight w:val="205"/>
        </w:trPr>
        <w:tc>
          <w:tcPr>
            <w:tcW w:w="360" w:type="dxa"/>
            <w:vAlign w:val="bottom"/>
          </w:tcPr>
          <w:p>
            <w:pPr>
              <w:spacing w:after="0"/>
              <w:rPr>
                <w:sz w:val="17"/>
                <w:szCs w:val="17"/>
                <w:color w:val="auto"/>
              </w:rPr>
            </w:pPr>
          </w:p>
        </w:tc>
        <w:tc>
          <w:tcPr>
            <w:tcW w:w="1180" w:type="dxa"/>
            <w:vAlign w:val="bottom"/>
          </w:tcPr>
          <w:p>
            <w:pPr>
              <w:jc w:val="right"/>
              <w:spacing w:after="0"/>
              <w:rPr>
                <w:sz w:val="20"/>
                <w:szCs w:val="20"/>
                <w:color w:val="auto"/>
              </w:rPr>
            </w:pPr>
            <w:r>
              <w:rPr>
                <w:rFonts w:ascii="Arial" w:cs="Arial" w:eastAsia="Arial" w:hAnsi="Arial"/>
                <w:sz w:val="13"/>
                <w:szCs w:val="13"/>
                <w:color w:val="auto"/>
              </w:rPr>
              <w:t>711</w:t>
            </w:r>
          </w:p>
        </w:tc>
        <w:tc>
          <w:tcPr>
            <w:tcW w:w="120" w:type="dxa"/>
            <w:vAlign w:val="bottom"/>
          </w:tcPr>
          <w:p>
            <w:pPr>
              <w:spacing w:after="0"/>
              <w:rPr>
                <w:sz w:val="17"/>
                <w:szCs w:val="17"/>
                <w:color w:val="auto"/>
              </w:rPr>
            </w:pPr>
          </w:p>
        </w:tc>
        <w:tc>
          <w:tcPr>
            <w:tcW w:w="1520" w:type="dxa"/>
            <w:vAlign w:val="bottom"/>
          </w:tcPr>
          <w:p>
            <w:pPr>
              <w:jc w:val="right"/>
              <w:spacing w:after="0"/>
              <w:rPr>
                <w:sz w:val="20"/>
                <w:szCs w:val="20"/>
                <w:color w:val="auto"/>
              </w:rPr>
            </w:pPr>
            <w:r>
              <w:rPr>
                <w:rFonts w:ascii="Arial" w:cs="Arial" w:eastAsia="Arial" w:hAnsi="Arial"/>
                <w:sz w:val="13"/>
                <w:szCs w:val="13"/>
                <w:color w:val="auto"/>
              </w:rPr>
              <w:t>1,593</w:t>
            </w:r>
          </w:p>
        </w:tc>
      </w:tr>
      <w:tr>
        <w:trPr>
          <w:trHeight w:val="205"/>
        </w:trPr>
        <w:tc>
          <w:tcPr>
            <w:tcW w:w="360" w:type="dxa"/>
            <w:vAlign w:val="bottom"/>
          </w:tcPr>
          <w:p>
            <w:pPr>
              <w:spacing w:after="0"/>
              <w:rPr>
                <w:sz w:val="17"/>
                <w:szCs w:val="17"/>
                <w:color w:val="auto"/>
              </w:rPr>
            </w:pPr>
          </w:p>
        </w:tc>
        <w:tc>
          <w:tcPr>
            <w:tcW w:w="1180" w:type="dxa"/>
            <w:vAlign w:val="bottom"/>
          </w:tcPr>
          <w:p>
            <w:pPr>
              <w:jc w:val="right"/>
              <w:spacing w:after="0"/>
              <w:rPr>
                <w:sz w:val="20"/>
                <w:szCs w:val="20"/>
                <w:color w:val="auto"/>
              </w:rPr>
            </w:pPr>
            <w:r>
              <w:rPr>
                <w:rFonts w:ascii="Arial" w:cs="Arial" w:eastAsia="Arial" w:hAnsi="Arial"/>
                <w:sz w:val="13"/>
                <w:szCs w:val="13"/>
                <w:color w:val="auto"/>
              </w:rPr>
              <w:t>(427)</w:t>
            </w:r>
          </w:p>
        </w:tc>
        <w:tc>
          <w:tcPr>
            <w:tcW w:w="120" w:type="dxa"/>
            <w:vAlign w:val="bottom"/>
          </w:tcPr>
          <w:p>
            <w:pPr>
              <w:spacing w:after="0"/>
              <w:rPr>
                <w:sz w:val="17"/>
                <w:szCs w:val="17"/>
                <w:color w:val="auto"/>
              </w:rPr>
            </w:pPr>
          </w:p>
        </w:tc>
        <w:tc>
          <w:tcPr>
            <w:tcW w:w="1520" w:type="dxa"/>
            <w:vAlign w:val="bottom"/>
          </w:tcPr>
          <w:p>
            <w:pPr>
              <w:jc w:val="right"/>
              <w:spacing w:after="0"/>
              <w:rPr>
                <w:sz w:val="20"/>
                <w:szCs w:val="20"/>
                <w:color w:val="auto"/>
              </w:rPr>
            </w:pPr>
            <w:r>
              <w:rPr>
                <w:rFonts w:ascii="Arial" w:cs="Arial" w:eastAsia="Arial" w:hAnsi="Arial"/>
                <w:sz w:val="13"/>
                <w:szCs w:val="13"/>
                <w:color w:val="auto"/>
              </w:rPr>
              <w:t>8,688</w:t>
            </w:r>
          </w:p>
        </w:tc>
      </w:tr>
      <w:tr>
        <w:trPr>
          <w:trHeight w:val="205"/>
        </w:trPr>
        <w:tc>
          <w:tcPr>
            <w:tcW w:w="360" w:type="dxa"/>
            <w:vAlign w:val="bottom"/>
          </w:tcPr>
          <w:p>
            <w:pPr>
              <w:spacing w:after="0"/>
              <w:rPr>
                <w:sz w:val="17"/>
                <w:szCs w:val="17"/>
                <w:color w:val="auto"/>
              </w:rPr>
            </w:pPr>
          </w:p>
        </w:tc>
        <w:tc>
          <w:tcPr>
            <w:tcW w:w="1180" w:type="dxa"/>
            <w:vAlign w:val="bottom"/>
          </w:tcPr>
          <w:p>
            <w:pPr>
              <w:jc w:val="right"/>
              <w:spacing w:after="0"/>
              <w:rPr>
                <w:sz w:val="20"/>
                <w:szCs w:val="20"/>
                <w:color w:val="auto"/>
              </w:rPr>
            </w:pPr>
            <w:r>
              <w:rPr>
                <w:rFonts w:ascii="Arial" w:cs="Arial" w:eastAsia="Arial" w:hAnsi="Arial"/>
                <w:sz w:val="13"/>
                <w:szCs w:val="13"/>
                <w:color w:val="auto"/>
              </w:rPr>
              <w:t>3,399</w:t>
            </w:r>
          </w:p>
        </w:tc>
        <w:tc>
          <w:tcPr>
            <w:tcW w:w="120" w:type="dxa"/>
            <w:vAlign w:val="bottom"/>
          </w:tcPr>
          <w:p>
            <w:pPr>
              <w:spacing w:after="0"/>
              <w:rPr>
                <w:sz w:val="17"/>
                <w:szCs w:val="17"/>
                <w:color w:val="auto"/>
              </w:rPr>
            </w:pPr>
          </w:p>
        </w:tc>
        <w:tc>
          <w:tcPr>
            <w:tcW w:w="1520" w:type="dxa"/>
            <w:vAlign w:val="bottom"/>
          </w:tcPr>
          <w:p>
            <w:pPr>
              <w:jc w:val="right"/>
              <w:spacing w:after="0"/>
              <w:rPr>
                <w:sz w:val="20"/>
                <w:szCs w:val="20"/>
                <w:color w:val="auto"/>
              </w:rPr>
            </w:pPr>
            <w:r>
              <w:rPr>
                <w:rFonts w:ascii="Arial" w:cs="Arial" w:eastAsia="Arial" w:hAnsi="Arial"/>
                <w:sz w:val="13"/>
                <w:szCs w:val="13"/>
                <w:color w:val="auto"/>
              </w:rPr>
              <w:t>4,132</w:t>
            </w:r>
          </w:p>
        </w:tc>
      </w:tr>
      <w:tr>
        <w:trPr>
          <w:trHeight w:val="27"/>
        </w:trPr>
        <w:tc>
          <w:tcPr>
            <w:tcW w:w="3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r>
      <w:tr>
        <w:trPr>
          <w:trHeight w:val="169"/>
        </w:trPr>
        <w:tc>
          <w:tcPr>
            <w:tcW w:w="360" w:type="dxa"/>
            <w:vAlign w:val="bottom"/>
          </w:tcPr>
          <w:p>
            <w:pPr>
              <w:jc w:val="right"/>
              <w:ind w:right="215"/>
              <w:spacing w:after="0"/>
              <w:rPr>
                <w:sz w:val="20"/>
                <w:szCs w:val="20"/>
                <w:color w:val="auto"/>
              </w:rPr>
            </w:pPr>
            <w:r>
              <w:rPr>
                <w:rFonts w:ascii="Arial" w:cs="Arial" w:eastAsia="Arial" w:hAnsi="Arial"/>
                <w:sz w:val="13"/>
                <w:szCs w:val="13"/>
                <w:color w:val="auto"/>
                <w:w w:val="82"/>
              </w:rPr>
              <w:t>$</w:t>
            </w:r>
          </w:p>
        </w:tc>
        <w:tc>
          <w:tcPr>
            <w:tcW w:w="1180" w:type="dxa"/>
            <w:vAlign w:val="bottom"/>
          </w:tcPr>
          <w:p>
            <w:pPr>
              <w:jc w:val="right"/>
              <w:spacing w:after="0"/>
              <w:rPr>
                <w:sz w:val="20"/>
                <w:szCs w:val="20"/>
                <w:color w:val="auto"/>
              </w:rPr>
            </w:pPr>
            <w:r>
              <w:rPr>
                <w:rFonts w:ascii="Arial" w:cs="Arial" w:eastAsia="Arial" w:hAnsi="Arial"/>
                <w:sz w:val="13"/>
                <w:szCs w:val="13"/>
                <w:color w:val="auto"/>
              </w:rPr>
              <w:t>9,067</w:t>
            </w:r>
          </w:p>
        </w:tc>
        <w:tc>
          <w:tcPr>
            <w:tcW w:w="120" w:type="dxa"/>
            <w:vAlign w:val="bottom"/>
          </w:tcPr>
          <w:p>
            <w:pPr>
              <w:spacing w:after="0"/>
              <w:rPr>
                <w:sz w:val="14"/>
                <w:szCs w:val="14"/>
                <w:color w:val="auto"/>
              </w:rPr>
            </w:pPr>
          </w:p>
        </w:tc>
        <w:tc>
          <w:tcPr>
            <w:tcW w:w="1520" w:type="dxa"/>
            <w:vAlign w:val="bottom"/>
          </w:tcPr>
          <w:p>
            <w:pPr>
              <w:jc w:val="right"/>
              <w:spacing w:after="0"/>
              <w:rPr>
                <w:sz w:val="20"/>
                <w:szCs w:val="20"/>
                <w:color w:val="auto"/>
              </w:rPr>
            </w:pPr>
            <w:r>
              <w:rPr>
                <w:rFonts w:ascii="Arial" w:cs="Arial" w:eastAsia="Arial" w:hAnsi="Arial"/>
                <w:sz w:val="13"/>
                <w:szCs w:val="13"/>
                <w:color w:val="auto"/>
              </w:rPr>
              <w:t>18,557</w:t>
            </w:r>
          </w:p>
        </w:tc>
      </w:tr>
      <w:tr>
        <w:trPr>
          <w:trHeight w:val="27"/>
        </w:trPr>
        <w:tc>
          <w:tcPr>
            <w:tcW w:w="3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r>
      <w:tr>
        <w:trPr>
          <w:trHeight w:val="20"/>
        </w:trPr>
        <w:tc>
          <w:tcPr>
            <w:tcW w:w="3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6120" w:space="640"/>
            <w:col w:w="3479"/>
          </w:cols>
          <w:pgMar w:left="220" w:top="739" w:right="1440"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ind w:left="5660"/>
        <w:spacing w:after="0"/>
        <w:rPr>
          <w:sz w:val="20"/>
          <w:szCs w:val="20"/>
          <w:color w:val="auto"/>
        </w:rPr>
      </w:pPr>
      <w:r>
        <w:rPr>
          <w:rFonts w:ascii="Arial" w:cs="Arial" w:eastAsia="Arial" w:hAnsi="Arial"/>
          <w:sz w:val="12"/>
          <w:szCs w:val="12"/>
          <w:color w:val="auto"/>
        </w:rPr>
        <w:t>22</w:t>
      </w:r>
    </w:p>
    <w:p>
      <w:pPr>
        <w:sectPr>
          <w:pgSz w:w="11900" w:h="16838" w:orient="portrait"/>
          <w:cols w:equalWidth="0" w:num="1">
            <w:col w:w="10239"/>
          </w:cols>
          <w:pgMar w:left="220" w:top="739" w:right="1440" w:bottom="1440" w:gutter="0" w:footer="0" w:header="0"/>
          <w:type w:val="continuous"/>
        </w:sectPr>
      </w:pPr>
    </w:p>
    <w:bookmarkStart w:id="23" w:name="page24"/>
    <w:bookmarkEnd w:id="23"/>
    <w:p>
      <w:pPr>
        <w:spacing w:after="0"/>
        <w:rPr>
          <w:sz w:val="20"/>
          <w:szCs w:val="20"/>
          <w:color w:val="auto"/>
        </w:rPr>
      </w:pPr>
      <w:r>
        <w:rPr>
          <w:rFonts w:ascii="Arial" w:cs="Arial" w:eastAsia="Arial" w:hAnsi="Arial"/>
          <w:sz w:val="14"/>
          <w:szCs w:val="14"/>
          <w:b w:val="1"/>
          <w:bCs w:val="1"/>
          <w:i w:val="1"/>
          <w:iCs w:val="1"/>
          <w:color w:val="auto"/>
        </w:rPr>
        <w:t>Deferred Revenue</w:t>
      </w:r>
    </w:p>
    <w:p>
      <w:pPr>
        <w:spacing w:after="0" w:line="141" w:lineRule="exact"/>
        <w:rPr>
          <w:sz w:val="20"/>
          <w:szCs w:val="20"/>
          <w:color w:val="auto"/>
        </w:rPr>
      </w:pPr>
    </w:p>
    <w:p>
      <w:pPr>
        <w:spacing w:after="0"/>
        <w:rPr>
          <w:sz w:val="20"/>
          <w:szCs w:val="20"/>
          <w:color w:val="auto"/>
        </w:rPr>
      </w:pPr>
      <w:r>
        <w:rPr>
          <w:rFonts w:ascii="Arial" w:cs="Arial" w:eastAsia="Arial" w:hAnsi="Arial"/>
          <w:sz w:val="14"/>
          <w:szCs w:val="14"/>
          <w:color w:val="auto"/>
        </w:rPr>
        <w:t>Activity in the deferred revenue balance, which is included in "other liabilities" on the consolidated balance sheets, is shown below:</w:t>
      </w:r>
    </w:p>
    <w:p>
      <w:pPr>
        <w:spacing w:after="0" w:line="83" w:lineRule="exact"/>
        <w:rPr>
          <w:sz w:val="20"/>
          <w:szCs w:val="20"/>
          <w:color w:val="auto"/>
        </w:rPr>
      </w:pPr>
    </w:p>
    <w:tbl>
      <w:tblPr>
        <w:tblLayout w:type="fixed"/>
        <w:tblInd w:w="720" w:type="dxa"/>
        <w:tblCellMar>
          <w:top w:w="0" w:type="dxa"/>
          <w:left w:w="0" w:type="dxa"/>
          <w:bottom w:w="0" w:type="dxa"/>
          <w:right w:w="0" w:type="dxa"/>
        </w:tblCellMar>
      </w:tblPr>
      <w:tr>
        <w:trPr>
          <w:trHeight w:val="162"/>
        </w:trPr>
        <w:tc>
          <w:tcPr>
            <w:tcW w:w="20" w:type="dxa"/>
            <w:vAlign w:val="bottom"/>
          </w:tcPr>
          <w:p>
            <w:pPr>
              <w:spacing w:after="0"/>
              <w:rPr>
                <w:sz w:val="14"/>
                <w:szCs w:val="14"/>
                <w:color w:val="auto"/>
              </w:rPr>
            </w:pPr>
          </w:p>
        </w:tc>
        <w:tc>
          <w:tcPr>
            <w:tcW w:w="33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3140" w:type="dxa"/>
            <w:vAlign w:val="bottom"/>
            <w:tcBorders>
              <w:bottom w:val="single" w:sz="8" w:color="auto"/>
            </w:tcBorders>
            <w:gridSpan w:val="9"/>
          </w:tcPr>
          <w:p>
            <w:pPr>
              <w:jc w:val="center"/>
              <w:ind w:left="899"/>
              <w:spacing w:after="0"/>
              <w:rPr>
                <w:sz w:val="20"/>
                <w:szCs w:val="20"/>
                <w:color w:val="auto"/>
              </w:rPr>
            </w:pPr>
            <w:r>
              <w:rPr>
                <w:rFonts w:ascii="Arial" w:cs="Arial" w:eastAsia="Arial" w:hAnsi="Arial"/>
                <w:sz w:val="12"/>
                <w:szCs w:val="12"/>
                <w:b w:val="1"/>
                <w:bCs w:val="1"/>
                <w:color w:val="auto"/>
                <w:w w:val="91"/>
              </w:rPr>
              <w:t>Three months ended March 31, 2019</w:t>
            </w:r>
          </w:p>
        </w:tc>
        <w:tc>
          <w:tcPr>
            <w:tcW w:w="96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tcPr>
          <w:p>
            <w:pPr>
              <w:spacing w:after="0"/>
              <w:rPr>
                <w:sz w:val="14"/>
                <w:szCs w:val="14"/>
                <w:color w:val="auto"/>
              </w:rPr>
            </w:pPr>
          </w:p>
        </w:tc>
        <w:tc>
          <w:tcPr>
            <w:tcW w:w="40" w:type="dxa"/>
            <w:vAlign w:val="bottom"/>
          </w:tcPr>
          <w:p>
            <w:pPr>
              <w:spacing w:after="0"/>
              <w:rPr>
                <w:sz w:val="14"/>
                <w:szCs w:val="14"/>
                <w:color w:val="auto"/>
              </w:rPr>
            </w:pPr>
          </w:p>
        </w:tc>
      </w:tr>
      <w:tr>
        <w:trPr>
          <w:trHeight w:val="130"/>
        </w:trPr>
        <w:tc>
          <w:tcPr>
            <w:tcW w:w="20" w:type="dxa"/>
            <w:vAlign w:val="bottom"/>
          </w:tcPr>
          <w:p>
            <w:pPr>
              <w:spacing w:after="0"/>
              <w:rPr>
                <w:sz w:val="11"/>
                <w:szCs w:val="11"/>
                <w:color w:val="auto"/>
              </w:rPr>
            </w:pPr>
          </w:p>
        </w:tc>
        <w:tc>
          <w:tcPr>
            <w:tcW w:w="33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4"/>
          </w:tcPr>
          <w:p>
            <w:pPr>
              <w:jc w:val="center"/>
              <w:ind w:right="120"/>
              <w:spacing w:after="0" w:line="130" w:lineRule="exact"/>
              <w:rPr>
                <w:sz w:val="20"/>
                <w:szCs w:val="20"/>
                <w:color w:val="auto"/>
              </w:rPr>
            </w:pPr>
            <w:r>
              <w:rPr>
                <w:rFonts w:ascii="Arial" w:cs="Arial" w:eastAsia="Arial" w:hAnsi="Arial"/>
                <w:sz w:val="12"/>
                <w:szCs w:val="12"/>
                <w:b w:val="1"/>
                <w:bCs w:val="1"/>
                <w:color w:val="auto"/>
                <w:w w:val="93"/>
              </w:rPr>
              <w:t>Education</w:t>
            </w:r>
          </w:p>
        </w:tc>
        <w:tc>
          <w:tcPr>
            <w:tcW w:w="15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0" w:type="dxa"/>
            <w:vAlign w:val="bottom"/>
          </w:tcPr>
          <w:p>
            <w:pPr>
              <w:spacing w:after="0"/>
              <w:rPr>
                <w:sz w:val="11"/>
                <w:szCs w:val="11"/>
                <w:color w:val="auto"/>
              </w:rPr>
            </w:pPr>
          </w:p>
        </w:tc>
      </w:tr>
      <w:tr>
        <w:trPr>
          <w:trHeight w:val="129"/>
        </w:trPr>
        <w:tc>
          <w:tcPr>
            <w:tcW w:w="20" w:type="dxa"/>
            <w:vAlign w:val="bottom"/>
          </w:tcPr>
          <w:p>
            <w:pPr>
              <w:spacing w:after="0"/>
              <w:rPr>
                <w:sz w:val="11"/>
                <w:szCs w:val="11"/>
                <w:color w:val="auto"/>
              </w:rPr>
            </w:pPr>
          </w:p>
        </w:tc>
        <w:tc>
          <w:tcPr>
            <w:tcW w:w="33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4"/>
          </w:tcPr>
          <w:p>
            <w:pPr>
              <w:jc w:val="center"/>
              <w:ind w:right="120"/>
              <w:spacing w:after="0" w:line="129" w:lineRule="exact"/>
              <w:rPr>
                <w:sz w:val="20"/>
                <w:szCs w:val="20"/>
                <w:color w:val="auto"/>
              </w:rPr>
            </w:pPr>
            <w:r>
              <w:rPr>
                <w:rFonts w:ascii="Arial" w:cs="Arial" w:eastAsia="Arial" w:hAnsi="Arial"/>
                <w:sz w:val="12"/>
                <w:szCs w:val="12"/>
                <w:b w:val="1"/>
                <w:bCs w:val="1"/>
                <w:color w:val="auto"/>
                <w:w w:val="86"/>
              </w:rPr>
              <w:t>Technology, Services,</w:t>
            </w:r>
          </w:p>
        </w:tc>
        <w:tc>
          <w:tcPr>
            <w:tcW w:w="15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0" w:type="dxa"/>
            <w:vAlign w:val="bottom"/>
          </w:tcPr>
          <w:p>
            <w:pPr>
              <w:spacing w:after="0"/>
              <w:rPr>
                <w:sz w:val="11"/>
                <w:szCs w:val="11"/>
                <w:color w:val="auto"/>
              </w:rPr>
            </w:pPr>
          </w:p>
        </w:tc>
      </w:tr>
      <w:tr>
        <w:trPr>
          <w:trHeight w:val="129"/>
        </w:trPr>
        <w:tc>
          <w:tcPr>
            <w:tcW w:w="20" w:type="dxa"/>
            <w:vAlign w:val="bottom"/>
          </w:tcPr>
          <w:p>
            <w:pPr>
              <w:spacing w:after="0"/>
              <w:rPr>
                <w:sz w:val="11"/>
                <w:szCs w:val="11"/>
                <w:color w:val="auto"/>
              </w:rPr>
            </w:pPr>
          </w:p>
        </w:tc>
        <w:tc>
          <w:tcPr>
            <w:tcW w:w="33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5"/>
          </w:tcPr>
          <w:p>
            <w:pPr>
              <w:jc w:val="center"/>
              <w:ind w:right="120"/>
              <w:spacing w:after="0" w:line="129" w:lineRule="exact"/>
              <w:rPr>
                <w:sz w:val="20"/>
                <w:szCs w:val="20"/>
                <w:color w:val="auto"/>
              </w:rPr>
            </w:pPr>
            <w:r>
              <w:rPr>
                <w:rFonts w:ascii="Arial" w:cs="Arial" w:eastAsia="Arial" w:hAnsi="Arial"/>
                <w:sz w:val="12"/>
                <w:szCs w:val="12"/>
                <w:b w:val="1"/>
                <w:bCs w:val="1"/>
                <w:color w:val="auto"/>
                <w:w w:val="92"/>
              </w:rPr>
              <w:t>Loan Servicing and</w:t>
            </w:r>
          </w:p>
        </w:tc>
        <w:tc>
          <w:tcPr>
            <w:tcW w:w="1260" w:type="dxa"/>
            <w:vAlign w:val="bottom"/>
            <w:gridSpan w:val="4"/>
          </w:tcPr>
          <w:p>
            <w:pPr>
              <w:jc w:val="center"/>
              <w:ind w:right="120"/>
              <w:spacing w:after="0" w:line="129" w:lineRule="exact"/>
              <w:rPr>
                <w:sz w:val="20"/>
                <w:szCs w:val="20"/>
                <w:color w:val="auto"/>
              </w:rPr>
            </w:pPr>
            <w:r>
              <w:rPr>
                <w:rFonts w:ascii="Arial" w:cs="Arial" w:eastAsia="Arial" w:hAnsi="Arial"/>
                <w:sz w:val="12"/>
                <w:szCs w:val="12"/>
                <w:b w:val="1"/>
                <w:bCs w:val="1"/>
                <w:color w:val="auto"/>
                <w:w w:val="93"/>
              </w:rPr>
              <w:t>and Payment</w:t>
            </w:r>
          </w:p>
        </w:tc>
        <w:tc>
          <w:tcPr>
            <w:tcW w:w="15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60" w:type="dxa"/>
            <w:vAlign w:val="bottom"/>
            <w:gridSpan w:val="4"/>
          </w:tcPr>
          <w:p>
            <w:pPr>
              <w:jc w:val="center"/>
              <w:ind w:right="80"/>
              <w:spacing w:after="0" w:line="129" w:lineRule="exact"/>
              <w:rPr>
                <w:sz w:val="20"/>
                <w:szCs w:val="20"/>
                <w:color w:val="auto"/>
              </w:rPr>
            </w:pPr>
            <w:r>
              <w:rPr>
                <w:rFonts w:ascii="Arial" w:cs="Arial" w:eastAsia="Arial" w:hAnsi="Arial"/>
                <w:sz w:val="12"/>
                <w:szCs w:val="12"/>
                <w:b w:val="1"/>
                <w:bCs w:val="1"/>
                <w:color w:val="auto"/>
                <w:w w:val="93"/>
              </w:rPr>
              <w:t>Corporate and Other</w:t>
            </w:r>
          </w:p>
        </w:tc>
        <w:tc>
          <w:tcPr>
            <w:tcW w:w="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0" w:type="dxa"/>
            <w:vAlign w:val="bottom"/>
          </w:tcPr>
          <w:p>
            <w:pPr>
              <w:spacing w:after="0"/>
              <w:rPr>
                <w:sz w:val="11"/>
                <w:szCs w:val="11"/>
                <w:color w:val="auto"/>
              </w:rPr>
            </w:pPr>
          </w:p>
        </w:tc>
      </w:tr>
      <w:tr>
        <w:trPr>
          <w:trHeight w:val="162"/>
        </w:trPr>
        <w:tc>
          <w:tcPr>
            <w:tcW w:w="20" w:type="dxa"/>
            <w:vAlign w:val="bottom"/>
          </w:tcPr>
          <w:p>
            <w:pPr>
              <w:spacing w:after="0"/>
              <w:rPr>
                <w:sz w:val="14"/>
                <w:szCs w:val="14"/>
                <w:color w:val="auto"/>
              </w:rPr>
            </w:pPr>
          </w:p>
        </w:tc>
        <w:tc>
          <w:tcPr>
            <w:tcW w:w="3320" w:type="dxa"/>
            <w:vAlign w:val="bottom"/>
            <w:tcBorders>
              <w:bottom w:val="single" w:sz="8" w:color="CCEEFF"/>
            </w:tcBorders>
          </w:tcPr>
          <w:p>
            <w:pPr>
              <w:spacing w:after="0"/>
              <w:rPr>
                <w:sz w:val="14"/>
                <w:szCs w:val="14"/>
                <w:color w:val="auto"/>
              </w:rPr>
            </w:pPr>
          </w:p>
        </w:tc>
        <w:tc>
          <w:tcPr>
            <w:tcW w:w="40" w:type="dxa"/>
            <w:vAlign w:val="bottom"/>
            <w:tcBorders>
              <w:bottom w:val="single" w:sz="8" w:color="CCEEFF"/>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gridSpan w:val="2"/>
          </w:tcPr>
          <w:p>
            <w:pPr>
              <w:jc w:val="center"/>
              <w:ind w:right="220"/>
              <w:spacing w:after="0"/>
              <w:rPr>
                <w:sz w:val="20"/>
                <w:szCs w:val="20"/>
                <w:color w:val="auto"/>
              </w:rPr>
            </w:pPr>
            <w:r>
              <w:rPr>
                <w:rFonts w:ascii="Arial" w:cs="Arial" w:eastAsia="Arial" w:hAnsi="Arial"/>
                <w:sz w:val="12"/>
                <w:szCs w:val="12"/>
                <w:b w:val="1"/>
                <w:bCs w:val="1"/>
                <w:color w:val="auto"/>
                <w:w w:val="84"/>
              </w:rPr>
              <w:t>Systems</w:t>
            </w:r>
          </w:p>
        </w:tc>
        <w:tc>
          <w:tcPr>
            <w:tcW w:w="100" w:type="dxa"/>
            <w:vAlign w:val="bottom"/>
            <w:tcBorders>
              <w:bottom w:val="single" w:sz="8" w:color="CCEEFF"/>
            </w:tcBorders>
            <w:gridSpan w:val="2"/>
          </w:tcPr>
          <w:p>
            <w:pPr>
              <w:spacing w:after="0"/>
              <w:rPr>
                <w:sz w:val="14"/>
                <w:szCs w:val="14"/>
                <w:color w:val="auto"/>
              </w:rPr>
            </w:pPr>
          </w:p>
        </w:tc>
        <w:tc>
          <w:tcPr>
            <w:tcW w:w="1160" w:type="dxa"/>
            <w:vAlign w:val="bottom"/>
            <w:tcBorders>
              <w:bottom w:val="single" w:sz="8" w:color="auto"/>
            </w:tcBorders>
            <w:gridSpan w:val="2"/>
          </w:tcPr>
          <w:p>
            <w:pPr>
              <w:jc w:val="center"/>
              <w:spacing w:after="0"/>
              <w:rPr>
                <w:sz w:val="20"/>
                <w:szCs w:val="20"/>
                <w:color w:val="auto"/>
              </w:rPr>
            </w:pPr>
            <w:r>
              <w:rPr>
                <w:rFonts w:ascii="Arial" w:cs="Arial" w:eastAsia="Arial" w:hAnsi="Arial"/>
                <w:sz w:val="12"/>
                <w:szCs w:val="12"/>
                <w:b w:val="1"/>
                <w:bCs w:val="1"/>
                <w:color w:val="auto"/>
                <w:w w:val="86"/>
              </w:rPr>
              <w:t>Processing</w:t>
            </w:r>
          </w:p>
        </w:tc>
        <w:tc>
          <w:tcPr>
            <w:tcW w:w="100" w:type="dxa"/>
            <w:vAlign w:val="bottom"/>
            <w:tcBorders>
              <w:bottom w:val="single" w:sz="8" w:color="CCEEFF"/>
            </w:tcBorders>
            <w:gridSpan w:val="2"/>
          </w:tcPr>
          <w:p>
            <w:pPr>
              <w:spacing w:after="0"/>
              <w:rPr>
                <w:sz w:val="14"/>
                <w:szCs w:val="14"/>
                <w:color w:val="auto"/>
              </w:rPr>
            </w:pPr>
          </w:p>
        </w:tc>
        <w:tc>
          <w:tcPr>
            <w:tcW w:w="1580" w:type="dxa"/>
            <w:vAlign w:val="bottom"/>
            <w:tcBorders>
              <w:bottom w:val="single" w:sz="8" w:color="auto"/>
            </w:tcBorders>
            <w:gridSpan w:val="2"/>
          </w:tcPr>
          <w:p>
            <w:pPr>
              <w:jc w:val="center"/>
              <w:spacing w:after="0"/>
              <w:rPr>
                <w:sz w:val="20"/>
                <w:szCs w:val="20"/>
                <w:color w:val="auto"/>
              </w:rPr>
            </w:pPr>
            <w:r>
              <w:rPr>
                <w:rFonts w:ascii="Arial" w:cs="Arial" w:eastAsia="Arial" w:hAnsi="Arial"/>
                <w:sz w:val="12"/>
                <w:szCs w:val="12"/>
                <w:b w:val="1"/>
                <w:bCs w:val="1"/>
                <w:color w:val="auto"/>
                <w:w w:val="92"/>
              </w:rPr>
              <w:t>Communications</w:t>
            </w:r>
          </w:p>
        </w:tc>
        <w:tc>
          <w:tcPr>
            <w:tcW w:w="100" w:type="dxa"/>
            <w:vAlign w:val="bottom"/>
            <w:tcBorders>
              <w:bottom w:val="single" w:sz="8" w:color="CCEEFF"/>
            </w:tcBorders>
            <w:gridSpan w:val="2"/>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tcPr>
          <w:p>
            <w:pPr>
              <w:jc w:val="center"/>
              <w:ind w:right="119"/>
              <w:spacing w:after="0"/>
              <w:rPr>
                <w:sz w:val="20"/>
                <w:szCs w:val="20"/>
                <w:color w:val="auto"/>
              </w:rPr>
            </w:pPr>
            <w:r>
              <w:rPr>
                <w:rFonts w:ascii="Arial" w:cs="Arial" w:eastAsia="Arial" w:hAnsi="Arial"/>
                <w:sz w:val="12"/>
                <w:szCs w:val="12"/>
                <w:b w:val="1"/>
                <w:bCs w:val="1"/>
                <w:color w:val="auto"/>
                <w:w w:val="93"/>
              </w:rPr>
              <w:t>Activities</w:t>
            </w:r>
          </w:p>
        </w:tc>
        <w:tc>
          <w:tcPr>
            <w:tcW w:w="100" w:type="dxa"/>
            <w:vAlign w:val="bottom"/>
            <w:tcBorders>
              <w:bottom w:val="single" w:sz="8" w:color="CCEEFF"/>
            </w:tcBorders>
            <w:gridSpan w:val="2"/>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tcPr>
          <w:p>
            <w:pPr>
              <w:jc w:val="right"/>
              <w:ind w:right="379"/>
              <w:spacing w:after="0"/>
              <w:rPr>
                <w:sz w:val="20"/>
                <w:szCs w:val="20"/>
                <w:color w:val="auto"/>
              </w:rPr>
            </w:pPr>
            <w:r>
              <w:rPr>
                <w:rFonts w:ascii="Arial" w:cs="Arial" w:eastAsia="Arial" w:hAnsi="Arial"/>
                <w:sz w:val="12"/>
                <w:szCs w:val="12"/>
                <w:b w:val="1"/>
                <w:bCs w:val="1"/>
                <w:color w:val="auto"/>
              </w:rPr>
              <w:t>Total</w:t>
            </w:r>
          </w:p>
        </w:tc>
        <w:tc>
          <w:tcPr>
            <w:tcW w:w="40" w:type="dxa"/>
            <w:vAlign w:val="bottom"/>
          </w:tcPr>
          <w:p>
            <w:pPr>
              <w:spacing w:after="0"/>
              <w:rPr>
                <w:sz w:val="14"/>
                <w:szCs w:val="14"/>
                <w:color w:val="auto"/>
              </w:rPr>
            </w:pPr>
          </w:p>
        </w:tc>
      </w:tr>
      <w:tr>
        <w:trPr>
          <w:trHeight w:val="188"/>
        </w:trPr>
        <w:tc>
          <w:tcPr>
            <w:tcW w:w="20" w:type="dxa"/>
            <w:vAlign w:val="bottom"/>
          </w:tcPr>
          <w:p>
            <w:pPr>
              <w:spacing w:after="0"/>
              <w:rPr>
                <w:sz w:val="16"/>
                <w:szCs w:val="16"/>
                <w:color w:val="auto"/>
              </w:rPr>
            </w:pPr>
          </w:p>
        </w:tc>
        <w:tc>
          <w:tcPr>
            <w:tcW w:w="3320" w:type="dxa"/>
            <w:vAlign w:val="bottom"/>
            <w:shd w:val="clear" w:color="auto" w:fill="CCEEFF"/>
          </w:tcPr>
          <w:p>
            <w:pPr>
              <w:ind w:left="20"/>
              <w:spacing w:after="0"/>
              <w:rPr>
                <w:sz w:val="20"/>
                <w:szCs w:val="20"/>
                <w:color w:val="auto"/>
              </w:rPr>
            </w:pPr>
            <w:r>
              <w:rPr>
                <w:rFonts w:ascii="Arial" w:cs="Arial" w:eastAsia="Arial" w:hAnsi="Arial"/>
                <w:sz w:val="13"/>
                <w:szCs w:val="13"/>
                <w:color w:val="auto"/>
              </w:rPr>
              <w:t>Balance, beginning of period</w:t>
            </w:r>
          </w:p>
        </w:tc>
        <w:tc>
          <w:tcPr>
            <w:tcW w:w="240" w:type="dxa"/>
            <w:vAlign w:val="bottom"/>
            <w:gridSpan w:val="2"/>
            <w:shd w:val="clear" w:color="auto" w:fill="CCEEFF"/>
          </w:tcPr>
          <w:p>
            <w:pPr>
              <w:jc w:val="right"/>
              <w:ind w:right="79"/>
              <w:spacing w:after="0"/>
              <w:rPr>
                <w:sz w:val="20"/>
                <w:szCs w:val="20"/>
                <w:color w:val="auto"/>
              </w:rPr>
            </w:pPr>
            <w:r>
              <w:rPr>
                <w:rFonts w:ascii="Arial" w:cs="Arial" w:eastAsia="Arial" w:hAnsi="Arial"/>
                <w:sz w:val="12"/>
                <w:szCs w:val="12"/>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2"/>
                <w:szCs w:val="12"/>
                <w:color w:val="auto"/>
              </w:rPr>
              <w:t>4,413</w:t>
            </w:r>
          </w:p>
        </w:tc>
        <w:tc>
          <w:tcPr>
            <w:tcW w:w="2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2"/>
                <w:szCs w:val="12"/>
                <w:color w:val="auto"/>
              </w:rPr>
              <w:t>30,556</w:t>
            </w: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2"/>
                <w:szCs w:val="12"/>
                <w:color w:val="auto"/>
              </w:rPr>
              <w:t>2,551</w:t>
            </w: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2"/>
                <w:szCs w:val="12"/>
                <w:color w:val="auto"/>
              </w:rPr>
              <w:t>1,602</w:t>
            </w: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right"/>
              <w:spacing w:after="0"/>
              <w:rPr>
                <w:sz w:val="20"/>
                <w:szCs w:val="20"/>
                <w:color w:val="auto"/>
              </w:rPr>
            </w:pPr>
            <w:r>
              <w:rPr>
                <w:rFonts w:ascii="Arial" w:cs="Arial" w:eastAsia="Arial" w:hAnsi="Arial"/>
                <w:sz w:val="12"/>
                <w:szCs w:val="12"/>
                <w:color w:val="auto"/>
              </w:rPr>
              <w:t>39,122</w:t>
            </w:r>
          </w:p>
        </w:tc>
        <w:tc>
          <w:tcPr>
            <w:tcW w:w="40" w:type="dxa"/>
            <w:vAlign w:val="bottom"/>
          </w:tcPr>
          <w:p>
            <w:pPr>
              <w:spacing w:after="0"/>
              <w:rPr>
                <w:sz w:val="16"/>
                <w:szCs w:val="16"/>
                <w:color w:val="auto"/>
              </w:rPr>
            </w:pPr>
          </w:p>
        </w:tc>
      </w:tr>
      <w:tr>
        <w:trPr>
          <w:trHeight w:val="201"/>
        </w:trPr>
        <w:tc>
          <w:tcPr>
            <w:tcW w:w="20" w:type="dxa"/>
            <w:vAlign w:val="bottom"/>
          </w:tcPr>
          <w:p>
            <w:pPr>
              <w:spacing w:after="0"/>
              <w:rPr>
                <w:sz w:val="17"/>
                <w:szCs w:val="17"/>
                <w:color w:val="auto"/>
              </w:rPr>
            </w:pPr>
          </w:p>
        </w:tc>
        <w:tc>
          <w:tcPr>
            <w:tcW w:w="3320" w:type="dxa"/>
            <w:vAlign w:val="bottom"/>
          </w:tcPr>
          <w:p>
            <w:pPr>
              <w:ind w:left="180"/>
              <w:spacing w:after="0"/>
              <w:rPr>
                <w:sz w:val="20"/>
                <w:szCs w:val="20"/>
                <w:color w:val="auto"/>
              </w:rPr>
            </w:pPr>
            <w:r>
              <w:rPr>
                <w:rFonts w:ascii="Arial" w:cs="Arial" w:eastAsia="Arial" w:hAnsi="Arial"/>
                <w:sz w:val="13"/>
                <w:szCs w:val="13"/>
                <w:color w:val="auto"/>
              </w:rPr>
              <w:t>Deferral of revenue</w:t>
            </w:r>
          </w:p>
        </w:tc>
        <w:tc>
          <w:tcPr>
            <w:tcW w:w="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40" w:type="dxa"/>
            <w:vAlign w:val="bottom"/>
          </w:tcPr>
          <w:p>
            <w:pPr>
              <w:jc w:val="right"/>
              <w:spacing w:after="0"/>
              <w:rPr>
                <w:sz w:val="20"/>
                <w:szCs w:val="20"/>
                <w:color w:val="auto"/>
              </w:rPr>
            </w:pPr>
            <w:r>
              <w:rPr>
                <w:rFonts w:ascii="Arial" w:cs="Arial" w:eastAsia="Arial" w:hAnsi="Arial"/>
                <w:sz w:val="12"/>
                <w:szCs w:val="12"/>
                <w:color w:val="auto"/>
              </w:rPr>
              <w:t>1,116</w:t>
            </w: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140" w:type="dxa"/>
            <w:vAlign w:val="bottom"/>
          </w:tcPr>
          <w:p>
            <w:pPr>
              <w:jc w:val="right"/>
              <w:spacing w:after="0"/>
              <w:rPr>
                <w:sz w:val="20"/>
                <w:szCs w:val="20"/>
                <w:color w:val="auto"/>
              </w:rPr>
            </w:pPr>
            <w:r>
              <w:rPr>
                <w:rFonts w:ascii="Arial" w:cs="Arial" w:eastAsia="Arial" w:hAnsi="Arial"/>
                <w:sz w:val="12"/>
                <w:szCs w:val="12"/>
                <w:color w:val="auto"/>
              </w:rPr>
              <w:t>13,962</w:t>
            </w: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560" w:type="dxa"/>
            <w:vAlign w:val="bottom"/>
          </w:tcPr>
          <w:p>
            <w:pPr>
              <w:jc w:val="right"/>
              <w:spacing w:after="0"/>
              <w:rPr>
                <w:sz w:val="20"/>
                <w:szCs w:val="20"/>
                <w:color w:val="auto"/>
              </w:rPr>
            </w:pPr>
            <w:r>
              <w:rPr>
                <w:rFonts w:ascii="Arial" w:cs="Arial" w:eastAsia="Arial" w:hAnsi="Arial"/>
                <w:sz w:val="12"/>
                <w:szCs w:val="12"/>
                <w:color w:val="auto"/>
              </w:rPr>
              <w:t>8,266</w:t>
            </w: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60" w:type="dxa"/>
            <w:vAlign w:val="bottom"/>
          </w:tcPr>
          <w:p>
            <w:pPr>
              <w:jc w:val="right"/>
              <w:spacing w:after="0"/>
              <w:rPr>
                <w:sz w:val="20"/>
                <w:szCs w:val="20"/>
                <w:color w:val="auto"/>
              </w:rPr>
            </w:pPr>
            <w:r>
              <w:rPr>
                <w:rFonts w:ascii="Arial" w:cs="Arial" w:eastAsia="Arial" w:hAnsi="Arial"/>
                <w:sz w:val="12"/>
                <w:szCs w:val="12"/>
                <w:color w:val="auto"/>
              </w:rPr>
              <w:t>736</w:t>
            </w: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spacing w:after="0"/>
              <w:rPr>
                <w:sz w:val="20"/>
                <w:szCs w:val="20"/>
                <w:color w:val="auto"/>
              </w:rPr>
            </w:pPr>
            <w:r>
              <w:rPr>
                <w:rFonts w:ascii="Arial" w:cs="Arial" w:eastAsia="Arial" w:hAnsi="Arial"/>
                <w:sz w:val="12"/>
                <w:szCs w:val="12"/>
                <w:color w:val="auto"/>
              </w:rPr>
              <w:t>24,080</w:t>
            </w:r>
          </w:p>
        </w:tc>
        <w:tc>
          <w:tcPr>
            <w:tcW w:w="40" w:type="dxa"/>
            <w:vAlign w:val="bottom"/>
          </w:tcPr>
          <w:p>
            <w:pPr>
              <w:spacing w:after="0"/>
              <w:rPr>
                <w:sz w:val="17"/>
                <w:szCs w:val="17"/>
                <w:color w:val="auto"/>
              </w:rPr>
            </w:pPr>
          </w:p>
        </w:tc>
      </w:tr>
      <w:tr>
        <w:trPr>
          <w:trHeight w:val="208"/>
        </w:trPr>
        <w:tc>
          <w:tcPr>
            <w:tcW w:w="20" w:type="dxa"/>
            <w:vAlign w:val="bottom"/>
          </w:tcPr>
          <w:p>
            <w:pPr>
              <w:spacing w:after="0"/>
              <w:rPr>
                <w:sz w:val="18"/>
                <w:szCs w:val="18"/>
                <w:color w:val="auto"/>
              </w:rPr>
            </w:pPr>
          </w:p>
        </w:tc>
        <w:tc>
          <w:tcPr>
            <w:tcW w:w="3320" w:type="dxa"/>
            <w:vAlign w:val="bottom"/>
            <w:shd w:val="clear" w:color="auto" w:fill="CCEEFF"/>
          </w:tcPr>
          <w:p>
            <w:pPr>
              <w:ind w:left="180"/>
              <w:spacing w:after="0"/>
              <w:rPr>
                <w:sz w:val="20"/>
                <w:szCs w:val="20"/>
                <w:color w:val="auto"/>
              </w:rPr>
            </w:pPr>
            <w:r>
              <w:rPr>
                <w:rFonts w:ascii="Arial" w:cs="Arial" w:eastAsia="Arial" w:hAnsi="Arial"/>
                <w:sz w:val="13"/>
                <w:szCs w:val="13"/>
                <w:color w:val="auto"/>
              </w:rPr>
              <w:t>Recognition of revenue</w:t>
            </w:r>
          </w:p>
        </w:tc>
        <w:tc>
          <w:tcPr>
            <w:tcW w:w="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0"/>
              <w:spacing w:after="0"/>
              <w:rPr>
                <w:sz w:val="20"/>
                <w:szCs w:val="20"/>
                <w:color w:val="auto"/>
              </w:rPr>
            </w:pPr>
            <w:r>
              <w:rPr>
                <w:rFonts w:ascii="Arial" w:cs="Arial" w:eastAsia="Arial" w:hAnsi="Arial"/>
                <w:sz w:val="12"/>
                <w:szCs w:val="12"/>
                <w:color w:val="auto"/>
              </w:rPr>
              <w:t>(1,582)</w:t>
            </w: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0"/>
              <w:spacing w:after="0"/>
              <w:rPr>
                <w:sz w:val="20"/>
                <w:szCs w:val="20"/>
                <w:color w:val="auto"/>
              </w:rPr>
            </w:pPr>
            <w:r>
              <w:rPr>
                <w:rFonts w:ascii="Arial" w:cs="Arial" w:eastAsia="Arial" w:hAnsi="Arial"/>
                <w:sz w:val="12"/>
                <w:szCs w:val="12"/>
                <w:color w:val="auto"/>
              </w:rPr>
              <w:t>(26,049)</w:t>
            </w:r>
          </w:p>
        </w:tc>
        <w:tc>
          <w:tcPr>
            <w:tcW w:w="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jc w:val="right"/>
              <w:spacing w:after="0"/>
              <w:rPr>
                <w:sz w:val="20"/>
                <w:szCs w:val="20"/>
                <w:color w:val="auto"/>
              </w:rPr>
            </w:pPr>
            <w:r>
              <w:rPr>
                <w:rFonts w:ascii="Arial" w:cs="Arial" w:eastAsia="Arial" w:hAnsi="Arial"/>
                <w:sz w:val="12"/>
                <w:szCs w:val="12"/>
                <w:color w:val="auto"/>
              </w:rPr>
              <w:t>(8,061)</w:t>
            </w:r>
          </w:p>
        </w:tc>
        <w:tc>
          <w:tcPr>
            <w:tcW w:w="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2"/>
                <w:szCs w:val="12"/>
                <w:color w:val="auto"/>
              </w:rPr>
              <w:t>(784)</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spacing w:after="0"/>
              <w:rPr>
                <w:sz w:val="20"/>
                <w:szCs w:val="20"/>
                <w:color w:val="auto"/>
              </w:rPr>
            </w:pPr>
            <w:r>
              <w:rPr>
                <w:rFonts w:ascii="Arial" w:cs="Arial" w:eastAsia="Arial" w:hAnsi="Arial"/>
                <w:sz w:val="12"/>
                <w:szCs w:val="12"/>
                <w:color w:val="auto"/>
              </w:rPr>
              <w:t>(36,476)</w:t>
            </w:r>
          </w:p>
        </w:tc>
        <w:tc>
          <w:tcPr>
            <w:tcW w:w="40" w:type="dxa"/>
            <w:vAlign w:val="bottom"/>
          </w:tcPr>
          <w:p>
            <w:pPr>
              <w:spacing w:after="0"/>
              <w:rPr>
                <w:sz w:val="18"/>
                <w:szCs w:val="18"/>
                <w:color w:val="auto"/>
              </w:rPr>
            </w:pPr>
          </w:p>
        </w:tc>
      </w:tr>
      <w:tr>
        <w:trPr>
          <w:trHeight w:val="201"/>
        </w:trPr>
        <w:tc>
          <w:tcPr>
            <w:tcW w:w="20" w:type="dxa"/>
            <w:vAlign w:val="bottom"/>
          </w:tcPr>
          <w:p>
            <w:pPr>
              <w:spacing w:after="0"/>
              <w:rPr>
                <w:sz w:val="17"/>
                <w:szCs w:val="17"/>
                <w:color w:val="auto"/>
              </w:rPr>
            </w:pPr>
          </w:p>
        </w:tc>
        <w:tc>
          <w:tcPr>
            <w:tcW w:w="3320" w:type="dxa"/>
            <w:vAlign w:val="bottom"/>
            <w:tcBorders>
              <w:bottom w:val="single" w:sz="8" w:color="CCEEFF"/>
            </w:tcBorders>
          </w:tcPr>
          <w:p>
            <w:pPr>
              <w:ind w:left="180"/>
              <w:spacing w:after="0"/>
              <w:rPr>
                <w:sz w:val="20"/>
                <w:szCs w:val="20"/>
                <w:color w:val="auto"/>
              </w:rPr>
            </w:pPr>
            <w:r>
              <w:rPr>
                <w:rFonts w:ascii="Arial" w:cs="Arial" w:eastAsia="Arial" w:hAnsi="Arial"/>
                <w:sz w:val="13"/>
                <w:szCs w:val="13"/>
                <w:color w:val="auto"/>
              </w:rPr>
              <w:t>Other</w:t>
            </w:r>
          </w:p>
        </w:tc>
        <w:tc>
          <w:tcPr>
            <w:tcW w:w="4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gridSpan w:val="2"/>
          </w:tcPr>
          <w:p>
            <w:pPr>
              <w:jc w:val="right"/>
              <w:ind w:right="60"/>
              <w:spacing w:after="0"/>
              <w:rPr>
                <w:sz w:val="20"/>
                <w:szCs w:val="20"/>
                <w:color w:val="auto"/>
              </w:rPr>
            </w:pPr>
            <w:r>
              <w:rPr>
                <w:rFonts w:ascii="Arial" w:cs="Arial" w:eastAsia="Arial" w:hAnsi="Arial"/>
                <w:sz w:val="12"/>
                <w:szCs w:val="12"/>
                <w:color w:val="auto"/>
              </w:rPr>
              <w:t>—</w:t>
            </w:r>
          </w:p>
        </w:tc>
        <w:tc>
          <w:tcPr>
            <w:tcW w:w="100" w:type="dxa"/>
            <w:vAlign w:val="bottom"/>
            <w:tcBorders>
              <w:bottom w:val="single" w:sz="8" w:color="CCEEFF"/>
            </w:tcBorders>
            <w:gridSpan w:val="2"/>
          </w:tcPr>
          <w:p>
            <w:pPr>
              <w:spacing w:after="0"/>
              <w:rPr>
                <w:sz w:val="17"/>
                <w:szCs w:val="17"/>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29</w:t>
            </w:r>
          </w:p>
        </w:tc>
        <w:tc>
          <w:tcPr>
            <w:tcW w:w="20" w:type="dxa"/>
            <w:vAlign w:val="bottom"/>
            <w:tcBorders>
              <w:bottom w:val="single" w:sz="8" w:color="auto"/>
            </w:tcBorders>
          </w:tcPr>
          <w:p>
            <w:pPr>
              <w:spacing w:after="0"/>
              <w:rPr>
                <w:sz w:val="17"/>
                <w:szCs w:val="17"/>
                <w:color w:val="auto"/>
              </w:rPr>
            </w:pPr>
          </w:p>
        </w:tc>
        <w:tc>
          <w:tcPr>
            <w:tcW w:w="80" w:type="dxa"/>
            <w:vAlign w:val="bottom"/>
            <w:tcBorders>
              <w:bottom w:val="single" w:sz="8" w:color="CCEEFF"/>
            </w:tcBorders>
          </w:tcPr>
          <w:p>
            <w:pPr>
              <w:spacing w:after="0"/>
              <w:rPr>
                <w:sz w:val="17"/>
                <w:szCs w:val="17"/>
                <w:color w:val="auto"/>
              </w:rPr>
            </w:pPr>
          </w:p>
        </w:tc>
        <w:tc>
          <w:tcPr>
            <w:tcW w:w="20" w:type="dxa"/>
            <w:vAlign w:val="bottom"/>
            <w:tcBorders>
              <w:bottom w:val="single" w:sz="8" w:color="CCEEFF"/>
            </w:tcBorders>
          </w:tcPr>
          <w:p>
            <w:pPr>
              <w:spacing w:after="0"/>
              <w:rPr>
                <w:sz w:val="17"/>
                <w:szCs w:val="17"/>
                <w:color w:val="auto"/>
              </w:rPr>
            </w:pPr>
          </w:p>
        </w:tc>
        <w:tc>
          <w:tcPr>
            <w:tcW w:w="1580" w:type="dxa"/>
            <w:vAlign w:val="bottom"/>
            <w:tcBorders>
              <w:bottom w:val="single" w:sz="8" w:color="auto"/>
            </w:tcBorders>
            <w:gridSpan w:val="2"/>
          </w:tcPr>
          <w:p>
            <w:pPr>
              <w:jc w:val="right"/>
              <w:ind w:right="40"/>
              <w:spacing w:after="0"/>
              <w:rPr>
                <w:sz w:val="20"/>
                <w:szCs w:val="20"/>
                <w:color w:val="auto"/>
              </w:rPr>
            </w:pPr>
            <w:r>
              <w:rPr>
                <w:rFonts w:ascii="Arial" w:cs="Arial" w:eastAsia="Arial" w:hAnsi="Arial"/>
                <w:sz w:val="12"/>
                <w:szCs w:val="12"/>
                <w:color w:val="auto"/>
              </w:rPr>
              <w:t>—</w:t>
            </w:r>
          </w:p>
        </w:tc>
        <w:tc>
          <w:tcPr>
            <w:tcW w:w="100" w:type="dxa"/>
            <w:vAlign w:val="bottom"/>
            <w:tcBorders>
              <w:bottom w:val="single" w:sz="8" w:color="CCEEFF"/>
            </w:tcBorders>
            <w:gridSpan w:val="2"/>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(2)</w:t>
            </w:r>
          </w:p>
        </w:tc>
        <w:tc>
          <w:tcPr>
            <w:tcW w:w="20" w:type="dxa"/>
            <w:vAlign w:val="bottom"/>
            <w:tcBorders>
              <w:bottom w:val="single" w:sz="8" w:color="CCEEFF"/>
            </w:tcBorders>
          </w:tcPr>
          <w:p>
            <w:pPr>
              <w:spacing w:after="0"/>
              <w:rPr>
                <w:sz w:val="17"/>
                <w:szCs w:val="17"/>
                <w:color w:val="auto"/>
              </w:rPr>
            </w:pPr>
          </w:p>
        </w:tc>
        <w:tc>
          <w:tcPr>
            <w:tcW w:w="80" w:type="dxa"/>
            <w:vAlign w:val="bottom"/>
            <w:tcBorders>
              <w:bottom w:val="single" w:sz="8" w:color="CCEEFF"/>
            </w:tcBorders>
          </w:tcPr>
          <w:p>
            <w:pPr>
              <w:spacing w:after="0"/>
              <w:rPr>
                <w:sz w:val="17"/>
                <w:szCs w:val="17"/>
                <w:color w:val="auto"/>
              </w:rPr>
            </w:pPr>
          </w:p>
        </w:tc>
        <w:tc>
          <w:tcPr>
            <w:tcW w:w="1160" w:type="dxa"/>
            <w:vAlign w:val="bottom"/>
            <w:tcBorders>
              <w:bottom w:val="single" w:sz="8" w:color="auto"/>
            </w:tcBorders>
            <w:gridSpan w:val="2"/>
          </w:tcPr>
          <w:p>
            <w:pPr>
              <w:jc w:val="right"/>
              <w:spacing w:after="0"/>
              <w:rPr>
                <w:sz w:val="20"/>
                <w:szCs w:val="20"/>
                <w:color w:val="auto"/>
              </w:rPr>
            </w:pPr>
            <w:r>
              <w:rPr>
                <w:rFonts w:ascii="Arial" w:cs="Arial" w:eastAsia="Arial" w:hAnsi="Arial"/>
                <w:sz w:val="12"/>
                <w:szCs w:val="12"/>
                <w:color w:val="auto"/>
              </w:rPr>
              <w:t>27</w:t>
            </w:r>
          </w:p>
        </w:tc>
        <w:tc>
          <w:tcPr>
            <w:tcW w:w="40" w:type="dxa"/>
            <w:vAlign w:val="bottom"/>
          </w:tcPr>
          <w:p>
            <w:pPr>
              <w:spacing w:after="0"/>
              <w:rPr>
                <w:sz w:val="17"/>
                <w:szCs w:val="17"/>
                <w:color w:val="auto"/>
              </w:rPr>
            </w:pPr>
          </w:p>
        </w:tc>
      </w:tr>
      <w:tr>
        <w:trPr>
          <w:trHeight w:val="188"/>
        </w:trPr>
        <w:tc>
          <w:tcPr>
            <w:tcW w:w="20" w:type="dxa"/>
            <w:vAlign w:val="bottom"/>
          </w:tcPr>
          <w:p>
            <w:pPr>
              <w:spacing w:after="0"/>
              <w:rPr>
                <w:sz w:val="16"/>
                <w:szCs w:val="16"/>
                <w:color w:val="auto"/>
              </w:rPr>
            </w:pPr>
          </w:p>
        </w:tc>
        <w:tc>
          <w:tcPr>
            <w:tcW w:w="3320" w:type="dxa"/>
            <w:vAlign w:val="bottom"/>
            <w:shd w:val="clear" w:color="auto" w:fill="CCEEFF"/>
          </w:tcPr>
          <w:p>
            <w:pPr>
              <w:ind w:left="20"/>
              <w:spacing w:after="0"/>
              <w:rPr>
                <w:sz w:val="20"/>
                <w:szCs w:val="20"/>
                <w:color w:val="auto"/>
              </w:rPr>
            </w:pPr>
            <w:r>
              <w:rPr>
                <w:rFonts w:ascii="Arial" w:cs="Arial" w:eastAsia="Arial" w:hAnsi="Arial"/>
                <w:sz w:val="13"/>
                <w:szCs w:val="13"/>
                <w:color w:val="auto"/>
              </w:rPr>
              <w:t>Balance, end of period</w:t>
            </w:r>
          </w:p>
        </w:tc>
        <w:tc>
          <w:tcPr>
            <w:tcW w:w="240" w:type="dxa"/>
            <w:vAlign w:val="bottom"/>
            <w:gridSpan w:val="2"/>
            <w:shd w:val="clear" w:color="auto" w:fill="CCEEFF"/>
          </w:tcPr>
          <w:p>
            <w:pPr>
              <w:jc w:val="right"/>
              <w:ind w:right="79"/>
              <w:spacing w:after="0"/>
              <w:rPr>
                <w:sz w:val="20"/>
                <w:szCs w:val="20"/>
                <w:color w:val="auto"/>
              </w:rPr>
            </w:pPr>
            <w:r>
              <w:rPr>
                <w:rFonts w:ascii="Arial" w:cs="Arial" w:eastAsia="Arial" w:hAnsi="Arial"/>
                <w:sz w:val="12"/>
                <w:szCs w:val="12"/>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2"/>
                <w:szCs w:val="12"/>
                <w:color w:val="auto"/>
              </w:rPr>
              <w:t>3,947</w:t>
            </w:r>
          </w:p>
        </w:tc>
        <w:tc>
          <w:tcPr>
            <w:tcW w:w="2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2"/>
                <w:szCs w:val="12"/>
                <w:color w:val="auto"/>
              </w:rPr>
              <w:t>18,498</w:t>
            </w: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2"/>
                <w:szCs w:val="12"/>
                <w:color w:val="auto"/>
              </w:rPr>
              <w:t>2,756</w:t>
            </w: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2"/>
                <w:szCs w:val="12"/>
                <w:color w:val="auto"/>
              </w:rPr>
              <w:t>1,552</w:t>
            </w: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right"/>
              <w:spacing w:after="0"/>
              <w:rPr>
                <w:sz w:val="20"/>
                <w:szCs w:val="20"/>
                <w:color w:val="auto"/>
              </w:rPr>
            </w:pPr>
            <w:r>
              <w:rPr>
                <w:rFonts w:ascii="Arial" w:cs="Arial" w:eastAsia="Arial" w:hAnsi="Arial"/>
                <w:sz w:val="12"/>
                <w:szCs w:val="12"/>
                <w:color w:val="auto"/>
              </w:rPr>
              <w:t>26,753</w:t>
            </w:r>
          </w:p>
        </w:tc>
        <w:tc>
          <w:tcPr>
            <w:tcW w:w="40" w:type="dxa"/>
            <w:vAlign w:val="bottom"/>
          </w:tcPr>
          <w:p>
            <w:pPr>
              <w:spacing w:after="0"/>
              <w:rPr>
                <w:sz w:val="16"/>
                <w:szCs w:val="16"/>
                <w:color w:val="auto"/>
              </w:rPr>
            </w:pPr>
          </w:p>
        </w:tc>
      </w:tr>
      <w:tr>
        <w:trPr>
          <w:trHeight w:val="546"/>
        </w:trPr>
        <w:tc>
          <w:tcPr>
            <w:tcW w:w="20" w:type="dxa"/>
            <w:vAlign w:val="bottom"/>
          </w:tcPr>
          <w:p>
            <w:pPr>
              <w:spacing w:after="0"/>
              <w:rPr>
                <w:sz w:val="24"/>
                <w:szCs w:val="24"/>
                <w:color w:val="auto"/>
              </w:rPr>
            </w:pPr>
          </w:p>
        </w:tc>
        <w:tc>
          <w:tcPr>
            <w:tcW w:w="3320" w:type="dxa"/>
            <w:vAlign w:val="bottom"/>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3140" w:type="dxa"/>
            <w:vAlign w:val="bottom"/>
            <w:tcBorders>
              <w:bottom w:val="single" w:sz="8" w:color="auto"/>
            </w:tcBorders>
            <w:gridSpan w:val="9"/>
          </w:tcPr>
          <w:p>
            <w:pPr>
              <w:jc w:val="center"/>
              <w:ind w:left="899"/>
              <w:spacing w:after="0"/>
              <w:rPr>
                <w:sz w:val="20"/>
                <w:szCs w:val="20"/>
                <w:color w:val="auto"/>
              </w:rPr>
            </w:pPr>
            <w:r>
              <w:rPr>
                <w:rFonts w:ascii="Arial" w:cs="Arial" w:eastAsia="Arial" w:hAnsi="Arial"/>
                <w:sz w:val="12"/>
                <w:szCs w:val="12"/>
                <w:b w:val="1"/>
                <w:bCs w:val="1"/>
                <w:color w:val="auto"/>
                <w:w w:val="91"/>
              </w:rPr>
              <w:t>Three months ended March 31, 2018</w:t>
            </w:r>
          </w:p>
        </w:tc>
        <w:tc>
          <w:tcPr>
            <w:tcW w:w="9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r>
      <w:tr>
        <w:trPr>
          <w:trHeight w:val="130"/>
        </w:trPr>
        <w:tc>
          <w:tcPr>
            <w:tcW w:w="20" w:type="dxa"/>
            <w:vAlign w:val="bottom"/>
          </w:tcPr>
          <w:p>
            <w:pPr>
              <w:spacing w:after="0"/>
              <w:rPr>
                <w:sz w:val="11"/>
                <w:szCs w:val="11"/>
                <w:color w:val="auto"/>
              </w:rPr>
            </w:pPr>
          </w:p>
        </w:tc>
        <w:tc>
          <w:tcPr>
            <w:tcW w:w="33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4"/>
          </w:tcPr>
          <w:p>
            <w:pPr>
              <w:jc w:val="center"/>
              <w:ind w:right="160"/>
              <w:spacing w:after="0" w:line="130" w:lineRule="exact"/>
              <w:rPr>
                <w:sz w:val="20"/>
                <w:szCs w:val="20"/>
                <w:color w:val="auto"/>
              </w:rPr>
            </w:pPr>
            <w:r>
              <w:rPr>
                <w:rFonts w:ascii="Arial" w:cs="Arial" w:eastAsia="Arial" w:hAnsi="Arial"/>
                <w:sz w:val="12"/>
                <w:szCs w:val="12"/>
                <w:b w:val="1"/>
                <w:bCs w:val="1"/>
                <w:color w:val="auto"/>
                <w:w w:val="93"/>
              </w:rPr>
              <w:t>Education</w:t>
            </w:r>
          </w:p>
        </w:tc>
        <w:tc>
          <w:tcPr>
            <w:tcW w:w="15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0" w:type="dxa"/>
            <w:vAlign w:val="bottom"/>
          </w:tcPr>
          <w:p>
            <w:pPr>
              <w:spacing w:after="0"/>
              <w:rPr>
                <w:sz w:val="11"/>
                <w:szCs w:val="11"/>
                <w:color w:val="auto"/>
              </w:rPr>
            </w:pPr>
          </w:p>
        </w:tc>
      </w:tr>
      <w:tr>
        <w:trPr>
          <w:trHeight w:val="129"/>
        </w:trPr>
        <w:tc>
          <w:tcPr>
            <w:tcW w:w="20" w:type="dxa"/>
            <w:vAlign w:val="bottom"/>
          </w:tcPr>
          <w:p>
            <w:pPr>
              <w:spacing w:after="0"/>
              <w:rPr>
                <w:sz w:val="11"/>
                <w:szCs w:val="11"/>
                <w:color w:val="auto"/>
              </w:rPr>
            </w:pPr>
          </w:p>
        </w:tc>
        <w:tc>
          <w:tcPr>
            <w:tcW w:w="33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4"/>
          </w:tcPr>
          <w:p>
            <w:pPr>
              <w:jc w:val="center"/>
              <w:ind w:right="160"/>
              <w:spacing w:after="0" w:line="129" w:lineRule="exact"/>
              <w:rPr>
                <w:sz w:val="20"/>
                <w:szCs w:val="20"/>
                <w:color w:val="auto"/>
              </w:rPr>
            </w:pPr>
            <w:r>
              <w:rPr>
                <w:rFonts w:ascii="Arial" w:cs="Arial" w:eastAsia="Arial" w:hAnsi="Arial"/>
                <w:sz w:val="12"/>
                <w:szCs w:val="12"/>
                <w:b w:val="1"/>
                <w:bCs w:val="1"/>
                <w:color w:val="auto"/>
                <w:w w:val="86"/>
              </w:rPr>
              <w:t>Technology, Services,</w:t>
            </w:r>
          </w:p>
        </w:tc>
        <w:tc>
          <w:tcPr>
            <w:tcW w:w="15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0" w:type="dxa"/>
            <w:vAlign w:val="bottom"/>
          </w:tcPr>
          <w:p>
            <w:pPr>
              <w:spacing w:after="0"/>
              <w:rPr>
                <w:sz w:val="11"/>
                <w:szCs w:val="11"/>
                <w:color w:val="auto"/>
              </w:rPr>
            </w:pPr>
          </w:p>
        </w:tc>
      </w:tr>
      <w:tr>
        <w:trPr>
          <w:trHeight w:val="129"/>
        </w:trPr>
        <w:tc>
          <w:tcPr>
            <w:tcW w:w="20" w:type="dxa"/>
            <w:vAlign w:val="bottom"/>
          </w:tcPr>
          <w:p>
            <w:pPr>
              <w:spacing w:after="0"/>
              <w:rPr>
                <w:sz w:val="11"/>
                <w:szCs w:val="11"/>
                <w:color w:val="auto"/>
              </w:rPr>
            </w:pPr>
          </w:p>
        </w:tc>
        <w:tc>
          <w:tcPr>
            <w:tcW w:w="33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5"/>
          </w:tcPr>
          <w:p>
            <w:pPr>
              <w:ind w:left="40"/>
              <w:spacing w:after="0" w:line="129" w:lineRule="exact"/>
              <w:rPr>
                <w:sz w:val="20"/>
                <w:szCs w:val="20"/>
                <w:color w:val="auto"/>
              </w:rPr>
            </w:pPr>
            <w:r>
              <w:rPr>
                <w:rFonts w:ascii="Arial" w:cs="Arial" w:eastAsia="Arial" w:hAnsi="Arial"/>
                <w:sz w:val="12"/>
                <w:szCs w:val="12"/>
                <w:b w:val="1"/>
                <w:bCs w:val="1"/>
                <w:color w:val="auto"/>
              </w:rPr>
              <w:t>Loan Servicing and</w:t>
            </w:r>
          </w:p>
        </w:tc>
        <w:tc>
          <w:tcPr>
            <w:tcW w:w="1260" w:type="dxa"/>
            <w:vAlign w:val="bottom"/>
            <w:gridSpan w:val="4"/>
          </w:tcPr>
          <w:p>
            <w:pPr>
              <w:jc w:val="center"/>
              <w:ind w:right="160"/>
              <w:spacing w:after="0" w:line="129" w:lineRule="exact"/>
              <w:rPr>
                <w:sz w:val="20"/>
                <w:szCs w:val="20"/>
                <w:color w:val="auto"/>
              </w:rPr>
            </w:pPr>
            <w:r>
              <w:rPr>
                <w:rFonts w:ascii="Arial" w:cs="Arial" w:eastAsia="Arial" w:hAnsi="Arial"/>
                <w:sz w:val="12"/>
                <w:szCs w:val="12"/>
                <w:b w:val="1"/>
                <w:bCs w:val="1"/>
                <w:color w:val="auto"/>
                <w:w w:val="93"/>
              </w:rPr>
              <w:t>and Payment</w:t>
            </w:r>
          </w:p>
        </w:tc>
        <w:tc>
          <w:tcPr>
            <w:tcW w:w="15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60" w:type="dxa"/>
            <w:vAlign w:val="bottom"/>
            <w:gridSpan w:val="4"/>
          </w:tcPr>
          <w:p>
            <w:pPr>
              <w:jc w:val="center"/>
              <w:ind w:right="100"/>
              <w:spacing w:after="0" w:line="129" w:lineRule="exact"/>
              <w:rPr>
                <w:sz w:val="20"/>
                <w:szCs w:val="20"/>
                <w:color w:val="auto"/>
              </w:rPr>
            </w:pPr>
            <w:r>
              <w:rPr>
                <w:rFonts w:ascii="Arial" w:cs="Arial" w:eastAsia="Arial" w:hAnsi="Arial"/>
                <w:sz w:val="12"/>
                <w:szCs w:val="12"/>
                <w:b w:val="1"/>
                <w:bCs w:val="1"/>
                <w:color w:val="auto"/>
                <w:w w:val="95"/>
              </w:rPr>
              <w:t>Corporate and Other</w:t>
            </w:r>
          </w:p>
        </w:tc>
        <w:tc>
          <w:tcPr>
            <w:tcW w:w="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0" w:type="dxa"/>
            <w:vAlign w:val="bottom"/>
          </w:tcPr>
          <w:p>
            <w:pPr>
              <w:spacing w:after="0"/>
              <w:rPr>
                <w:sz w:val="11"/>
                <w:szCs w:val="11"/>
                <w:color w:val="auto"/>
              </w:rPr>
            </w:pPr>
          </w:p>
        </w:tc>
      </w:tr>
      <w:tr>
        <w:trPr>
          <w:trHeight w:val="162"/>
        </w:trPr>
        <w:tc>
          <w:tcPr>
            <w:tcW w:w="20" w:type="dxa"/>
            <w:vAlign w:val="bottom"/>
            <w:tcBorders>
              <w:bottom w:val="single" w:sz="8" w:color="CCEEFF"/>
            </w:tcBorders>
          </w:tcPr>
          <w:p>
            <w:pPr>
              <w:spacing w:after="0"/>
              <w:rPr>
                <w:sz w:val="14"/>
                <w:szCs w:val="14"/>
                <w:color w:val="auto"/>
              </w:rPr>
            </w:pPr>
          </w:p>
        </w:tc>
        <w:tc>
          <w:tcPr>
            <w:tcW w:w="3320" w:type="dxa"/>
            <w:vAlign w:val="bottom"/>
            <w:tcBorders>
              <w:bottom w:val="single" w:sz="8" w:color="CCEEFF"/>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jc w:val="right"/>
              <w:ind w:right="319"/>
              <w:spacing w:after="0"/>
              <w:rPr>
                <w:sz w:val="20"/>
                <w:szCs w:val="20"/>
                <w:color w:val="auto"/>
              </w:rPr>
            </w:pPr>
            <w:r>
              <w:rPr>
                <w:rFonts w:ascii="Arial" w:cs="Arial" w:eastAsia="Arial" w:hAnsi="Arial"/>
                <w:sz w:val="12"/>
                <w:szCs w:val="12"/>
                <w:b w:val="1"/>
                <w:bCs w:val="1"/>
                <w:color w:val="auto"/>
              </w:rPr>
              <w:t>Systems</w:t>
            </w:r>
          </w:p>
        </w:tc>
        <w:tc>
          <w:tcPr>
            <w:tcW w:w="80" w:type="dxa"/>
            <w:vAlign w:val="bottom"/>
            <w:tcBorders>
              <w:bottom w:val="single" w:sz="8" w:color="CCEEFF"/>
            </w:tcBorders>
            <w:gridSpan w:val="2"/>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tcPr>
          <w:p>
            <w:pPr>
              <w:jc w:val="center"/>
              <w:spacing w:after="0"/>
              <w:rPr>
                <w:sz w:val="20"/>
                <w:szCs w:val="20"/>
                <w:color w:val="auto"/>
              </w:rPr>
            </w:pPr>
            <w:r>
              <w:rPr>
                <w:rFonts w:ascii="Arial" w:cs="Arial" w:eastAsia="Arial" w:hAnsi="Arial"/>
                <w:sz w:val="12"/>
                <w:szCs w:val="12"/>
                <w:b w:val="1"/>
                <w:bCs w:val="1"/>
                <w:color w:val="auto"/>
                <w:w w:val="86"/>
              </w:rPr>
              <w:t>Processing</w:t>
            </w:r>
          </w:p>
        </w:tc>
        <w:tc>
          <w:tcPr>
            <w:tcW w:w="100" w:type="dxa"/>
            <w:vAlign w:val="bottom"/>
            <w:tcBorders>
              <w:bottom w:val="single" w:sz="8" w:color="CCEEFF"/>
            </w:tcBorders>
            <w:gridSpan w:val="2"/>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560" w:type="dxa"/>
            <w:vAlign w:val="bottom"/>
            <w:tcBorders>
              <w:bottom w:val="single" w:sz="8" w:color="auto"/>
            </w:tcBorders>
          </w:tcPr>
          <w:p>
            <w:pPr>
              <w:jc w:val="right"/>
              <w:ind w:right="299"/>
              <w:spacing w:after="0"/>
              <w:rPr>
                <w:sz w:val="20"/>
                <w:szCs w:val="20"/>
                <w:color w:val="auto"/>
              </w:rPr>
            </w:pPr>
            <w:r>
              <w:rPr>
                <w:rFonts w:ascii="Arial" w:cs="Arial" w:eastAsia="Arial" w:hAnsi="Arial"/>
                <w:sz w:val="12"/>
                <w:szCs w:val="12"/>
                <w:b w:val="1"/>
                <w:bCs w:val="1"/>
                <w:color w:val="auto"/>
              </w:rPr>
              <w:t>Communications</w:t>
            </w:r>
          </w:p>
        </w:tc>
        <w:tc>
          <w:tcPr>
            <w:tcW w:w="100" w:type="dxa"/>
            <w:vAlign w:val="bottom"/>
            <w:tcBorders>
              <w:bottom w:val="single" w:sz="8" w:color="CCEEFF"/>
            </w:tcBorders>
            <w:gridSpan w:val="2"/>
          </w:tcPr>
          <w:p>
            <w:pPr>
              <w:spacing w:after="0"/>
              <w:rPr>
                <w:sz w:val="14"/>
                <w:szCs w:val="14"/>
                <w:color w:val="auto"/>
              </w:rPr>
            </w:pPr>
          </w:p>
        </w:tc>
        <w:tc>
          <w:tcPr>
            <w:tcW w:w="220" w:type="dxa"/>
            <w:vAlign w:val="bottom"/>
            <w:tcBorders>
              <w:bottom w:val="single" w:sz="8" w:color="auto"/>
            </w:tcBorders>
            <w:gridSpan w:val="2"/>
          </w:tcPr>
          <w:p>
            <w:pPr>
              <w:spacing w:after="0"/>
              <w:rPr>
                <w:sz w:val="14"/>
                <w:szCs w:val="14"/>
                <w:color w:val="auto"/>
              </w:rPr>
            </w:pPr>
          </w:p>
        </w:tc>
        <w:tc>
          <w:tcPr>
            <w:tcW w:w="980" w:type="dxa"/>
            <w:vAlign w:val="bottom"/>
            <w:tcBorders>
              <w:bottom w:val="single" w:sz="8" w:color="auto"/>
            </w:tcBorders>
            <w:gridSpan w:val="2"/>
          </w:tcPr>
          <w:p>
            <w:pPr>
              <w:jc w:val="center"/>
              <w:ind w:right="220"/>
              <w:spacing w:after="0"/>
              <w:rPr>
                <w:sz w:val="20"/>
                <w:szCs w:val="20"/>
                <w:color w:val="auto"/>
              </w:rPr>
            </w:pPr>
            <w:r>
              <w:rPr>
                <w:rFonts w:ascii="Arial" w:cs="Arial" w:eastAsia="Arial" w:hAnsi="Arial"/>
                <w:sz w:val="12"/>
                <w:szCs w:val="12"/>
                <w:b w:val="1"/>
                <w:bCs w:val="1"/>
                <w:color w:val="auto"/>
                <w:w w:val="89"/>
              </w:rPr>
              <w:t>Activities</w:t>
            </w:r>
          </w:p>
        </w:tc>
        <w:tc>
          <w:tcPr>
            <w:tcW w:w="80" w:type="dxa"/>
            <w:vAlign w:val="bottom"/>
            <w:tcBorders>
              <w:bottom w:val="single" w:sz="8" w:color="CCEEFF"/>
            </w:tcBorders>
          </w:tcPr>
          <w:p>
            <w:pPr>
              <w:spacing w:after="0"/>
              <w:rPr>
                <w:sz w:val="14"/>
                <w:szCs w:val="14"/>
                <w:color w:val="auto"/>
              </w:rPr>
            </w:pPr>
          </w:p>
        </w:tc>
        <w:tc>
          <w:tcPr>
            <w:tcW w:w="20" w:type="dxa"/>
            <w:vAlign w:val="bottom"/>
            <w:tcBorders>
              <w:bottom w:val="single" w:sz="8" w:color="CCEEFF"/>
            </w:tcBorders>
          </w:tcPr>
          <w:p>
            <w:pPr>
              <w:spacing w:after="0"/>
              <w:rPr>
                <w:sz w:val="14"/>
                <w:szCs w:val="14"/>
                <w:color w:val="auto"/>
              </w:rPr>
            </w:pPr>
          </w:p>
        </w:tc>
        <w:tc>
          <w:tcPr>
            <w:tcW w:w="1180" w:type="dxa"/>
            <w:vAlign w:val="bottom"/>
            <w:tcBorders>
              <w:bottom w:val="single" w:sz="8" w:color="auto"/>
            </w:tcBorders>
            <w:gridSpan w:val="2"/>
          </w:tcPr>
          <w:p>
            <w:pPr>
              <w:jc w:val="right"/>
              <w:ind w:right="460"/>
              <w:spacing w:after="0"/>
              <w:rPr>
                <w:sz w:val="20"/>
                <w:szCs w:val="20"/>
                <w:color w:val="auto"/>
              </w:rPr>
            </w:pPr>
            <w:r>
              <w:rPr>
                <w:rFonts w:ascii="Arial" w:cs="Arial" w:eastAsia="Arial" w:hAnsi="Arial"/>
                <w:sz w:val="12"/>
                <w:szCs w:val="12"/>
                <w:b w:val="1"/>
                <w:bCs w:val="1"/>
                <w:color w:val="auto"/>
              </w:rPr>
              <w:t>Total</w:t>
            </w:r>
          </w:p>
        </w:tc>
      </w:tr>
      <w:tr>
        <w:trPr>
          <w:trHeight w:val="188"/>
        </w:trPr>
        <w:tc>
          <w:tcPr>
            <w:tcW w:w="3340" w:type="dxa"/>
            <w:vAlign w:val="bottom"/>
            <w:gridSpan w:val="2"/>
            <w:shd w:val="clear" w:color="auto" w:fill="CCEEFF"/>
          </w:tcPr>
          <w:p>
            <w:pPr>
              <w:spacing w:after="0"/>
              <w:rPr>
                <w:sz w:val="20"/>
                <w:szCs w:val="20"/>
                <w:color w:val="auto"/>
              </w:rPr>
            </w:pPr>
            <w:r>
              <w:rPr>
                <w:rFonts w:ascii="Arial" w:cs="Arial" w:eastAsia="Arial" w:hAnsi="Arial"/>
                <w:sz w:val="13"/>
                <w:szCs w:val="13"/>
                <w:color w:val="auto"/>
              </w:rPr>
              <w:t>Balance, beginning of period</w:t>
            </w:r>
          </w:p>
        </w:tc>
        <w:tc>
          <w:tcPr>
            <w:tcW w:w="240" w:type="dxa"/>
            <w:vAlign w:val="bottom"/>
            <w:gridSpan w:val="2"/>
            <w:shd w:val="clear" w:color="auto" w:fill="CCEEFF"/>
          </w:tcPr>
          <w:p>
            <w:pPr>
              <w:jc w:val="right"/>
              <w:ind w:right="99"/>
              <w:spacing w:after="0"/>
              <w:rPr>
                <w:sz w:val="20"/>
                <w:szCs w:val="20"/>
                <w:color w:val="auto"/>
              </w:rPr>
            </w:pPr>
            <w:r>
              <w:rPr>
                <w:rFonts w:ascii="Arial" w:cs="Arial" w:eastAsia="Arial" w:hAnsi="Arial"/>
                <w:sz w:val="12"/>
                <w:szCs w:val="12"/>
                <w:color w:val="auto"/>
                <w:w w:val="89"/>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2"/>
                <w:szCs w:val="12"/>
                <w:color w:val="auto"/>
              </w:rPr>
              <w:t>4,968</w:t>
            </w:r>
          </w:p>
        </w:tc>
        <w:tc>
          <w:tcPr>
            <w:tcW w:w="2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2"/>
                <w:szCs w:val="12"/>
                <w:color w:val="auto"/>
              </w:rPr>
              <w:t>24,164</w:t>
            </w: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2"/>
                <w:szCs w:val="12"/>
                <w:color w:val="auto"/>
              </w:rPr>
              <w:t>1,665</w:t>
            </w: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2"/>
                <w:szCs w:val="12"/>
                <w:color w:val="auto"/>
              </w:rPr>
              <w:t>1,479</w:t>
            </w: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right"/>
              <w:spacing w:after="0"/>
              <w:rPr>
                <w:sz w:val="20"/>
                <w:szCs w:val="20"/>
                <w:color w:val="auto"/>
              </w:rPr>
            </w:pPr>
            <w:r>
              <w:rPr>
                <w:rFonts w:ascii="Arial" w:cs="Arial" w:eastAsia="Arial" w:hAnsi="Arial"/>
                <w:sz w:val="12"/>
                <w:szCs w:val="12"/>
                <w:color w:val="auto"/>
              </w:rPr>
              <w:t>32,276</w:t>
            </w:r>
          </w:p>
        </w:tc>
        <w:tc>
          <w:tcPr>
            <w:tcW w:w="40" w:type="dxa"/>
            <w:vAlign w:val="bottom"/>
            <w:shd w:val="clear" w:color="auto" w:fill="CCEEFF"/>
          </w:tcPr>
          <w:p>
            <w:pPr>
              <w:spacing w:after="0"/>
              <w:rPr>
                <w:sz w:val="16"/>
                <w:szCs w:val="16"/>
                <w:color w:val="auto"/>
              </w:rPr>
            </w:pPr>
          </w:p>
        </w:tc>
      </w:tr>
      <w:tr>
        <w:trPr>
          <w:trHeight w:val="201"/>
        </w:trPr>
        <w:tc>
          <w:tcPr>
            <w:tcW w:w="20" w:type="dxa"/>
            <w:vAlign w:val="bottom"/>
          </w:tcPr>
          <w:p>
            <w:pPr>
              <w:spacing w:after="0"/>
              <w:rPr>
                <w:sz w:val="17"/>
                <w:szCs w:val="17"/>
                <w:color w:val="auto"/>
              </w:rPr>
            </w:pPr>
          </w:p>
        </w:tc>
        <w:tc>
          <w:tcPr>
            <w:tcW w:w="3320" w:type="dxa"/>
            <w:vAlign w:val="bottom"/>
          </w:tcPr>
          <w:p>
            <w:pPr>
              <w:ind w:left="140"/>
              <w:spacing w:after="0"/>
              <w:rPr>
                <w:sz w:val="20"/>
                <w:szCs w:val="20"/>
                <w:color w:val="auto"/>
              </w:rPr>
            </w:pPr>
            <w:r>
              <w:rPr>
                <w:rFonts w:ascii="Arial" w:cs="Arial" w:eastAsia="Arial" w:hAnsi="Arial"/>
                <w:sz w:val="13"/>
                <w:szCs w:val="13"/>
                <w:color w:val="auto"/>
              </w:rPr>
              <w:t>Deferral of revenue</w:t>
            </w:r>
          </w:p>
        </w:tc>
        <w:tc>
          <w:tcPr>
            <w:tcW w:w="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40" w:type="dxa"/>
            <w:vAlign w:val="bottom"/>
          </w:tcPr>
          <w:p>
            <w:pPr>
              <w:jc w:val="right"/>
              <w:spacing w:after="0"/>
              <w:rPr>
                <w:sz w:val="20"/>
                <w:szCs w:val="20"/>
                <w:color w:val="auto"/>
              </w:rPr>
            </w:pPr>
            <w:r>
              <w:rPr>
                <w:rFonts w:ascii="Arial" w:cs="Arial" w:eastAsia="Arial" w:hAnsi="Arial"/>
                <w:sz w:val="12"/>
                <w:szCs w:val="12"/>
                <w:color w:val="auto"/>
              </w:rPr>
              <w:t>253</w:t>
            </w: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140" w:type="dxa"/>
            <w:vAlign w:val="bottom"/>
          </w:tcPr>
          <w:p>
            <w:pPr>
              <w:jc w:val="right"/>
              <w:spacing w:after="0"/>
              <w:rPr>
                <w:sz w:val="20"/>
                <w:szCs w:val="20"/>
                <w:color w:val="auto"/>
              </w:rPr>
            </w:pPr>
            <w:r>
              <w:rPr>
                <w:rFonts w:ascii="Arial" w:cs="Arial" w:eastAsia="Arial" w:hAnsi="Arial"/>
                <w:sz w:val="12"/>
                <w:szCs w:val="12"/>
                <w:color w:val="auto"/>
              </w:rPr>
              <w:t>10,774</w:t>
            </w: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560" w:type="dxa"/>
            <w:vAlign w:val="bottom"/>
          </w:tcPr>
          <w:p>
            <w:pPr>
              <w:jc w:val="right"/>
              <w:spacing w:after="0"/>
              <w:rPr>
                <w:sz w:val="20"/>
                <w:szCs w:val="20"/>
                <w:color w:val="auto"/>
              </w:rPr>
            </w:pPr>
            <w:r>
              <w:rPr>
                <w:rFonts w:ascii="Arial" w:cs="Arial" w:eastAsia="Arial" w:hAnsi="Arial"/>
                <w:sz w:val="12"/>
                <w:szCs w:val="12"/>
                <w:color w:val="auto"/>
              </w:rPr>
              <w:t>5,375</w:t>
            </w: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60" w:type="dxa"/>
            <w:vAlign w:val="bottom"/>
          </w:tcPr>
          <w:p>
            <w:pPr>
              <w:jc w:val="right"/>
              <w:spacing w:after="0"/>
              <w:rPr>
                <w:sz w:val="20"/>
                <w:szCs w:val="20"/>
                <w:color w:val="auto"/>
              </w:rPr>
            </w:pPr>
            <w:r>
              <w:rPr>
                <w:rFonts w:ascii="Arial" w:cs="Arial" w:eastAsia="Arial" w:hAnsi="Arial"/>
                <w:sz w:val="12"/>
                <w:szCs w:val="12"/>
                <w:color w:val="auto"/>
              </w:rPr>
              <w:t>648</w:t>
            </w: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spacing w:after="0"/>
              <w:rPr>
                <w:sz w:val="20"/>
                <w:szCs w:val="20"/>
                <w:color w:val="auto"/>
              </w:rPr>
            </w:pPr>
            <w:r>
              <w:rPr>
                <w:rFonts w:ascii="Arial" w:cs="Arial" w:eastAsia="Arial" w:hAnsi="Arial"/>
                <w:sz w:val="12"/>
                <w:szCs w:val="12"/>
                <w:color w:val="auto"/>
              </w:rPr>
              <w:t>17,050</w:t>
            </w:r>
          </w:p>
        </w:tc>
        <w:tc>
          <w:tcPr>
            <w:tcW w:w="40" w:type="dxa"/>
            <w:vAlign w:val="bottom"/>
          </w:tcPr>
          <w:p>
            <w:pPr>
              <w:spacing w:after="0"/>
              <w:rPr>
                <w:sz w:val="17"/>
                <w:szCs w:val="17"/>
                <w:color w:val="auto"/>
              </w:rPr>
            </w:pPr>
          </w:p>
        </w:tc>
      </w:tr>
      <w:tr>
        <w:trPr>
          <w:trHeight w:val="208"/>
        </w:trPr>
        <w:tc>
          <w:tcPr>
            <w:tcW w:w="20" w:type="dxa"/>
            <w:vAlign w:val="bottom"/>
            <w:shd w:val="clear" w:color="auto" w:fill="CCEEFF"/>
          </w:tcPr>
          <w:p>
            <w:pPr>
              <w:spacing w:after="0"/>
              <w:rPr>
                <w:sz w:val="18"/>
                <w:szCs w:val="18"/>
                <w:color w:val="auto"/>
              </w:rPr>
            </w:pPr>
          </w:p>
        </w:tc>
        <w:tc>
          <w:tcPr>
            <w:tcW w:w="3320" w:type="dxa"/>
            <w:vAlign w:val="bottom"/>
            <w:shd w:val="clear" w:color="auto" w:fill="CCEEFF"/>
          </w:tcPr>
          <w:p>
            <w:pPr>
              <w:ind w:left="140"/>
              <w:spacing w:after="0"/>
              <w:rPr>
                <w:sz w:val="20"/>
                <w:szCs w:val="20"/>
                <w:color w:val="auto"/>
              </w:rPr>
            </w:pPr>
            <w:r>
              <w:rPr>
                <w:rFonts w:ascii="Arial" w:cs="Arial" w:eastAsia="Arial" w:hAnsi="Arial"/>
                <w:sz w:val="13"/>
                <w:szCs w:val="13"/>
                <w:color w:val="auto"/>
              </w:rPr>
              <w:t>Recognition of revenue</w:t>
            </w:r>
          </w:p>
        </w:tc>
        <w:tc>
          <w:tcPr>
            <w:tcW w:w="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2"/>
                <w:szCs w:val="12"/>
                <w:color w:val="auto"/>
              </w:rPr>
              <w:t>(1,094)</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2"/>
                <w:szCs w:val="12"/>
                <w:color w:val="auto"/>
              </w:rPr>
              <w:t>(19,836)</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2"/>
                <w:szCs w:val="12"/>
                <w:color w:val="auto"/>
              </w:rPr>
              <w:t>(5,213)</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spacing w:after="0"/>
              <w:rPr>
                <w:sz w:val="20"/>
                <w:szCs w:val="20"/>
                <w:color w:val="auto"/>
              </w:rPr>
            </w:pPr>
            <w:r>
              <w:rPr>
                <w:rFonts w:ascii="Arial" w:cs="Arial" w:eastAsia="Arial" w:hAnsi="Arial"/>
                <w:sz w:val="12"/>
                <w:szCs w:val="12"/>
                <w:color w:val="auto"/>
              </w:rPr>
              <w:t>(659)</w:t>
            </w:r>
          </w:p>
        </w:tc>
        <w:tc>
          <w:tcPr>
            <w:tcW w:w="80" w:type="dxa"/>
            <w:vAlign w:val="bottom"/>
            <w:shd w:val="clear" w:color="auto" w:fill="CCEEFF"/>
          </w:tcPr>
          <w:p>
            <w:pPr>
              <w:spacing w:after="0"/>
              <w:rPr>
                <w:sz w:val="18"/>
                <w:szCs w:val="18"/>
                <w:color w:val="auto"/>
              </w:rPr>
            </w:pPr>
          </w:p>
        </w:tc>
        <w:tc>
          <w:tcPr>
            <w:tcW w:w="1200" w:type="dxa"/>
            <w:vAlign w:val="bottom"/>
            <w:gridSpan w:val="3"/>
            <w:shd w:val="clear" w:color="auto" w:fill="CCEEFF"/>
          </w:tcPr>
          <w:p>
            <w:pPr>
              <w:jc w:val="right"/>
              <w:ind w:right="20"/>
              <w:spacing w:after="0"/>
              <w:rPr>
                <w:sz w:val="20"/>
                <w:szCs w:val="20"/>
                <w:color w:val="auto"/>
              </w:rPr>
            </w:pPr>
            <w:r>
              <w:rPr>
                <w:rFonts w:ascii="Arial" w:cs="Arial" w:eastAsia="Arial" w:hAnsi="Arial"/>
                <w:sz w:val="12"/>
                <w:szCs w:val="12"/>
                <w:color w:val="auto"/>
              </w:rPr>
              <w:t>(26,802)</w:t>
            </w:r>
          </w:p>
        </w:tc>
      </w:tr>
      <w:tr>
        <w:trPr>
          <w:trHeight w:val="201"/>
        </w:trPr>
        <w:tc>
          <w:tcPr>
            <w:tcW w:w="20" w:type="dxa"/>
            <w:vAlign w:val="bottom"/>
            <w:tcBorders>
              <w:bottom w:val="single" w:sz="8" w:color="CCEEFF"/>
            </w:tcBorders>
          </w:tcPr>
          <w:p>
            <w:pPr>
              <w:spacing w:after="0"/>
              <w:rPr>
                <w:sz w:val="17"/>
                <w:szCs w:val="17"/>
                <w:color w:val="auto"/>
              </w:rPr>
            </w:pPr>
          </w:p>
        </w:tc>
        <w:tc>
          <w:tcPr>
            <w:tcW w:w="3320" w:type="dxa"/>
            <w:vAlign w:val="bottom"/>
            <w:tcBorders>
              <w:bottom w:val="single" w:sz="8" w:color="CCEEFF"/>
            </w:tcBorders>
          </w:tcPr>
          <w:p>
            <w:pPr>
              <w:ind w:left="140"/>
              <w:spacing w:after="0"/>
              <w:rPr>
                <w:sz w:val="20"/>
                <w:szCs w:val="20"/>
                <w:color w:val="auto"/>
              </w:rPr>
            </w:pPr>
            <w:r>
              <w:rPr>
                <w:rFonts w:ascii="Arial" w:cs="Arial" w:eastAsia="Arial" w:hAnsi="Arial"/>
                <w:sz w:val="13"/>
                <w:szCs w:val="13"/>
                <w:color w:val="auto"/>
              </w:rPr>
              <w:t>Other</w:t>
            </w:r>
          </w:p>
        </w:tc>
        <w:tc>
          <w:tcPr>
            <w:tcW w:w="40" w:type="dxa"/>
            <w:vAlign w:val="bottom"/>
            <w:tcBorders>
              <w:bottom w:val="single" w:sz="8" w:color="auto"/>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45</w:t>
            </w:r>
          </w:p>
        </w:tc>
        <w:tc>
          <w:tcPr>
            <w:tcW w:w="20" w:type="dxa"/>
            <w:vAlign w:val="bottom"/>
            <w:tcBorders>
              <w:bottom w:val="single" w:sz="8" w:color="CCEEFF"/>
            </w:tcBorders>
          </w:tcPr>
          <w:p>
            <w:pPr>
              <w:spacing w:after="0"/>
              <w:rPr>
                <w:sz w:val="17"/>
                <w:szCs w:val="17"/>
                <w:color w:val="auto"/>
              </w:rPr>
            </w:pPr>
          </w:p>
        </w:tc>
        <w:tc>
          <w:tcPr>
            <w:tcW w:w="60" w:type="dxa"/>
            <w:vAlign w:val="bottom"/>
            <w:tcBorders>
              <w:bottom w:val="single" w:sz="8" w:color="CCEEFF"/>
            </w:tcBorders>
          </w:tcPr>
          <w:p>
            <w:pPr>
              <w:spacing w:after="0"/>
              <w:rPr>
                <w:sz w:val="17"/>
                <w:szCs w:val="17"/>
                <w:color w:val="auto"/>
              </w:rPr>
            </w:pPr>
          </w:p>
        </w:tc>
        <w:tc>
          <w:tcPr>
            <w:tcW w:w="4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146</w:t>
            </w:r>
          </w:p>
        </w:tc>
        <w:tc>
          <w:tcPr>
            <w:tcW w:w="20" w:type="dxa"/>
            <w:vAlign w:val="bottom"/>
            <w:tcBorders>
              <w:bottom w:val="single" w:sz="8" w:color="CCEEFF"/>
            </w:tcBorders>
          </w:tcPr>
          <w:p>
            <w:pPr>
              <w:spacing w:after="0"/>
              <w:rPr>
                <w:sz w:val="17"/>
                <w:szCs w:val="17"/>
                <w:color w:val="auto"/>
              </w:rPr>
            </w:pPr>
          </w:p>
        </w:tc>
        <w:tc>
          <w:tcPr>
            <w:tcW w:w="80" w:type="dxa"/>
            <w:vAlign w:val="bottom"/>
            <w:tcBorders>
              <w:bottom w:val="single" w:sz="8" w:color="CCEEFF"/>
            </w:tcBorders>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156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w:t>
            </w:r>
          </w:p>
        </w:tc>
        <w:tc>
          <w:tcPr>
            <w:tcW w:w="100" w:type="dxa"/>
            <w:vAlign w:val="bottom"/>
            <w:tcBorders>
              <w:bottom w:val="single" w:sz="8" w:color="CCEEFF"/>
            </w:tcBorders>
            <w:gridSpan w:val="2"/>
          </w:tcPr>
          <w:p>
            <w:pPr>
              <w:spacing w:after="0"/>
              <w:rPr>
                <w:sz w:val="17"/>
                <w:szCs w:val="17"/>
                <w:color w:val="auto"/>
              </w:rPr>
            </w:pPr>
          </w:p>
        </w:tc>
        <w:tc>
          <w:tcPr>
            <w:tcW w:w="220" w:type="dxa"/>
            <w:vAlign w:val="bottom"/>
            <w:tcBorders>
              <w:bottom w:val="single" w:sz="8" w:color="auto"/>
            </w:tcBorders>
            <w:gridSpan w:val="2"/>
          </w:tcPr>
          <w:p>
            <w:pPr>
              <w:spacing w:after="0"/>
              <w:rPr>
                <w:sz w:val="17"/>
                <w:szCs w:val="17"/>
                <w:color w:val="auto"/>
              </w:rPr>
            </w:pPr>
          </w:p>
        </w:tc>
        <w:tc>
          <w:tcPr>
            <w:tcW w:w="980" w:type="dxa"/>
            <w:vAlign w:val="bottom"/>
            <w:tcBorders>
              <w:bottom w:val="single" w:sz="8" w:color="auto"/>
            </w:tcBorders>
            <w:gridSpan w:val="2"/>
          </w:tcPr>
          <w:p>
            <w:pPr>
              <w:jc w:val="right"/>
              <w:ind w:right="40"/>
              <w:spacing w:after="0"/>
              <w:rPr>
                <w:sz w:val="20"/>
                <w:szCs w:val="20"/>
                <w:color w:val="auto"/>
              </w:rPr>
            </w:pPr>
            <w:r>
              <w:rPr>
                <w:rFonts w:ascii="Arial" w:cs="Arial" w:eastAsia="Arial" w:hAnsi="Arial"/>
                <w:sz w:val="12"/>
                <w:szCs w:val="12"/>
                <w:color w:val="auto"/>
              </w:rPr>
              <w:t>—</w:t>
            </w:r>
          </w:p>
        </w:tc>
        <w:tc>
          <w:tcPr>
            <w:tcW w:w="80" w:type="dxa"/>
            <w:vAlign w:val="bottom"/>
            <w:tcBorders>
              <w:bottom w:val="single" w:sz="8" w:color="CCEEFF"/>
            </w:tcBorders>
          </w:tcPr>
          <w:p>
            <w:pPr>
              <w:spacing w:after="0"/>
              <w:rPr>
                <w:sz w:val="17"/>
                <w:szCs w:val="17"/>
                <w:color w:val="auto"/>
              </w:rPr>
            </w:pPr>
          </w:p>
        </w:tc>
        <w:tc>
          <w:tcPr>
            <w:tcW w:w="20" w:type="dxa"/>
            <w:vAlign w:val="bottom"/>
            <w:tcBorders>
              <w:bottom w:val="single" w:sz="8" w:color="CCEEFF"/>
            </w:tcBorders>
          </w:tcPr>
          <w:p>
            <w:pPr>
              <w:spacing w:after="0"/>
              <w:rPr>
                <w:sz w:val="17"/>
                <w:szCs w:val="17"/>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191</w:t>
            </w:r>
          </w:p>
        </w:tc>
        <w:tc>
          <w:tcPr>
            <w:tcW w:w="40" w:type="dxa"/>
            <w:vAlign w:val="bottom"/>
            <w:tcBorders>
              <w:bottom w:val="single" w:sz="8" w:color="auto"/>
            </w:tcBorders>
          </w:tcPr>
          <w:p>
            <w:pPr>
              <w:spacing w:after="0"/>
              <w:rPr>
                <w:sz w:val="17"/>
                <w:szCs w:val="17"/>
                <w:color w:val="auto"/>
              </w:rPr>
            </w:pPr>
          </w:p>
        </w:tc>
      </w:tr>
      <w:tr>
        <w:trPr>
          <w:trHeight w:val="188"/>
        </w:trPr>
        <w:tc>
          <w:tcPr>
            <w:tcW w:w="3340" w:type="dxa"/>
            <w:vAlign w:val="bottom"/>
            <w:gridSpan w:val="2"/>
            <w:shd w:val="clear" w:color="auto" w:fill="CCEEFF"/>
          </w:tcPr>
          <w:p>
            <w:pPr>
              <w:spacing w:after="0"/>
              <w:rPr>
                <w:sz w:val="20"/>
                <w:szCs w:val="20"/>
                <w:color w:val="auto"/>
              </w:rPr>
            </w:pPr>
            <w:r>
              <w:rPr>
                <w:rFonts w:ascii="Arial" w:cs="Arial" w:eastAsia="Arial" w:hAnsi="Arial"/>
                <w:sz w:val="13"/>
                <w:szCs w:val="13"/>
                <w:color w:val="auto"/>
              </w:rPr>
              <w:t>Balance, end of period</w:t>
            </w:r>
          </w:p>
        </w:tc>
        <w:tc>
          <w:tcPr>
            <w:tcW w:w="240" w:type="dxa"/>
            <w:vAlign w:val="bottom"/>
            <w:gridSpan w:val="2"/>
            <w:shd w:val="clear" w:color="auto" w:fill="CCEEFF"/>
          </w:tcPr>
          <w:p>
            <w:pPr>
              <w:jc w:val="right"/>
              <w:ind w:right="99"/>
              <w:spacing w:after="0"/>
              <w:rPr>
                <w:sz w:val="20"/>
                <w:szCs w:val="20"/>
                <w:color w:val="auto"/>
              </w:rPr>
            </w:pPr>
            <w:r>
              <w:rPr>
                <w:rFonts w:ascii="Arial" w:cs="Arial" w:eastAsia="Arial" w:hAnsi="Arial"/>
                <w:sz w:val="12"/>
                <w:szCs w:val="12"/>
                <w:color w:val="auto"/>
                <w:w w:val="89"/>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2"/>
                <w:szCs w:val="12"/>
                <w:color w:val="auto"/>
              </w:rPr>
              <w:t>4,172</w:t>
            </w:r>
          </w:p>
        </w:tc>
        <w:tc>
          <w:tcPr>
            <w:tcW w:w="2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2"/>
                <w:szCs w:val="12"/>
                <w:color w:val="auto"/>
              </w:rPr>
              <w:t>15,248</w:t>
            </w: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2"/>
                <w:szCs w:val="12"/>
                <w:color w:val="auto"/>
              </w:rPr>
              <w:t>1,827</w:t>
            </w: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2"/>
                <w:szCs w:val="12"/>
                <w:color w:val="auto"/>
              </w:rPr>
              <w:t>1,468</w:t>
            </w: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right"/>
              <w:spacing w:after="0"/>
              <w:rPr>
                <w:sz w:val="20"/>
                <w:szCs w:val="20"/>
                <w:color w:val="auto"/>
              </w:rPr>
            </w:pPr>
            <w:r>
              <w:rPr>
                <w:rFonts w:ascii="Arial" w:cs="Arial" w:eastAsia="Arial" w:hAnsi="Arial"/>
                <w:sz w:val="12"/>
                <w:szCs w:val="12"/>
                <w:color w:val="auto"/>
              </w:rPr>
              <w:t>22,715</w:t>
            </w:r>
          </w:p>
        </w:tc>
        <w:tc>
          <w:tcPr>
            <w:tcW w:w="40" w:type="dxa"/>
            <w:vAlign w:val="bottom"/>
            <w:shd w:val="clear" w:color="auto" w:fill="CCEEFF"/>
          </w:tcPr>
          <w:p>
            <w:pPr>
              <w:spacing w:after="0"/>
              <w:rPr>
                <w:sz w:val="16"/>
                <w:szCs w:val="16"/>
                <w:color w:val="auto"/>
              </w:rPr>
            </w:pPr>
          </w:p>
        </w:tc>
      </w:tr>
    </w:tbl>
    <w:p>
      <w:pPr>
        <w:spacing w:after="0" w:line="309"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12. Major Customer</w:t>
      </w:r>
    </w:p>
    <w:p>
      <w:pPr>
        <w:spacing w:after="0" w:line="145" w:lineRule="exact"/>
        <w:rPr>
          <w:sz w:val="20"/>
          <w:szCs w:val="20"/>
          <w:color w:val="auto"/>
        </w:rPr>
      </w:pPr>
    </w:p>
    <w:p>
      <w:pPr>
        <w:jc w:val="both"/>
        <w:spacing w:after="0" w:line="272" w:lineRule="auto"/>
        <w:rPr>
          <w:sz w:val="20"/>
          <w:szCs w:val="20"/>
          <w:color w:val="auto"/>
        </w:rPr>
      </w:pPr>
      <w:r>
        <w:rPr>
          <w:rFonts w:ascii="Arial" w:cs="Arial" w:eastAsia="Arial" w:hAnsi="Arial"/>
          <w:sz w:val="14"/>
          <w:szCs w:val="14"/>
          <w:color w:val="auto"/>
        </w:rPr>
        <w:t>Nelnet Servicing, LLC ("Nelnet Servicing"), a subsidiary of the Company, earns loan servicing revenue from a servicing contract with the Department of Education (the "Department") that currently provides for expiration on June 16, 2019. Revenue earned by Nelnet Servicing related to this contract was $39.6 million and $39.3 million for the three months ended March 31, 2019 and 2018, respectively.</w:t>
      </w:r>
    </w:p>
    <w:p>
      <w:pPr>
        <w:spacing w:after="0" w:line="99" w:lineRule="exact"/>
        <w:rPr>
          <w:sz w:val="20"/>
          <w:szCs w:val="20"/>
          <w:color w:val="auto"/>
        </w:rPr>
      </w:pPr>
    </w:p>
    <w:p>
      <w:pPr>
        <w:jc w:val="both"/>
        <w:spacing w:after="0" w:line="272" w:lineRule="auto"/>
        <w:rPr>
          <w:sz w:val="20"/>
          <w:szCs w:val="20"/>
          <w:color w:val="auto"/>
        </w:rPr>
      </w:pPr>
      <w:r>
        <w:rPr>
          <w:rFonts w:ascii="Arial" w:cs="Arial" w:eastAsia="Arial" w:hAnsi="Arial"/>
          <w:sz w:val="14"/>
          <w:szCs w:val="14"/>
          <w:color w:val="auto"/>
        </w:rPr>
        <w:t>In addition, Great Lakes Educational Loan Services, Inc. ("Great Lakes"), which was acquired by the Company on February 7, 2018, also earns loan servicing revenue from a similar servicing contract with the Department that currently provides for expiration on June 16, 2019. Revenue earned by Great Lakes related to this contract was $47.1 million for the three months ended March 31, 2019 and $30.8 million for the period from February 7, 2018 to March 31, 2018.</w:t>
      </w:r>
    </w:p>
    <w:p>
      <w:pPr>
        <w:spacing w:after="0" w:line="99" w:lineRule="exact"/>
        <w:rPr>
          <w:sz w:val="20"/>
          <w:szCs w:val="20"/>
          <w:color w:val="auto"/>
        </w:rPr>
      </w:pPr>
    </w:p>
    <w:p>
      <w:pPr>
        <w:jc w:val="both"/>
        <w:spacing w:after="0" w:line="272" w:lineRule="auto"/>
        <w:rPr>
          <w:sz w:val="20"/>
          <w:szCs w:val="20"/>
          <w:color w:val="auto"/>
        </w:rPr>
      </w:pPr>
      <w:r>
        <w:rPr>
          <w:rFonts w:ascii="Arial" w:cs="Arial" w:eastAsia="Arial" w:hAnsi="Arial"/>
          <w:sz w:val="14"/>
          <w:szCs w:val="14"/>
          <w:color w:val="auto"/>
        </w:rPr>
        <w:t>On April 24, 2019, Nelnet Servicing and Great Lakes received correspondence from the Department's Office of Federal Student Aid ("FSA") indicating the FSA's intent to exercise a six-month extension of the current servicing contracts, from June 16, 2019 to December 15, 2019. The correspondence served only as a non-binding notice of intent, and any formal extension of the contracts will occur only upon a signed modification to the contracts.</w:t>
      </w:r>
    </w:p>
    <w:p>
      <w:pPr>
        <w:spacing w:after="0" w:line="99" w:lineRule="exact"/>
        <w:rPr>
          <w:sz w:val="20"/>
          <w:szCs w:val="20"/>
          <w:color w:val="auto"/>
        </w:rPr>
      </w:pPr>
    </w:p>
    <w:p>
      <w:pPr>
        <w:spacing w:after="0"/>
        <w:rPr>
          <w:sz w:val="20"/>
          <w:szCs w:val="20"/>
          <w:color w:val="auto"/>
        </w:rPr>
      </w:pPr>
      <w:r>
        <w:rPr>
          <w:rFonts w:ascii="Arial" w:cs="Arial" w:eastAsia="Arial" w:hAnsi="Arial"/>
          <w:sz w:val="14"/>
          <w:szCs w:val="14"/>
          <w:color w:val="auto"/>
        </w:rPr>
        <w:t>In addition, Nelnet Servicing's current Authority to Operate as a loan servicer for the Department expires on May 31, 2019, and is currently under review for renewal.</w:t>
      </w:r>
    </w:p>
    <w:p>
      <w:pPr>
        <w:spacing w:after="0" w:line="141" w:lineRule="exact"/>
        <w:rPr>
          <w:sz w:val="20"/>
          <w:szCs w:val="20"/>
          <w:color w:val="auto"/>
        </w:rPr>
      </w:pPr>
    </w:p>
    <w:p>
      <w:pPr>
        <w:spacing w:after="0"/>
        <w:rPr>
          <w:sz w:val="20"/>
          <w:szCs w:val="20"/>
          <w:color w:val="auto"/>
        </w:rPr>
      </w:pPr>
      <w:r>
        <w:rPr>
          <w:rFonts w:ascii="Arial" w:cs="Arial" w:eastAsia="Arial" w:hAnsi="Arial"/>
          <w:sz w:val="13"/>
          <w:szCs w:val="13"/>
          <w:color w:val="auto"/>
        </w:rPr>
        <w:t>FSA is conducting a contract procurement process entitled Next Generation Financial Services Environment (“NextGen”) for a new framework for the servicing of all student loans owned by the</w:t>
      </w:r>
    </w:p>
    <w:p>
      <w:pPr>
        <w:spacing w:after="0" w:line="33" w:lineRule="exact"/>
        <w:rPr>
          <w:sz w:val="20"/>
          <w:szCs w:val="20"/>
          <w:color w:val="auto"/>
        </w:rPr>
      </w:pPr>
    </w:p>
    <w:p>
      <w:pPr>
        <w:spacing w:after="0"/>
        <w:rPr>
          <w:sz w:val="20"/>
          <w:szCs w:val="20"/>
          <w:color w:val="auto"/>
        </w:rPr>
      </w:pPr>
      <w:r>
        <w:rPr>
          <w:rFonts w:ascii="Arial" w:cs="Arial" w:eastAsia="Arial" w:hAnsi="Arial"/>
          <w:sz w:val="14"/>
          <w:szCs w:val="14"/>
          <w:color w:val="auto"/>
        </w:rPr>
        <w:t>Department. On January 15, 2019, FSA issued solicitations for three NextGen components:</w:t>
      </w:r>
    </w:p>
    <w:p>
      <w:pPr>
        <w:spacing w:after="0" w:line="131" w:lineRule="exact"/>
        <w:rPr>
          <w:sz w:val="20"/>
          <w:szCs w:val="20"/>
          <w:color w:val="auto"/>
        </w:rPr>
      </w:pPr>
    </w:p>
    <w:p>
      <w:pPr>
        <w:ind w:left="520" w:hanging="255"/>
        <w:spacing w:after="0"/>
        <w:tabs>
          <w:tab w:leader="none" w:pos="520" w:val="left"/>
        </w:tabs>
        <w:numPr>
          <w:ilvl w:val="0"/>
          <w:numId w:val="5"/>
        </w:numPr>
        <w:rPr>
          <w:rFonts w:ascii="Arial" w:cs="Arial" w:eastAsia="Arial" w:hAnsi="Arial"/>
          <w:sz w:val="14"/>
          <w:szCs w:val="14"/>
          <w:color w:val="auto"/>
        </w:rPr>
      </w:pPr>
      <w:r>
        <w:rPr>
          <w:rFonts w:ascii="Arial" w:cs="Arial" w:eastAsia="Arial" w:hAnsi="Arial"/>
          <w:sz w:val="14"/>
          <w:szCs w:val="14"/>
          <w:color w:val="auto"/>
        </w:rPr>
        <w:t>NextGen Enhanced Processing Solution ("EPS")</w:t>
      </w:r>
    </w:p>
    <w:p>
      <w:pPr>
        <w:spacing w:after="0" w:line="21" w:lineRule="exact"/>
        <w:rPr>
          <w:rFonts w:ascii="Arial" w:cs="Arial" w:eastAsia="Arial" w:hAnsi="Arial"/>
          <w:sz w:val="14"/>
          <w:szCs w:val="14"/>
          <w:color w:val="auto"/>
        </w:rPr>
      </w:pPr>
    </w:p>
    <w:p>
      <w:pPr>
        <w:ind w:left="520" w:hanging="255"/>
        <w:spacing w:after="0"/>
        <w:tabs>
          <w:tab w:leader="none" w:pos="520" w:val="left"/>
        </w:tabs>
        <w:numPr>
          <w:ilvl w:val="0"/>
          <w:numId w:val="5"/>
        </w:numPr>
        <w:rPr>
          <w:rFonts w:ascii="Arial" w:cs="Arial" w:eastAsia="Arial" w:hAnsi="Arial"/>
          <w:sz w:val="14"/>
          <w:szCs w:val="14"/>
          <w:color w:val="auto"/>
        </w:rPr>
      </w:pPr>
      <w:r>
        <w:rPr>
          <w:rFonts w:ascii="Arial" w:cs="Arial" w:eastAsia="Arial" w:hAnsi="Arial"/>
          <w:sz w:val="14"/>
          <w:szCs w:val="14"/>
          <w:color w:val="auto"/>
        </w:rPr>
        <w:t>NextGen Business Process Operations ("BPO")</w:t>
      </w:r>
    </w:p>
    <w:p>
      <w:pPr>
        <w:spacing w:after="0" w:line="11" w:lineRule="exact"/>
        <w:rPr>
          <w:rFonts w:ascii="Arial" w:cs="Arial" w:eastAsia="Arial" w:hAnsi="Arial"/>
          <w:sz w:val="14"/>
          <w:szCs w:val="14"/>
          <w:color w:val="auto"/>
        </w:rPr>
      </w:pPr>
    </w:p>
    <w:p>
      <w:pPr>
        <w:ind w:left="520" w:hanging="255"/>
        <w:spacing w:after="0"/>
        <w:tabs>
          <w:tab w:leader="none" w:pos="520" w:val="left"/>
        </w:tabs>
        <w:numPr>
          <w:ilvl w:val="0"/>
          <w:numId w:val="5"/>
        </w:numPr>
        <w:rPr>
          <w:rFonts w:ascii="Arial" w:cs="Arial" w:eastAsia="Arial" w:hAnsi="Arial"/>
          <w:sz w:val="14"/>
          <w:szCs w:val="14"/>
          <w:color w:val="auto"/>
        </w:rPr>
      </w:pPr>
      <w:r>
        <w:rPr>
          <w:rFonts w:ascii="Arial" w:cs="Arial" w:eastAsia="Arial" w:hAnsi="Arial"/>
          <w:sz w:val="14"/>
          <w:szCs w:val="14"/>
          <w:color w:val="auto"/>
        </w:rPr>
        <w:t>NextGen Optimal Processing Solution ("OPS")</w:t>
      </w:r>
    </w:p>
    <w:p>
      <w:pPr>
        <w:spacing w:after="0" w:line="131" w:lineRule="exact"/>
        <w:rPr>
          <w:sz w:val="20"/>
          <w:szCs w:val="20"/>
          <w:color w:val="auto"/>
        </w:rPr>
      </w:pPr>
    </w:p>
    <w:p>
      <w:pPr>
        <w:spacing w:after="0" w:line="288" w:lineRule="auto"/>
        <w:rPr>
          <w:sz w:val="20"/>
          <w:szCs w:val="20"/>
          <w:color w:val="auto"/>
        </w:rPr>
      </w:pPr>
      <w:r>
        <w:rPr>
          <w:rFonts w:ascii="Arial" w:cs="Arial" w:eastAsia="Arial" w:hAnsi="Arial"/>
          <w:sz w:val="14"/>
          <w:szCs w:val="14"/>
          <w:color w:val="auto"/>
        </w:rPr>
        <w:t>On April 1, 2019, the Company responded to the EPS component. In addition, the Company is part of teams that currently intend to respond to the BPO and OPS components. The Company cannot predict the timing, nature, or outcome of these solicitations.</w:t>
      </w: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23</w:t>
      </w:r>
    </w:p>
    <w:p>
      <w:pPr>
        <w:sectPr>
          <w:pgSz w:w="11900" w:h="16838" w:orient="portrait"/>
          <w:cols w:equalWidth="0" w:num="1">
            <w:col w:w="11460"/>
          </w:cols>
          <w:pgMar w:left="220" w:top="1002" w:right="219" w:bottom="1440" w:gutter="0" w:footer="0" w:header="0"/>
        </w:sectPr>
      </w:pPr>
    </w:p>
    <w:bookmarkStart w:id="24" w:name="page25"/>
    <w:bookmarkEnd w:id="24"/>
    <w:p>
      <w:pPr>
        <w:spacing w:after="0"/>
        <w:rPr>
          <w:sz w:val="20"/>
          <w:szCs w:val="20"/>
          <w:color w:val="auto"/>
        </w:rPr>
      </w:pPr>
      <w:r>
        <w:rPr>
          <w:rFonts w:ascii="Arial" w:cs="Arial" w:eastAsia="Arial" w:hAnsi="Arial"/>
          <w:sz w:val="14"/>
          <w:szCs w:val="14"/>
          <w:b w:val="1"/>
          <w:bCs w:val="1"/>
          <w:color w:val="auto"/>
        </w:rPr>
        <w:t>13. Fair Value</w:t>
      </w:r>
    </w:p>
    <w:p>
      <w:pPr>
        <w:spacing w:after="0" w:line="145" w:lineRule="exact"/>
        <w:rPr>
          <w:sz w:val="20"/>
          <w:szCs w:val="20"/>
          <w:color w:val="auto"/>
        </w:rPr>
      </w:pPr>
    </w:p>
    <w:p>
      <w:pPr>
        <w:spacing w:after="0"/>
        <w:rPr>
          <w:sz w:val="20"/>
          <w:szCs w:val="20"/>
          <w:color w:val="auto"/>
        </w:rPr>
      </w:pPr>
      <w:r>
        <w:rPr>
          <w:rFonts w:ascii="Arial" w:cs="Arial" w:eastAsia="Arial" w:hAnsi="Arial"/>
          <w:sz w:val="14"/>
          <w:szCs w:val="14"/>
          <w:color w:val="auto"/>
        </w:rPr>
        <w:t>The following tables present the Company’s financial assets and liabilities that are measured at fair value on a recurring basis.</w:t>
      </w:r>
    </w:p>
    <w:p>
      <w:pPr>
        <w:spacing w:after="0" w:line="98" w:lineRule="exact"/>
        <w:rPr>
          <w:sz w:val="20"/>
          <w:szCs w:val="20"/>
          <w:color w:val="auto"/>
        </w:rPr>
      </w:pPr>
    </w:p>
    <w:tbl>
      <w:tblPr>
        <w:tblLayout w:type="fixed"/>
        <w:tblInd w:w="600" w:type="dxa"/>
        <w:tblCellMar>
          <w:top w:w="0" w:type="dxa"/>
          <w:left w:w="0" w:type="dxa"/>
          <w:bottom w:w="0" w:type="dxa"/>
          <w:right w:w="0" w:type="dxa"/>
        </w:tblCellMar>
      </w:tblPr>
      <w:tr>
        <w:trPr>
          <w:trHeight w:val="167"/>
        </w:trPr>
        <w:tc>
          <w:tcPr>
            <w:tcW w:w="37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340" w:type="dxa"/>
            <w:vAlign w:val="bottom"/>
            <w:gridSpan w:val="4"/>
          </w:tcPr>
          <w:p>
            <w:pPr>
              <w:spacing w:after="0"/>
              <w:rPr>
                <w:sz w:val="20"/>
                <w:szCs w:val="20"/>
                <w:color w:val="auto"/>
              </w:rPr>
            </w:pPr>
            <w:r>
              <w:rPr>
                <w:rFonts w:ascii="Arial" w:cs="Arial" w:eastAsia="Arial" w:hAnsi="Arial"/>
                <w:sz w:val="13"/>
                <w:szCs w:val="13"/>
                <w:b w:val="1"/>
                <w:bCs w:val="1"/>
                <w:color w:val="auto"/>
              </w:rPr>
              <w:t>As of March 31, 2019</w:t>
            </w:r>
          </w:p>
        </w:tc>
        <w:tc>
          <w:tcPr>
            <w:tcW w:w="8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500" w:type="dxa"/>
            <w:vAlign w:val="bottom"/>
            <w:gridSpan w:val="5"/>
          </w:tcPr>
          <w:p>
            <w:pPr>
              <w:ind w:left="20"/>
              <w:spacing w:after="0"/>
              <w:rPr>
                <w:sz w:val="20"/>
                <w:szCs w:val="20"/>
                <w:color w:val="auto"/>
              </w:rPr>
            </w:pPr>
            <w:r>
              <w:rPr>
                <w:rFonts w:ascii="Arial" w:cs="Arial" w:eastAsia="Arial" w:hAnsi="Arial"/>
                <w:sz w:val="13"/>
                <w:szCs w:val="13"/>
                <w:b w:val="1"/>
                <w:bCs w:val="1"/>
                <w:color w:val="auto"/>
                <w:w w:val="95"/>
              </w:rPr>
              <w:t>As of December 31, 2018</w:t>
            </w:r>
          </w:p>
        </w:tc>
        <w:tc>
          <w:tcPr>
            <w:tcW w:w="8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7"/>
        </w:trPr>
        <w:tc>
          <w:tcPr>
            <w:tcW w:w="37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gridSpan w:val="3"/>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gridSpan w:val="3"/>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69"/>
        </w:trPr>
        <w:tc>
          <w:tcPr>
            <w:tcW w:w="37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0" w:type="dxa"/>
            <w:vAlign w:val="bottom"/>
          </w:tcPr>
          <w:p>
            <w:pPr>
              <w:jc w:val="right"/>
              <w:ind w:right="235"/>
              <w:spacing w:after="0"/>
              <w:rPr>
                <w:sz w:val="20"/>
                <w:szCs w:val="20"/>
                <w:color w:val="auto"/>
              </w:rPr>
            </w:pPr>
            <w:r>
              <w:rPr>
                <w:rFonts w:ascii="Arial" w:cs="Arial" w:eastAsia="Arial" w:hAnsi="Arial"/>
                <w:sz w:val="13"/>
                <w:szCs w:val="13"/>
                <w:b w:val="1"/>
                <w:bCs w:val="1"/>
                <w:color w:val="auto"/>
              </w:rPr>
              <w:t>Level 1</w:t>
            </w:r>
          </w:p>
        </w:tc>
        <w:tc>
          <w:tcPr>
            <w:tcW w:w="100" w:type="dxa"/>
            <w:vAlign w:val="bottom"/>
          </w:tcPr>
          <w:p>
            <w:pPr>
              <w:spacing w:after="0"/>
              <w:rPr>
                <w:sz w:val="14"/>
                <w:szCs w:val="14"/>
                <w:color w:val="auto"/>
              </w:rPr>
            </w:pPr>
          </w:p>
        </w:tc>
        <w:tc>
          <w:tcPr>
            <w:tcW w:w="1240" w:type="dxa"/>
            <w:vAlign w:val="bottom"/>
            <w:gridSpan w:val="3"/>
          </w:tcPr>
          <w:p>
            <w:pPr>
              <w:ind w:left="280"/>
              <w:spacing w:after="0"/>
              <w:rPr>
                <w:sz w:val="20"/>
                <w:szCs w:val="20"/>
                <w:color w:val="auto"/>
              </w:rPr>
            </w:pPr>
            <w:r>
              <w:rPr>
                <w:rFonts w:ascii="Arial" w:cs="Arial" w:eastAsia="Arial" w:hAnsi="Arial"/>
                <w:sz w:val="13"/>
                <w:szCs w:val="13"/>
                <w:b w:val="1"/>
                <w:bCs w:val="1"/>
                <w:color w:val="auto"/>
              </w:rPr>
              <w:t>Level 2</w:t>
            </w:r>
          </w:p>
        </w:tc>
        <w:tc>
          <w:tcPr>
            <w:tcW w:w="1020" w:type="dxa"/>
            <w:vAlign w:val="bottom"/>
            <w:gridSpan w:val="2"/>
          </w:tcPr>
          <w:p>
            <w:pPr>
              <w:ind w:left="180"/>
              <w:spacing w:after="0"/>
              <w:rPr>
                <w:sz w:val="20"/>
                <w:szCs w:val="20"/>
                <w:color w:val="auto"/>
              </w:rPr>
            </w:pPr>
            <w:r>
              <w:rPr>
                <w:rFonts w:ascii="Arial" w:cs="Arial" w:eastAsia="Arial" w:hAnsi="Arial"/>
                <w:sz w:val="13"/>
                <w:szCs w:val="13"/>
                <w:b w:val="1"/>
                <w:bCs w:val="1"/>
                <w:color w:val="auto"/>
              </w:rPr>
              <w:t>Total</w:t>
            </w:r>
          </w:p>
        </w:tc>
        <w:tc>
          <w:tcPr>
            <w:tcW w:w="920" w:type="dxa"/>
            <w:vAlign w:val="bottom"/>
          </w:tcPr>
          <w:p>
            <w:pPr>
              <w:jc w:val="right"/>
              <w:ind w:right="175"/>
              <w:spacing w:after="0"/>
              <w:rPr>
                <w:sz w:val="20"/>
                <w:szCs w:val="20"/>
                <w:color w:val="auto"/>
              </w:rPr>
            </w:pPr>
            <w:r>
              <w:rPr>
                <w:rFonts w:ascii="Arial" w:cs="Arial" w:eastAsia="Arial" w:hAnsi="Arial"/>
                <w:sz w:val="13"/>
                <w:szCs w:val="13"/>
                <w:b w:val="1"/>
                <w:bCs w:val="1"/>
                <w:color w:val="auto"/>
              </w:rPr>
              <w:t>Level 1</w:t>
            </w: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40" w:type="dxa"/>
            <w:vAlign w:val="bottom"/>
            <w:gridSpan w:val="3"/>
          </w:tcPr>
          <w:p>
            <w:pPr>
              <w:ind w:left="300"/>
              <w:spacing w:after="0"/>
              <w:rPr>
                <w:sz w:val="20"/>
                <w:szCs w:val="20"/>
                <w:color w:val="auto"/>
              </w:rPr>
            </w:pPr>
            <w:r>
              <w:rPr>
                <w:rFonts w:ascii="Arial" w:cs="Arial" w:eastAsia="Arial" w:hAnsi="Arial"/>
                <w:sz w:val="13"/>
                <w:szCs w:val="13"/>
                <w:b w:val="1"/>
                <w:bCs w:val="1"/>
                <w:color w:val="auto"/>
              </w:rPr>
              <w:t>Level 2</w:t>
            </w:r>
          </w:p>
        </w:tc>
        <w:tc>
          <w:tcPr>
            <w:tcW w:w="800" w:type="dxa"/>
            <w:vAlign w:val="bottom"/>
          </w:tcPr>
          <w:p>
            <w:pPr>
              <w:jc w:val="right"/>
              <w:ind w:right="315"/>
              <w:spacing w:after="0"/>
              <w:rPr>
                <w:sz w:val="20"/>
                <w:szCs w:val="20"/>
                <w:color w:val="auto"/>
              </w:rPr>
            </w:pPr>
            <w:r>
              <w:rPr>
                <w:rFonts w:ascii="Arial" w:cs="Arial" w:eastAsia="Arial" w:hAnsi="Arial"/>
                <w:sz w:val="13"/>
                <w:szCs w:val="13"/>
                <w:b w:val="1"/>
                <w:bCs w:val="1"/>
                <w:color w:val="auto"/>
              </w:rPr>
              <w:t>Total</w:t>
            </w:r>
          </w:p>
        </w:tc>
        <w:tc>
          <w:tcPr>
            <w:tcW w:w="0" w:type="dxa"/>
            <w:vAlign w:val="bottom"/>
          </w:tcPr>
          <w:p>
            <w:pPr>
              <w:spacing w:after="0"/>
              <w:rPr>
                <w:sz w:val="1"/>
                <w:szCs w:val="1"/>
                <w:color w:val="auto"/>
              </w:rPr>
            </w:pPr>
          </w:p>
        </w:tc>
      </w:tr>
      <w:tr>
        <w:trPr>
          <w:trHeight w:val="27"/>
        </w:trPr>
        <w:tc>
          <w:tcPr>
            <w:tcW w:w="37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76"/>
        </w:trPr>
        <w:tc>
          <w:tcPr>
            <w:tcW w:w="3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Assets:</w:t>
            </w:r>
          </w:p>
        </w:tc>
        <w:tc>
          <w:tcPr>
            <w:tcW w:w="180" w:type="dxa"/>
            <w:vAlign w:val="bottom"/>
            <w:tcBorders>
              <w:bottom w:val="single" w:sz="8" w:color="CCEEFF"/>
            </w:tcBorders>
            <w:shd w:val="clear" w:color="auto" w:fill="CCEEFF"/>
          </w:tcPr>
          <w:p>
            <w:pPr>
              <w:spacing w:after="0"/>
              <w:rPr>
                <w:sz w:val="15"/>
                <w:szCs w:val="15"/>
                <w:color w:val="auto"/>
              </w:rPr>
            </w:pPr>
          </w:p>
        </w:tc>
        <w:tc>
          <w:tcPr>
            <w:tcW w:w="80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96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80" w:type="dxa"/>
            <w:vAlign w:val="bottom"/>
            <w:tcBorders>
              <w:bottom w:val="single" w:sz="8" w:color="CCEEFF"/>
            </w:tcBorders>
            <w:shd w:val="clear" w:color="auto" w:fill="CCEEFF"/>
          </w:tcPr>
          <w:p>
            <w:pPr>
              <w:spacing w:after="0"/>
              <w:rPr>
                <w:sz w:val="15"/>
                <w:szCs w:val="15"/>
                <w:color w:val="auto"/>
              </w:rPr>
            </w:pPr>
          </w:p>
        </w:tc>
        <w:tc>
          <w:tcPr>
            <w:tcW w:w="820" w:type="dxa"/>
            <w:vAlign w:val="bottom"/>
            <w:tcBorders>
              <w:bottom w:val="single" w:sz="8" w:color="CCEEFF"/>
            </w:tcBorders>
            <w:shd w:val="clear" w:color="auto" w:fill="CCEEFF"/>
          </w:tcPr>
          <w:p>
            <w:pPr>
              <w:spacing w:after="0"/>
              <w:rPr>
                <w:sz w:val="15"/>
                <w:szCs w:val="15"/>
                <w:color w:val="auto"/>
              </w:rPr>
            </w:pPr>
          </w:p>
        </w:tc>
        <w:tc>
          <w:tcPr>
            <w:tcW w:w="200" w:type="dxa"/>
            <w:vAlign w:val="bottom"/>
            <w:tcBorders>
              <w:bottom w:val="single" w:sz="8" w:color="CCEEFF"/>
            </w:tcBorders>
            <w:shd w:val="clear" w:color="auto" w:fill="CCEEFF"/>
          </w:tcPr>
          <w:p>
            <w:pPr>
              <w:spacing w:after="0"/>
              <w:rPr>
                <w:sz w:val="15"/>
                <w:szCs w:val="15"/>
                <w:color w:val="auto"/>
              </w:rPr>
            </w:pPr>
          </w:p>
        </w:tc>
        <w:tc>
          <w:tcPr>
            <w:tcW w:w="920" w:type="dxa"/>
            <w:vAlign w:val="bottom"/>
            <w:tcBorders>
              <w:bottom w:val="single" w:sz="8" w:color="CCEEFF"/>
            </w:tcBorders>
            <w:shd w:val="clear" w:color="auto" w:fill="CCEEFF"/>
          </w:tcPr>
          <w:p>
            <w:pPr>
              <w:spacing w:after="0"/>
              <w:rPr>
                <w:sz w:val="15"/>
                <w:szCs w:val="15"/>
                <w:color w:val="auto"/>
              </w:rPr>
            </w:pPr>
          </w:p>
        </w:tc>
        <w:tc>
          <w:tcPr>
            <w:tcW w:w="6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00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240" w:type="dxa"/>
            <w:vAlign w:val="bottom"/>
            <w:tcBorders>
              <w:bottom w:val="single" w:sz="8" w:color="CCEEFF"/>
            </w:tcBorders>
            <w:shd w:val="clear" w:color="auto" w:fill="CCEEFF"/>
          </w:tcPr>
          <w:p>
            <w:pPr>
              <w:spacing w:after="0"/>
              <w:rPr>
                <w:sz w:val="15"/>
                <w:szCs w:val="15"/>
                <w:color w:val="auto"/>
              </w:rPr>
            </w:pPr>
          </w:p>
        </w:tc>
        <w:tc>
          <w:tcPr>
            <w:tcW w:w="800" w:type="dxa"/>
            <w:vAlign w:val="bottom"/>
            <w:tcBorders>
              <w:bottom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0"/>
        </w:trPr>
        <w:tc>
          <w:tcPr>
            <w:tcW w:w="3700" w:type="dxa"/>
            <w:vAlign w:val="bottom"/>
          </w:tcPr>
          <w:p>
            <w:pPr>
              <w:ind w:left="100"/>
              <w:spacing w:after="0"/>
              <w:rPr>
                <w:sz w:val="20"/>
                <w:szCs w:val="20"/>
                <w:color w:val="auto"/>
              </w:rPr>
            </w:pPr>
            <w:r>
              <w:rPr>
                <w:rFonts w:ascii="Arial" w:cs="Arial" w:eastAsia="Arial" w:hAnsi="Arial"/>
                <w:sz w:val="13"/>
                <w:szCs w:val="13"/>
                <w:color w:val="auto"/>
              </w:rPr>
              <w:t>Investments:</w:t>
            </w:r>
          </w:p>
        </w:tc>
        <w:tc>
          <w:tcPr>
            <w:tcW w:w="1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5"/>
        </w:trPr>
        <w:tc>
          <w:tcPr>
            <w:tcW w:w="37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33"/>
        </w:trPr>
        <w:tc>
          <w:tcPr>
            <w:tcW w:w="3700" w:type="dxa"/>
            <w:vAlign w:val="bottom"/>
            <w:shd w:val="clear" w:color="auto" w:fill="CCEEFF"/>
          </w:tcPr>
          <w:p>
            <w:pPr>
              <w:ind w:left="200"/>
              <w:spacing w:after="0" w:line="134" w:lineRule="exact"/>
              <w:rPr>
                <w:sz w:val="20"/>
                <w:szCs w:val="20"/>
                <w:color w:val="auto"/>
              </w:rPr>
            </w:pPr>
            <w:r>
              <w:rPr>
                <w:rFonts w:ascii="Arial" w:cs="Arial" w:eastAsia="Arial" w:hAnsi="Arial"/>
                <w:sz w:val="13"/>
                <w:szCs w:val="13"/>
                <w:color w:val="auto"/>
              </w:rPr>
              <w:t>Student loan and other asset-backed</w:t>
            </w:r>
          </w:p>
        </w:tc>
        <w:tc>
          <w:tcPr>
            <w:tcW w:w="180" w:type="dxa"/>
            <w:vAlign w:val="bottom"/>
            <w:vMerge w:val="restart"/>
            <w:shd w:val="clear" w:color="auto" w:fill="CCEEFF"/>
          </w:tcPr>
          <w:p>
            <w:pPr>
              <w:jc w:val="right"/>
              <w:ind w:right="35"/>
              <w:spacing w:after="0"/>
              <w:rPr>
                <w:sz w:val="20"/>
                <w:szCs w:val="20"/>
                <w:color w:val="auto"/>
              </w:rPr>
            </w:pPr>
            <w:r>
              <w:rPr>
                <w:rFonts w:ascii="Arial" w:cs="Arial" w:eastAsia="Arial" w:hAnsi="Arial"/>
                <w:sz w:val="13"/>
                <w:szCs w:val="13"/>
                <w:color w:val="auto"/>
                <w:w w:val="82"/>
              </w:rPr>
              <w:t>$</w:t>
            </w:r>
          </w:p>
        </w:tc>
        <w:tc>
          <w:tcPr>
            <w:tcW w:w="800" w:type="dxa"/>
            <w:vAlign w:val="bottom"/>
            <w:vMerge w:val="restart"/>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060" w:type="dxa"/>
            <w:vAlign w:val="bottom"/>
            <w:gridSpan w:val="2"/>
            <w:vMerge w:val="restart"/>
            <w:shd w:val="clear" w:color="auto" w:fill="CCEEFF"/>
          </w:tcPr>
          <w:p>
            <w:pPr>
              <w:jc w:val="right"/>
              <w:spacing w:after="0"/>
              <w:rPr>
                <w:sz w:val="20"/>
                <w:szCs w:val="20"/>
                <w:color w:val="auto"/>
              </w:rPr>
            </w:pPr>
            <w:r>
              <w:rPr>
                <w:rFonts w:ascii="Arial" w:cs="Arial" w:eastAsia="Arial" w:hAnsi="Arial"/>
                <w:sz w:val="13"/>
                <w:szCs w:val="13"/>
                <w:color w:val="auto"/>
              </w:rPr>
              <w:t>52,563</w:t>
            </w:r>
          </w:p>
        </w:tc>
        <w:tc>
          <w:tcPr>
            <w:tcW w:w="1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820" w:type="dxa"/>
            <w:vAlign w:val="bottom"/>
            <w:vMerge w:val="restart"/>
            <w:shd w:val="clear" w:color="auto" w:fill="CCEEFF"/>
          </w:tcPr>
          <w:p>
            <w:pPr>
              <w:jc w:val="right"/>
              <w:spacing w:after="0"/>
              <w:rPr>
                <w:sz w:val="20"/>
                <w:szCs w:val="20"/>
                <w:color w:val="auto"/>
              </w:rPr>
            </w:pPr>
            <w:r>
              <w:rPr>
                <w:rFonts w:ascii="Arial" w:cs="Arial" w:eastAsia="Arial" w:hAnsi="Arial"/>
                <w:sz w:val="13"/>
                <w:szCs w:val="13"/>
                <w:color w:val="auto"/>
              </w:rPr>
              <w:t>52,563</w:t>
            </w:r>
          </w:p>
        </w:tc>
        <w:tc>
          <w:tcPr>
            <w:tcW w:w="200" w:type="dxa"/>
            <w:vAlign w:val="bottom"/>
            <w:shd w:val="clear" w:color="auto" w:fill="CCEEFF"/>
          </w:tcPr>
          <w:p>
            <w:pPr>
              <w:spacing w:after="0"/>
              <w:rPr>
                <w:sz w:val="11"/>
                <w:szCs w:val="11"/>
                <w:color w:val="auto"/>
              </w:rPr>
            </w:pP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160" w:type="dxa"/>
            <w:vAlign w:val="bottom"/>
            <w:gridSpan w:val="3"/>
            <w:vMerge w:val="restart"/>
            <w:shd w:val="clear" w:color="auto" w:fill="CCEEFF"/>
          </w:tcPr>
          <w:p>
            <w:pPr>
              <w:jc w:val="right"/>
              <w:spacing w:after="0"/>
              <w:rPr>
                <w:sz w:val="20"/>
                <w:szCs w:val="20"/>
                <w:color w:val="auto"/>
              </w:rPr>
            </w:pPr>
            <w:r>
              <w:rPr>
                <w:rFonts w:ascii="Arial" w:cs="Arial" w:eastAsia="Arial" w:hAnsi="Arial"/>
                <w:sz w:val="13"/>
                <w:szCs w:val="13"/>
                <w:color w:val="auto"/>
              </w:rPr>
              <w:t>52,936</w:t>
            </w:r>
          </w:p>
        </w:tc>
        <w:tc>
          <w:tcPr>
            <w:tcW w:w="10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800" w:type="dxa"/>
            <w:vAlign w:val="bottom"/>
            <w:vMerge w:val="restart"/>
            <w:shd w:val="clear" w:color="auto" w:fill="CCEEFF"/>
          </w:tcPr>
          <w:p>
            <w:pPr>
              <w:jc w:val="right"/>
              <w:spacing w:after="0"/>
              <w:rPr>
                <w:sz w:val="20"/>
                <w:szCs w:val="20"/>
                <w:color w:val="auto"/>
              </w:rPr>
            </w:pPr>
            <w:r>
              <w:rPr>
                <w:rFonts w:ascii="Arial" w:cs="Arial" w:eastAsia="Arial" w:hAnsi="Arial"/>
                <w:sz w:val="13"/>
                <w:szCs w:val="13"/>
                <w:color w:val="auto"/>
              </w:rPr>
              <w:t>52,936</w:t>
            </w:r>
          </w:p>
        </w:tc>
        <w:tc>
          <w:tcPr>
            <w:tcW w:w="0" w:type="dxa"/>
            <w:vAlign w:val="bottom"/>
          </w:tcPr>
          <w:p>
            <w:pPr>
              <w:spacing w:after="0"/>
              <w:rPr>
                <w:sz w:val="1"/>
                <w:szCs w:val="1"/>
                <w:color w:val="auto"/>
              </w:rPr>
            </w:pPr>
          </w:p>
        </w:tc>
      </w:tr>
      <w:tr>
        <w:trPr>
          <w:trHeight w:val="168"/>
        </w:trPr>
        <w:tc>
          <w:tcPr>
            <w:tcW w:w="3700" w:type="dxa"/>
            <w:vAlign w:val="bottom"/>
            <w:shd w:val="clear" w:color="auto" w:fill="CCEEFF"/>
          </w:tcPr>
          <w:p>
            <w:pPr>
              <w:ind w:left="220"/>
              <w:spacing w:after="0"/>
              <w:rPr>
                <w:sz w:val="20"/>
                <w:szCs w:val="20"/>
                <w:color w:val="auto"/>
              </w:rPr>
            </w:pPr>
            <w:r>
              <w:rPr>
                <w:rFonts w:ascii="Arial" w:cs="Arial" w:eastAsia="Arial" w:hAnsi="Arial"/>
                <w:sz w:val="13"/>
                <w:szCs w:val="13"/>
                <w:color w:val="auto"/>
              </w:rPr>
              <w:t>securities - available-for-sale</w:t>
            </w:r>
          </w:p>
        </w:tc>
        <w:tc>
          <w:tcPr>
            <w:tcW w:w="180" w:type="dxa"/>
            <w:vAlign w:val="bottom"/>
            <w:vMerge w:val="continue"/>
            <w:shd w:val="clear" w:color="auto" w:fill="CCEEFF"/>
          </w:tcPr>
          <w:p>
            <w:pPr>
              <w:spacing w:after="0"/>
              <w:rPr>
                <w:sz w:val="14"/>
                <w:szCs w:val="14"/>
                <w:color w:val="auto"/>
              </w:rPr>
            </w:pPr>
          </w:p>
        </w:tc>
        <w:tc>
          <w:tcPr>
            <w:tcW w:w="800" w:type="dxa"/>
            <w:vAlign w:val="bottom"/>
            <w:vMerge w:val="continue"/>
            <w:shd w:val="clear" w:color="auto" w:fill="CCEEFF"/>
          </w:tcPr>
          <w:p>
            <w:pPr>
              <w:spacing w:after="0"/>
              <w:rPr>
                <w:sz w:val="14"/>
                <w:szCs w:val="14"/>
                <w:color w:val="auto"/>
              </w:rPr>
            </w:pPr>
          </w:p>
        </w:tc>
        <w:tc>
          <w:tcPr>
            <w:tcW w:w="1060" w:type="dxa"/>
            <w:vAlign w:val="bottom"/>
            <w:gridSpan w:val="2"/>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20" w:type="dxa"/>
            <w:vAlign w:val="bottom"/>
            <w:vMerge w:val="continue"/>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920" w:type="dxa"/>
            <w:vAlign w:val="bottom"/>
            <w:vMerge w:val="continue"/>
            <w:shd w:val="clear" w:color="auto" w:fill="CCEEFF"/>
          </w:tcPr>
          <w:p>
            <w:pPr>
              <w:spacing w:after="0"/>
              <w:rPr>
                <w:sz w:val="14"/>
                <w:szCs w:val="14"/>
                <w:color w:val="auto"/>
              </w:rPr>
            </w:pPr>
          </w:p>
        </w:tc>
        <w:tc>
          <w:tcPr>
            <w:tcW w:w="1160" w:type="dxa"/>
            <w:vAlign w:val="bottom"/>
            <w:gridSpan w:val="3"/>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800" w:type="dxa"/>
            <w:vAlign w:val="bottom"/>
            <w:vMerge w:val="continue"/>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78"/>
        </w:trPr>
        <w:tc>
          <w:tcPr>
            <w:tcW w:w="3700" w:type="dxa"/>
            <w:vAlign w:val="bottom"/>
          </w:tcPr>
          <w:p>
            <w:pPr>
              <w:ind w:left="180"/>
              <w:spacing w:after="0"/>
              <w:rPr>
                <w:sz w:val="20"/>
                <w:szCs w:val="20"/>
                <w:color w:val="auto"/>
              </w:rPr>
            </w:pPr>
            <w:r>
              <w:rPr>
                <w:rFonts w:ascii="Arial" w:cs="Arial" w:eastAsia="Arial" w:hAnsi="Arial"/>
                <w:sz w:val="13"/>
                <w:szCs w:val="13"/>
                <w:color w:val="auto"/>
              </w:rPr>
              <w:t>Equity securities</w:t>
            </w:r>
          </w:p>
        </w:tc>
        <w:tc>
          <w:tcPr>
            <w:tcW w:w="180" w:type="dxa"/>
            <w:vAlign w:val="bottom"/>
          </w:tcPr>
          <w:p>
            <w:pPr>
              <w:spacing w:after="0"/>
              <w:rPr>
                <w:sz w:val="15"/>
                <w:szCs w:val="15"/>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3,089</w:t>
            </w:r>
          </w:p>
        </w:tc>
        <w:tc>
          <w:tcPr>
            <w:tcW w:w="100" w:type="dxa"/>
            <w:vAlign w:val="bottom"/>
          </w:tcPr>
          <w:p>
            <w:pPr>
              <w:spacing w:after="0"/>
              <w:rPr>
                <w:sz w:val="15"/>
                <w:szCs w:val="15"/>
                <w:color w:val="auto"/>
              </w:rPr>
            </w:pPr>
          </w:p>
        </w:tc>
        <w:tc>
          <w:tcPr>
            <w:tcW w:w="1240" w:type="dxa"/>
            <w:vAlign w:val="bottom"/>
            <w:gridSpan w:val="3"/>
          </w:tcPr>
          <w:p>
            <w:pPr>
              <w:jc w:val="right"/>
              <w:ind w:right="320"/>
              <w:spacing w:after="0"/>
              <w:rPr>
                <w:sz w:val="20"/>
                <w:szCs w:val="20"/>
                <w:color w:val="auto"/>
              </w:rPr>
            </w:pPr>
            <w:r>
              <w:rPr>
                <w:rFonts w:ascii="Arial" w:cs="Arial" w:eastAsia="Arial" w:hAnsi="Arial"/>
                <w:sz w:val="13"/>
                <w:szCs w:val="13"/>
                <w:color w:val="auto"/>
              </w:rPr>
              <w:t>—</w:t>
            </w:r>
          </w:p>
        </w:tc>
        <w:tc>
          <w:tcPr>
            <w:tcW w:w="820" w:type="dxa"/>
            <w:vAlign w:val="bottom"/>
          </w:tcPr>
          <w:p>
            <w:pPr>
              <w:jc w:val="right"/>
              <w:spacing w:after="0"/>
              <w:rPr>
                <w:sz w:val="20"/>
                <w:szCs w:val="20"/>
                <w:color w:val="auto"/>
              </w:rPr>
            </w:pPr>
            <w:r>
              <w:rPr>
                <w:rFonts w:ascii="Arial" w:cs="Arial" w:eastAsia="Arial" w:hAnsi="Arial"/>
                <w:sz w:val="13"/>
                <w:szCs w:val="13"/>
                <w:color w:val="auto"/>
              </w:rPr>
              <w:t>3,089</w:t>
            </w:r>
          </w:p>
        </w:tc>
        <w:tc>
          <w:tcPr>
            <w:tcW w:w="20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3"/>
                <w:szCs w:val="13"/>
                <w:color w:val="auto"/>
              </w:rPr>
              <w:t>2,722</w:t>
            </w: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340" w:type="dxa"/>
            <w:vAlign w:val="bottom"/>
            <w:gridSpan w:val="3"/>
          </w:tcPr>
          <w:p>
            <w:pPr>
              <w:jc w:val="right"/>
              <w:ind w:right="400"/>
              <w:spacing w:after="0"/>
              <w:rPr>
                <w:sz w:val="20"/>
                <w:szCs w:val="20"/>
                <w:color w:val="auto"/>
              </w:rPr>
            </w:pPr>
            <w:r>
              <w:rPr>
                <w:rFonts w:ascii="Arial" w:cs="Arial" w:eastAsia="Arial" w:hAnsi="Arial"/>
                <w:sz w:val="13"/>
                <w:szCs w:val="13"/>
                <w:color w:val="auto"/>
              </w:rPr>
              <w:t>—</w:t>
            </w:r>
          </w:p>
        </w:tc>
        <w:tc>
          <w:tcPr>
            <w:tcW w:w="800" w:type="dxa"/>
            <w:vAlign w:val="bottom"/>
          </w:tcPr>
          <w:p>
            <w:pPr>
              <w:jc w:val="right"/>
              <w:spacing w:after="0"/>
              <w:rPr>
                <w:sz w:val="20"/>
                <w:szCs w:val="20"/>
                <w:color w:val="auto"/>
              </w:rPr>
            </w:pPr>
            <w:r>
              <w:rPr>
                <w:rFonts w:ascii="Arial" w:cs="Arial" w:eastAsia="Arial" w:hAnsi="Arial"/>
                <w:sz w:val="13"/>
                <w:szCs w:val="13"/>
                <w:color w:val="auto"/>
              </w:rPr>
              <w:t>2,722</w:t>
            </w:r>
          </w:p>
        </w:tc>
        <w:tc>
          <w:tcPr>
            <w:tcW w:w="0" w:type="dxa"/>
            <w:vAlign w:val="bottom"/>
          </w:tcPr>
          <w:p>
            <w:pPr>
              <w:spacing w:after="0"/>
              <w:rPr>
                <w:sz w:val="1"/>
                <w:szCs w:val="1"/>
                <w:color w:val="auto"/>
              </w:rPr>
            </w:pPr>
          </w:p>
        </w:tc>
      </w:tr>
      <w:tr>
        <w:trPr>
          <w:trHeight w:val="27"/>
        </w:trPr>
        <w:tc>
          <w:tcPr>
            <w:tcW w:w="37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7"/>
        </w:trPr>
        <w:tc>
          <w:tcPr>
            <w:tcW w:w="3700" w:type="dxa"/>
            <w:vAlign w:val="bottom"/>
            <w:shd w:val="clear" w:color="auto" w:fill="CCEEFF"/>
          </w:tcPr>
          <w:p>
            <w:pPr>
              <w:ind w:left="180"/>
              <w:spacing w:after="0"/>
              <w:rPr>
                <w:sz w:val="20"/>
                <w:szCs w:val="20"/>
                <w:color w:val="auto"/>
              </w:rPr>
            </w:pPr>
            <w:r>
              <w:rPr>
                <w:rFonts w:ascii="Arial" w:cs="Arial" w:eastAsia="Arial" w:hAnsi="Arial"/>
                <w:sz w:val="13"/>
                <w:szCs w:val="13"/>
                <w:color w:val="auto"/>
              </w:rPr>
              <w:t>Equity securities measured at net asset</w:t>
            </w:r>
          </w:p>
        </w:tc>
        <w:tc>
          <w:tcPr>
            <w:tcW w:w="180" w:type="dxa"/>
            <w:vAlign w:val="bottom"/>
            <w:shd w:val="clear" w:color="auto" w:fill="CCEEFF"/>
          </w:tcPr>
          <w:p>
            <w:pPr>
              <w:spacing w:after="0"/>
              <w:rPr>
                <w:sz w:val="15"/>
                <w:szCs w:val="15"/>
                <w:color w:val="auto"/>
              </w:rPr>
            </w:pPr>
          </w:p>
        </w:tc>
        <w:tc>
          <w:tcPr>
            <w:tcW w:w="8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2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92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8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0"/>
        </w:trPr>
        <w:tc>
          <w:tcPr>
            <w:tcW w:w="37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3"/>
                <w:szCs w:val="13"/>
                <w:color w:val="auto"/>
              </w:rPr>
              <w:t>value (a)</w:t>
            </w:r>
          </w:p>
        </w:tc>
        <w:tc>
          <w:tcPr>
            <w:tcW w:w="180" w:type="dxa"/>
            <w:vAlign w:val="bottom"/>
            <w:tcBorders>
              <w:bottom w:val="single" w:sz="8" w:color="CCEEFF"/>
            </w:tcBorders>
            <w:shd w:val="clear" w:color="auto" w:fill="CCEEFF"/>
          </w:tcPr>
          <w:p>
            <w:pPr>
              <w:spacing w:after="0"/>
              <w:rPr>
                <w:sz w:val="14"/>
                <w:szCs w:val="14"/>
                <w:color w:val="auto"/>
              </w:rPr>
            </w:pPr>
          </w:p>
        </w:tc>
        <w:tc>
          <w:tcPr>
            <w:tcW w:w="800" w:type="dxa"/>
            <w:vAlign w:val="bottom"/>
            <w:tcBorders>
              <w:bottom w:val="single" w:sz="8" w:color="CCEEFF"/>
            </w:tcBorders>
            <w:shd w:val="clear" w:color="auto" w:fill="CCEEFF"/>
          </w:tcPr>
          <w:p>
            <w:pPr>
              <w:spacing w:after="0"/>
              <w:rPr>
                <w:sz w:val="14"/>
                <w:szCs w:val="14"/>
                <w:color w:val="auto"/>
              </w:rPr>
            </w:pPr>
          </w:p>
        </w:tc>
        <w:tc>
          <w:tcPr>
            <w:tcW w:w="100" w:type="dxa"/>
            <w:vAlign w:val="bottom"/>
            <w:tcBorders>
              <w:bottom w:val="single" w:sz="8" w:color="CCEEFF"/>
            </w:tcBorders>
            <w:shd w:val="clear" w:color="auto" w:fill="CCEEFF"/>
          </w:tcPr>
          <w:p>
            <w:pPr>
              <w:spacing w:after="0"/>
              <w:rPr>
                <w:sz w:val="14"/>
                <w:szCs w:val="14"/>
                <w:color w:val="auto"/>
              </w:rPr>
            </w:pPr>
          </w:p>
        </w:tc>
        <w:tc>
          <w:tcPr>
            <w:tcW w:w="960" w:type="dxa"/>
            <w:vAlign w:val="bottom"/>
            <w:tcBorders>
              <w:bottom w:val="single" w:sz="8" w:color="CCEEFF"/>
            </w:tcBorders>
            <w:shd w:val="clear" w:color="auto" w:fill="CCEEFF"/>
          </w:tcPr>
          <w:p>
            <w:pPr>
              <w:spacing w:after="0"/>
              <w:rPr>
                <w:sz w:val="14"/>
                <w:szCs w:val="14"/>
                <w:color w:val="auto"/>
              </w:rPr>
            </w:pPr>
          </w:p>
        </w:tc>
        <w:tc>
          <w:tcPr>
            <w:tcW w:w="100" w:type="dxa"/>
            <w:vAlign w:val="bottom"/>
            <w:tcBorders>
              <w:bottom w:val="single" w:sz="8" w:color="CCEEFF"/>
            </w:tcBorders>
            <w:shd w:val="clear" w:color="auto" w:fill="CCEEFF"/>
          </w:tcPr>
          <w:p>
            <w:pPr>
              <w:spacing w:after="0"/>
              <w:rPr>
                <w:sz w:val="14"/>
                <w:szCs w:val="14"/>
                <w:color w:val="auto"/>
              </w:rPr>
            </w:pPr>
          </w:p>
        </w:tc>
        <w:tc>
          <w:tcPr>
            <w:tcW w:w="180" w:type="dxa"/>
            <w:vAlign w:val="bottom"/>
            <w:tcBorders>
              <w:bottom w:val="single" w:sz="8" w:color="CCEEFF"/>
            </w:tcBorders>
            <w:shd w:val="clear" w:color="auto" w:fill="CCEEFF"/>
          </w:tcPr>
          <w:p>
            <w:pPr>
              <w:spacing w:after="0"/>
              <w:rPr>
                <w:sz w:val="14"/>
                <w:szCs w:val="14"/>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15,281</w:t>
            </w:r>
          </w:p>
        </w:tc>
        <w:tc>
          <w:tcPr>
            <w:tcW w:w="200" w:type="dxa"/>
            <w:vAlign w:val="bottom"/>
            <w:tcBorders>
              <w:bottom w:val="single" w:sz="8" w:color="CCEEFF"/>
            </w:tcBorders>
            <w:shd w:val="clear" w:color="auto" w:fill="CCEEFF"/>
          </w:tcPr>
          <w:p>
            <w:pPr>
              <w:spacing w:after="0"/>
              <w:rPr>
                <w:sz w:val="14"/>
                <w:szCs w:val="14"/>
                <w:color w:val="auto"/>
              </w:rPr>
            </w:pPr>
          </w:p>
        </w:tc>
        <w:tc>
          <w:tcPr>
            <w:tcW w:w="920" w:type="dxa"/>
            <w:vAlign w:val="bottom"/>
            <w:tcBorders>
              <w:bottom w:val="single" w:sz="8" w:color="CCEEFF"/>
            </w:tcBorders>
            <w:shd w:val="clear" w:color="auto" w:fill="CCEEFF"/>
          </w:tcPr>
          <w:p>
            <w:pPr>
              <w:spacing w:after="0"/>
              <w:rPr>
                <w:sz w:val="14"/>
                <w:szCs w:val="14"/>
                <w:color w:val="auto"/>
              </w:rPr>
            </w:pPr>
          </w:p>
        </w:tc>
        <w:tc>
          <w:tcPr>
            <w:tcW w:w="60" w:type="dxa"/>
            <w:vAlign w:val="bottom"/>
            <w:tcBorders>
              <w:bottom w:val="single" w:sz="8" w:color="CCEEFF"/>
            </w:tcBorders>
            <w:shd w:val="clear" w:color="auto" w:fill="CCEEFF"/>
          </w:tcPr>
          <w:p>
            <w:pPr>
              <w:spacing w:after="0"/>
              <w:rPr>
                <w:sz w:val="14"/>
                <w:szCs w:val="14"/>
                <w:color w:val="auto"/>
              </w:rPr>
            </w:pPr>
          </w:p>
        </w:tc>
        <w:tc>
          <w:tcPr>
            <w:tcW w:w="100" w:type="dxa"/>
            <w:vAlign w:val="bottom"/>
            <w:tcBorders>
              <w:bottom w:val="single" w:sz="8" w:color="CCEEFF"/>
            </w:tcBorders>
            <w:shd w:val="clear" w:color="auto" w:fill="CCEEFF"/>
          </w:tcPr>
          <w:p>
            <w:pPr>
              <w:spacing w:after="0"/>
              <w:rPr>
                <w:sz w:val="14"/>
                <w:szCs w:val="14"/>
                <w:color w:val="auto"/>
              </w:rPr>
            </w:pPr>
          </w:p>
        </w:tc>
        <w:tc>
          <w:tcPr>
            <w:tcW w:w="1000" w:type="dxa"/>
            <w:vAlign w:val="bottom"/>
            <w:tcBorders>
              <w:bottom w:val="single" w:sz="8" w:color="CCEEFF"/>
            </w:tcBorders>
            <w:shd w:val="clear" w:color="auto" w:fill="CCEEFF"/>
          </w:tcPr>
          <w:p>
            <w:pPr>
              <w:spacing w:after="0"/>
              <w:rPr>
                <w:sz w:val="14"/>
                <w:szCs w:val="14"/>
                <w:color w:val="auto"/>
              </w:rPr>
            </w:pPr>
          </w:p>
        </w:tc>
        <w:tc>
          <w:tcPr>
            <w:tcW w:w="100" w:type="dxa"/>
            <w:vAlign w:val="bottom"/>
            <w:tcBorders>
              <w:bottom w:val="single" w:sz="8" w:color="CCEEFF"/>
            </w:tcBorders>
            <w:shd w:val="clear" w:color="auto" w:fill="CCEEFF"/>
          </w:tcPr>
          <w:p>
            <w:pPr>
              <w:spacing w:after="0"/>
              <w:rPr>
                <w:sz w:val="14"/>
                <w:szCs w:val="14"/>
                <w:color w:val="auto"/>
              </w:rPr>
            </w:pPr>
          </w:p>
        </w:tc>
        <w:tc>
          <w:tcPr>
            <w:tcW w:w="240" w:type="dxa"/>
            <w:vAlign w:val="bottom"/>
            <w:tcBorders>
              <w:bottom w:val="single" w:sz="8" w:color="CCEEFF"/>
            </w:tcBorders>
            <w:shd w:val="clear" w:color="auto" w:fill="CCEEFF"/>
          </w:tcPr>
          <w:p>
            <w:pPr>
              <w:spacing w:after="0"/>
              <w:rPr>
                <w:sz w:val="14"/>
                <w:szCs w:val="14"/>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14,925</w:t>
            </w:r>
          </w:p>
        </w:tc>
        <w:tc>
          <w:tcPr>
            <w:tcW w:w="0" w:type="dxa"/>
            <w:vAlign w:val="bottom"/>
          </w:tcPr>
          <w:p>
            <w:pPr>
              <w:spacing w:after="0"/>
              <w:rPr>
                <w:sz w:val="1"/>
                <w:szCs w:val="1"/>
                <w:color w:val="auto"/>
              </w:rPr>
            </w:pPr>
          </w:p>
        </w:tc>
      </w:tr>
      <w:tr>
        <w:trPr>
          <w:trHeight w:val="178"/>
        </w:trPr>
        <w:tc>
          <w:tcPr>
            <w:tcW w:w="3700" w:type="dxa"/>
            <w:vAlign w:val="bottom"/>
          </w:tcPr>
          <w:p>
            <w:pPr>
              <w:ind w:left="180"/>
              <w:spacing w:after="0"/>
              <w:rPr>
                <w:sz w:val="20"/>
                <w:szCs w:val="20"/>
                <w:color w:val="auto"/>
              </w:rPr>
            </w:pPr>
            <w:r>
              <w:rPr>
                <w:rFonts w:ascii="Arial" w:cs="Arial" w:eastAsia="Arial" w:hAnsi="Arial"/>
                <w:sz w:val="13"/>
                <w:szCs w:val="13"/>
                <w:color w:val="auto"/>
              </w:rPr>
              <w:t>Debt securities - available-for-sale</w:t>
            </w:r>
          </w:p>
        </w:tc>
        <w:tc>
          <w:tcPr>
            <w:tcW w:w="180" w:type="dxa"/>
            <w:vAlign w:val="bottom"/>
          </w:tcPr>
          <w:p>
            <w:pPr>
              <w:spacing w:after="0"/>
              <w:rPr>
                <w:sz w:val="15"/>
                <w:szCs w:val="15"/>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104</w:t>
            </w:r>
          </w:p>
        </w:tc>
        <w:tc>
          <w:tcPr>
            <w:tcW w:w="100" w:type="dxa"/>
            <w:vAlign w:val="bottom"/>
          </w:tcPr>
          <w:p>
            <w:pPr>
              <w:spacing w:after="0"/>
              <w:rPr>
                <w:sz w:val="15"/>
                <w:szCs w:val="15"/>
                <w:color w:val="auto"/>
              </w:rPr>
            </w:pPr>
          </w:p>
        </w:tc>
        <w:tc>
          <w:tcPr>
            <w:tcW w:w="1240" w:type="dxa"/>
            <w:vAlign w:val="bottom"/>
            <w:gridSpan w:val="3"/>
          </w:tcPr>
          <w:p>
            <w:pPr>
              <w:jc w:val="right"/>
              <w:ind w:right="320"/>
              <w:spacing w:after="0"/>
              <w:rPr>
                <w:sz w:val="20"/>
                <w:szCs w:val="20"/>
                <w:color w:val="auto"/>
              </w:rPr>
            </w:pPr>
            <w:r>
              <w:rPr>
                <w:rFonts w:ascii="Arial" w:cs="Arial" w:eastAsia="Arial" w:hAnsi="Arial"/>
                <w:sz w:val="13"/>
                <w:szCs w:val="13"/>
                <w:color w:val="auto"/>
              </w:rPr>
              <w:t>—</w:t>
            </w:r>
          </w:p>
        </w:tc>
        <w:tc>
          <w:tcPr>
            <w:tcW w:w="820" w:type="dxa"/>
            <w:vAlign w:val="bottom"/>
          </w:tcPr>
          <w:p>
            <w:pPr>
              <w:jc w:val="right"/>
              <w:spacing w:after="0"/>
              <w:rPr>
                <w:sz w:val="20"/>
                <w:szCs w:val="20"/>
                <w:color w:val="auto"/>
              </w:rPr>
            </w:pPr>
            <w:r>
              <w:rPr>
                <w:rFonts w:ascii="Arial" w:cs="Arial" w:eastAsia="Arial" w:hAnsi="Arial"/>
                <w:sz w:val="13"/>
                <w:szCs w:val="13"/>
                <w:color w:val="auto"/>
              </w:rPr>
              <w:t>104</w:t>
            </w:r>
          </w:p>
        </w:tc>
        <w:tc>
          <w:tcPr>
            <w:tcW w:w="20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3"/>
                <w:szCs w:val="13"/>
                <w:color w:val="auto"/>
              </w:rPr>
              <w:t>104</w:t>
            </w: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340" w:type="dxa"/>
            <w:vAlign w:val="bottom"/>
            <w:gridSpan w:val="3"/>
          </w:tcPr>
          <w:p>
            <w:pPr>
              <w:jc w:val="right"/>
              <w:ind w:right="400"/>
              <w:spacing w:after="0"/>
              <w:rPr>
                <w:sz w:val="20"/>
                <w:szCs w:val="20"/>
                <w:color w:val="auto"/>
              </w:rPr>
            </w:pPr>
            <w:r>
              <w:rPr>
                <w:rFonts w:ascii="Arial" w:cs="Arial" w:eastAsia="Arial" w:hAnsi="Arial"/>
                <w:sz w:val="13"/>
                <w:szCs w:val="13"/>
                <w:color w:val="auto"/>
              </w:rPr>
              <w:t>—</w:t>
            </w:r>
          </w:p>
        </w:tc>
        <w:tc>
          <w:tcPr>
            <w:tcW w:w="800" w:type="dxa"/>
            <w:vAlign w:val="bottom"/>
          </w:tcPr>
          <w:p>
            <w:pPr>
              <w:jc w:val="right"/>
              <w:spacing w:after="0"/>
              <w:rPr>
                <w:sz w:val="20"/>
                <w:szCs w:val="20"/>
                <w:color w:val="auto"/>
              </w:rPr>
            </w:pPr>
            <w:r>
              <w:rPr>
                <w:rFonts w:ascii="Arial" w:cs="Arial" w:eastAsia="Arial" w:hAnsi="Arial"/>
                <w:sz w:val="13"/>
                <w:szCs w:val="13"/>
                <w:color w:val="auto"/>
              </w:rPr>
              <w:t>104</w:t>
            </w:r>
          </w:p>
        </w:tc>
        <w:tc>
          <w:tcPr>
            <w:tcW w:w="0" w:type="dxa"/>
            <w:vAlign w:val="bottom"/>
          </w:tcPr>
          <w:p>
            <w:pPr>
              <w:spacing w:after="0"/>
              <w:rPr>
                <w:sz w:val="1"/>
                <w:szCs w:val="1"/>
                <w:color w:val="auto"/>
              </w:rPr>
            </w:pPr>
          </w:p>
        </w:tc>
      </w:tr>
      <w:tr>
        <w:trPr>
          <w:trHeight w:val="27"/>
        </w:trPr>
        <w:tc>
          <w:tcPr>
            <w:tcW w:w="37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6"/>
        </w:trPr>
        <w:tc>
          <w:tcPr>
            <w:tcW w:w="3700" w:type="dxa"/>
            <w:vAlign w:val="bottom"/>
            <w:shd w:val="clear" w:color="auto" w:fill="CCEEFF"/>
          </w:tcPr>
          <w:p>
            <w:pPr>
              <w:ind w:left="280"/>
              <w:spacing w:after="0"/>
              <w:rPr>
                <w:sz w:val="20"/>
                <w:szCs w:val="20"/>
                <w:color w:val="auto"/>
              </w:rPr>
            </w:pPr>
            <w:r>
              <w:rPr>
                <w:rFonts w:ascii="Arial" w:cs="Arial" w:eastAsia="Arial" w:hAnsi="Arial"/>
                <w:sz w:val="13"/>
                <w:szCs w:val="13"/>
                <w:color w:val="auto"/>
              </w:rPr>
              <w:t>Total investments</w:t>
            </w:r>
          </w:p>
        </w:tc>
        <w:tc>
          <w:tcPr>
            <w:tcW w:w="18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3,193</w:t>
            </w:r>
          </w:p>
        </w:tc>
        <w:tc>
          <w:tcPr>
            <w:tcW w:w="10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52,563</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71,037</w:t>
            </w:r>
          </w:p>
        </w:tc>
        <w:tc>
          <w:tcPr>
            <w:tcW w:w="20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2,826</w:t>
            </w:r>
          </w:p>
        </w:tc>
        <w:tc>
          <w:tcPr>
            <w:tcW w:w="1160" w:type="dxa"/>
            <w:vAlign w:val="bottom"/>
            <w:gridSpan w:val="3"/>
            <w:shd w:val="clear" w:color="auto" w:fill="CCEEFF"/>
          </w:tcPr>
          <w:p>
            <w:pPr>
              <w:jc w:val="right"/>
              <w:spacing w:after="0"/>
              <w:rPr>
                <w:sz w:val="20"/>
                <w:szCs w:val="20"/>
                <w:color w:val="auto"/>
              </w:rPr>
            </w:pPr>
            <w:r>
              <w:rPr>
                <w:rFonts w:ascii="Arial" w:cs="Arial" w:eastAsia="Arial" w:hAnsi="Arial"/>
                <w:sz w:val="13"/>
                <w:szCs w:val="13"/>
                <w:color w:val="auto"/>
              </w:rPr>
              <w:t>52,936</w:t>
            </w:r>
          </w:p>
        </w:tc>
        <w:tc>
          <w:tcPr>
            <w:tcW w:w="1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70,687</w:t>
            </w:r>
          </w:p>
        </w:tc>
        <w:tc>
          <w:tcPr>
            <w:tcW w:w="0" w:type="dxa"/>
            <w:vAlign w:val="bottom"/>
          </w:tcPr>
          <w:p>
            <w:pPr>
              <w:spacing w:after="0"/>
              <w:rPr>
                <w:sz w:val="1"/>
                <w:szCs w:val="1"/>
                <w:color w:val="auto"/>
              </w:rPr>
            </w:pPr>
          </w:p>
        </w:tc>
      </w:tr>
      <w:tr>
        <w:trPr>
          <w:trHeight w:val="202"/>
        </w:trPr>
        <w:tc>
          <w:tcPr>
            <w:tcW w:w="3700" w:type="dxa"/>
            <w:vAlign w:val="bottom"/>
            <w:tcBorders>
              <w:bottom w:val="single" w:sz="8" w:color="CCEEFF"/>
            </w:tcBorders>
          </w:tcPr>
          <w:p>
            <w:pPr>
              <w:ind w:left="100"/>
              <w:spacing w:after="0"/>
              <w:rPr>
                <w:sz w:val="20"/>
                <w:szCs w:val="20"/>
                <w:color w:val="auto"/>
              </w:rPr>
            </w:pPr>
            <w:r>
              <w:rPr>
                <w:rFonts w:ascii="Arial" w:cs="Arial" w:eastAsia="Arial" w:hAnsi="Arial"/>
                <w:sz w:val="13"/>
                <w:szCs w:val="13"/>
                <w:color w:val="auto"/>
              </w:rPr>
              <w:t>Derivative instruments</w:t>
            </w:r>
          </w:p>
        </w:tc>
        <w:tc>
          <w:tcPr>
            <w:tcW w:w="18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tcPr>
          <w:p>
            <w:pPr>
              <w:spacing w:after="0"/>
              <w:rPr>
                <w:sz w:val="17"/>
                <w:szCs w:val="17"/>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168</w:t>
            </w:r>
          </w:p>
        </w:tc>
        <w:tc>
          <w:tcPr>
            <w:tcW w:w="10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168</w:t>
            </w:r>
          </w:p>
        </w:tc>
        <w:tc>
          <w:tcPr>
            <w:tcW w:w="200" w:type="dxa"/>
            <w:vAlign w:val="bottom"/>
            <w:tcBorders>
              <w:bottom w:val="single" w:sz="8" w:color="CCEEFF"/>
            </w:tcBorders>
          </w:tcPr>
          <w:p>
            <w:pPr>
              <w:spacing w:after="0"/>
              <w:rPr>
                <w:sz w:val="17"/>
                <w:szCs w:val="17"/>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60" w:type="dxa"/>
            <w:vAlign w:val="bottom"/>
            <w:tcBorders>
              <w:bottom w:val="single" w:sz="8" w:color="auto"/>
            </w:tcBorders>
          </w:tcPr>
          <w:p>
            <w:pPr>
              <w:spacing w:after="0"/>
              <w:rPr>
                <w:sz w:val="17"/>
                <w:szCs w:val="17"/>
                <w:color w:val="auto"/>
              </w:rPr>
            </w:pPr>
          </w:p>
        </w:tc>
        <w:tc>
          <w:tcPr>
            <w:tcW w:w="100" w:type="dxa"/>
            <w:vAlign w:val="bottom"/>
            <w:tcBorders>
              <w:bottom w:val="single" w:sz="8" w:color="CCEEFF"/>
            </w:tcBorders>
          </w:tcPr>
          <w:p>
            <w:pPr>
              <w:spacing w:after="0"/>
              <w:rPr>
                <w:sz w:val="17"/>
                <w:szCs w:val="17"/>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1,818</w:t>
            </w:r>
          </w:p>
        </w:tc>
        <w:tc>
          <w:tcPr>
            <w:tcW w:w="10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1,818</w:t>
            </w:r>
          </w:p>
        </w:tc>
        <w:tc>
          <w:tcPr>
            <w:tcW w:w="0" w:type="dxa"/>
            <w:vAlign w:val="bottom"/>
          </w:tcPr>
          <w:p>
            <w:pPr>
              <w:spacing w:after="0"/>
              <w:rPr>
                <w:sz w:val="1"/>
                <w:szCs w:val="1"/>
                <w:color w:val="auto"/>
              </w:rPr>
            </w:pPr>
          </w:p>
        </w:tc>
      </w:tr>
      <w:tr>
        <w:trPr>
          <w:trHeight w:val="171"/>
        </w:trPr>
        <w:tc>
          <w:tcPr>
            <w:tcW w:w="3700" w:type="dxa"/>
            <w:vAlign w:val="bottom"/>
            <w:shd w:val="clear" w:color="auto" w:fill="CCEEFF"/>
          </w:tcPr>
          <w:p>
            <w:pPr>
              <w:ind w:left="260"/>
              <w:spacing w:after="0"/>
              <w:rPr>
                <w:sz w:val="20"/>
                <w:szCs w:val="20"/>
                <w:color w:val="auto"/>
              </w:rPr>
            </w:pPr>
            <w:r>
              <w:rPr>
                <w:rFonts w:ascii="Arial" w:cs="Arial" w:eastAsia="Arial" w:hAnsi="Arial"/>
                <w:sz w:val="13"/>
                <w:szCs w:val="13"/>
                <w:color w:val="auto"/>
              </w:rPr>
              <w:t>Total assets</w:t>
            </w:r>
          </w:p>
        </w:tc>
        <w:tc>
          <w:tcPr>
            <w:tcW w:w="180" w:type="dxa"/>
            <w:vAlign w:val="bottom"/>
            <w:shd w:val="clear" w:color="auto" w:fill="CCEEFF"/>
          </w:tcPr>
          <w:p>
            <w:pPr>
              <w:jc w:val="right"/>
              <w:ind w:right="35"/>
              <w:spacing w:after="0"/>
              <w:rPr>
                <w:sz w:val="20"/>
                <w:szCs w:val="20"/>
                <w:color w:val="auto"/>
              </w:rPr>
            </w:pPr>
            <w:r>
              <w:rPr>
                <w:rFonts w:ascii="Arial" w:cs="Arial" w:eastAsia="Arial" w:hAnsi="Arial"/>
                <w:sz w:val="13"/>
                <w:szCs w:val="13"/>
                <w:color w:val="auto"/>
                <w:w w:val="82"/>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3,193</w:t>
            </w:r>
          </w:p>
        </w:tc>
        <w:tc>
          <w:tcPr>
            <w:tcW w:w="10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52,731</w:t>
            </w: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71,205</w:t>
            </w:r>
          </w:p>
        </w:tc>
        <w:tc>
          <w:tcPr>
            <w:tcW w:w="200" w:type="dxa"/>
            <w:vAlign w:val="bottom"/>
            <w:shd w:val="clear" w:color="auto" w:fill="CCEEFF"/>
          </w:tcPr>
          <w:p>
            <w:pPr>
              <w:spacing w:after="0"/>
              <w:rPr>
                <w:sz w:val="14"/>
                <w:szCs w:val="14"/>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2,826</w:t>
            </w:r>
          </w:p>
        </w:tc>
        <w:tc>
          <w:tcPr>
            <w:tcW w:w="1160" w:type="dxa"/>
            <w:vAlign w:val="bottom"/>
            <w:gridSpan w:val="3"/>
            <w:shd w:val="clear" w:color="auto" w:fill="CCEEFF"/>
          </w:tcPr>
          <w:p>
            <w:pPr>
              <w:jc w:val="right"/>
              <w:spacing w:after="0"/>
              <w:rPr>
                <w:sz w:val="20"/>
                <w:szCs w:val="20"/>
                <w:color w:val="auto"/>
              </w:rPr>
            </w:pPr>
            <w:r>
              <w:rPr>
                <w:rFonts w:ascii="Arial" w:cs="Arial" w:eastAsia="Arial" w:hAnsi="Arial"/>
                <w:sz w:val="13"/>
                <w:szCs w:val="13"/>
                <w:color w:val="auto"/>
              </w:rPr>
              <w:t>54,754</w:t>
            </w:r>
          </w:p>
        </w:tc>
        <w:tc>
          <w:tcPr>
            <w:tcW w:w="10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72,505</w:t>
            </w:r>
          </w:p>
        </w:tc>
        <w:tc>
          <w:tcPr>
            <w:tcW w:w="0" w:type="dxa"/>
            <w:vAlign w:val="bottom"/>
          </w:tcPr>
          <w:p>
            <w:pPr>
              <w:spacing w:after="0"/>
              <w:rPr>
                <w:sz w:val="1"/>
                <w:szCs w:val="1"/>
                <w:color w:val="auto"/>
              </w:rPr>
            </w:pPr>
          </w:p>
        </w:tc>
      </w:tr>
      <w:tr>
        <w:trPr>
          <w:trHeight w:val="27"/>
        </w:trPr>
        <w:tc>
          <w:tcPr>
            <w:tcW w:w="3700" w:type="dxa"/>
            <w:vAlign w:val="bottom"/>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8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9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820" w:type="dxa"/>
            <w:vAlign w:val="bottom"/>
            <w:shd w:val="clear" w:color="auto" w:fill="CCEEFF"/>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920" w:type="dxa"/>
            <w:vAlign w:val="bottom"/>
            <w:shd w:val="clear" w:color="auto" w:fill="CCEEFF"/>
          </w:tcPr>
          <w:p>
            <w:pPr>
              <w:spacing w:after="0"/>
              <w:rPr>
                <w:sz w:val="2"/>
                <w:szCs w:val="2"/>
                <w:color w:val="auto"/>
              </w:rPr>
            </w:pPr>
          </w:p>
        </w:tc>
        <w:tc>
          <w:tcPr>
            <w:tcW w:w="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0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8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14" w:lineRule="exact"/>
        <w:rPr>
          <w:sz w:val="20"/>
          <w:szCs w:val="20"/>
          <w:color w:val="auto"/>
        </w:rPr>
      </w:pPr>
    </w:p>
    <w:p>
      <w:pPr>
        <w:ind w:left="980" w:hanging="521"/>
        <w:spacing w:after="0" w:line="283" w:lineRule="auto"/>
        <w:tabs>
          <w:tab w:leader="none" w:pos="622" w:val="left"/>
        </w:tabs>
        <w:numPr>
          <w:ilvl w:val="0"/>
          <w:numId w:val="6"/>
        </w:numPr>
        <w:rPr>
          <w:rFonts w:ascii="Arial" w:cs="Arial" w:eastAsia="Arial" w:hAnsi="Arial"/>
          <w:sz w:val="11"/>
          <w:szCs w:val="11"/>
          <w:color w:val="auto"/>
        </w:rPr>
      </w:pPr>
      <w:r>
        <w:rPr>
          <w:rFonts w:ascii="Arial" w:cs="Arial" w:eastAsia="Arial" w:hAnsi="Arial"/>
          <w:sz w:val="11"/>
          <w:szCs w:val="11"/>
          <w:color w:val="auto"/>
        </w:rPr>
        <w:t>In accordance with the Fair Value Measurements Topic of the FASB Accounting Standards Codification, certain investments that are measured at fair value using the net asset value per share (or its equivalent) practical expedient have not been classified in the fair value hierarchy.</w:t>
      </w:r>
    </w:p>
    <w:p>
      <w:pPr>
        <w:spacing w:after="0" w:line="94" w:lineRule="exact"/>
        <w:rPr>
          <w:sz w:val="20"/>
          <w:szCs w:val="20"/>
          <w:color w:val="auto"/>
        </w:rPr>
      </w:pPr>
    </w:p>
    <w:p>
      <w:pPr>
        <w:spacing w:after="0"/>
        <w:rPr>
          <w:sz w:val="20"/>
          <w:szCs w:val="20"/>
          <w:color w:val="auto"/>
        </w:rPr>
      </w:pPr>
      <w:r>
        <w:rPr>
          <w:rFonts w:ascii="Arial" w:cs="Arial" w:eastAsia="Arial" w:hAnsi="Arial"/>
          <w:sz w:val="14"/>
          <w:szCs w:val="14"/>
          <w:color w:val="auto"/>
        </w:rPr>
        <w:t>The following table summarizes the fair values of all of the Company’s financial instruments on the consolidated balance sheets:</w:t>
      </w:r>
    </w:p>
    <w:p>
      <w:pPr>
        <w:spacing w:after="0" w:line="51" w:lineRule="exact"/>
        <w:rPr>
          <w:sz w:val="20"/>
          <w:szCs w:val="20"/>
          <w:color w:val="auto"/>
        </w:rPr>
      </w:pPr>
    </w:p>
    <w:tbl>
      <w:tblPr>
        <w:tblLayout w:type="fixed"/>
        <w:tblInd w:w="0" w:type="dxa"/>
        <w:tblCellMar>
          <w:top w:w="0" w:type="dxa"/>
          <w:left w:w="0" w:type="dxa"/>
          <w:bottom w:w="0" w:type="dxa"/>
          <w:right w:w="0" w:type="dxa"/>
        </w:tblCellMar>
      </w:tblPr>
      <w:tr>
        <w:trPr>
          <w:trHeight w:val="172"/>
        </w:trPr>
        <w:tc>
          <w:tcPr>
            <w:tcW w:w="42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980" w:type="dxa"/>
            <w:vAlign w:val="bottom"/>
            <w:gridSpan w:val="4"/>
          </w:tcPr>
          <w:p>
            <w:pPr>
              <w:ind w:left="1300"/>
              <w:spacing w:after="0"/>
              <w:rPr>
                <w:sz w:val="20"/>
                <w:szCs w:val="20"/>
                <w:color w:val="auto"/>
              </w:rPr>
            </w:pPr>
            <w:r>
              <w:rPr>
                <w:rFonts w:ascii="Arial" w:cs="Arial" w:eastAsia="Arial" w:hAnsi="Arial"/>
                <w:sz w:val="13"/>
                <w:szCs w:val="13"/>
                <w:b w:val="1"/>
                <w:bCs w:val="1"/>
                <w:color w:val="auto"/>
              </w:rPr>
              <w:t>As of March 31, 2019</w:t>
            </w:r>
          </w:p>
        </w:tc>
        <w:tc>
          <w:tcPr>
            <w:tcW w:w="1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0" w:type="dxa"/>
            <w:vAlign w:val="bottom"/>
          </w:tcPr>
          <w:p>
            <w:pPr>
              <w:spacing w:after="0"/>
              <w:rPr>
                <w:sz w:val="14"/>
                <w:szCs w:val="14"/>
                <w:color w:val="auto"/>
              </w:rPr>
            </w:pPr>
          </w:p>
        </w:tc>
      </w:tr>
      <w:tr>
        <w:trPr>
          <w:trHeight w:val="25"/>
        </w:trPr>
        <w:tc>
          <w:tcPr>
            <w:tcW w:w="424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gridSpan w:val="2"/>
          </w:tcPr>
          <w:p>
            <w:pPr>
              <w:spacing w:after="0"/>
              <w:rPr>
                <w:sz w:val="2"/>
                <w:szCs w:val="2"/>
                <w:color w:val="auto"/>
              </w:rPr>
            </w:pPr>
          </w:p>
        </w:tc>
        <w:tc>
          <w:tcPr>
            <w:tcW w:w="1700" w:type="dxa"/>
            <w:vAlign w:val="bottom"/>
            <w:tcBorders>
              <w:bottom w:val="single" w:sz="8" w:color="auto"/>
            </w:tcBorders>
            <w:gridSpan w:val="2"/>
          </w:tcPr>
          <w:p>
            <w:pPr>
              <w:spacing w:after="0"/>
              <w:rPr>
                <w:sz w:val="2"/>
                <w:szCs w:val="2"/>
                <w:color w:val="auto"/>
              </w:rPr>
            </w:pPr>
          </w:p>
        </w:tc>
        <w:tc>
          <w:tcPr>
            <w:tcW w:w="1280" w:type="dxa"/>
            <w:vAlign w:val="bottom"/>
            <w:tcBorders>
              <w:bottom w:val="single" w:sz="8" w:color="auto"/>
            </w:tcBorders>
            <w:gridSpan w:val="2"/>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171"/>
        </w:trPr>
        <w:tc>
          <w:tcPr>
            <w:tcW w:w="42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380" w:type="dxa"/>
            <w:vAlign w:val="bottom"/>
            <w:gridSpan w:val="2"/>
          </w:tcPr>
          <w:p>
            <w:pPr>
              <w:ind w:left="200"/>
              <w:spacing w:after="0"/>
              <w:rPr>
                <w:sz w:val="20"/>
                <w:szCs w:val="20"/>
                <w:color w:val="auto"/>
              </w:rPr>
            </w:pPr>
            <w:r>
              <w:rPr>
                <w:rFonts w:ascii="Arial" w:cs="Arial" w:eastAsia="Arial" w:hAnsi="Arial"/>
                <w:sz w:val="13"/>
                <w:szCs w:val="13"/>
                <w:b w:val="1"/>
                <w:bCs w:val="1"/>
                <w:color w:val="auto"/>
              </w:rPr>
              <w:t>Fair value</w:t>
            </w:r>
          </w:p>
        </w:tc>
        <w:tc>
          <w:tcPr>
            <w:tcW w:w="1700" w:type="dxa"/>
            <w:vAlign w:val="bottom"/>
            <w:gridSpan w:val="2"/>
          </w:tcPr>
          <w:p>
            <w:pPr>
              <w:ind w:left="380"/>
              <w:spacing w:after="0"/>
              <w:rPr>
                <w:sz w:val="20"/>
                <w:szCs w:val="20"/>
                <w:color w:val="auto"/>
              </w:rPr>
            </w:pPr>
            <w:r>
              <w:rPr>
                <w:rFonts w:ascii="Arial" w:cs="Arial" w:eastAsia="Arial" w:hAnsi="Arial"/>
                <w:sz w:val="13"/>
                <w:szCs w:val="13"/>
                <w:b w:val="1"/>
                <w:bCs w:val="1"/>
                <w:color w:val="auto"/>
              </w:rPr>
              <w:t>Carrying value</w:t>
            </w:r>
          </w:p>
        </w:tc>
        <w:tc>
          <w:tcPr>
            <w:tcW w:w="1280" w:type="dxa"/>
            <w:vAlign w:val="bottom"/>
            <w:gridSpan w:val="2"/>
          </w:tcPr>
          <w:p>
            <w:pPr>
              <w:ind w:left="380"/>
              <w:spacing w:after="0"/>
              <w:rPr>
                <w:sz w:val="20"/>
                <w:szCs w:val="20"/>
                <w:color w:val="auto"/>
              </w:rPr>
            </w:pPr>
            <w:r>
              <w:rPr>
                <w:rFonts w:ascii="Arial" w:cs="Arial" w:eastAsia="Arial" w:hAnsi="Arial"/>
                <w:sz w:val="13"/>
                <w:szCs w:val="13"/>
                <w:b w:val="1"/>
                <w:bCs w:val="1"/>
                <w:color w:val="auto"/>
              </w:rPr>
              <w:t>Level 1</w:t>
            </w:r>
          </w:p>
        </w:tc>
        <w:tc>
          <w:tcPr>
            <w:tcW w:w="1300" w:type="dxa"/>
            <w:vAlign w:val="bottom"/>
            <w:gridSpan w:val="2"/>
          </w:tcPr>
          <w:p>
            <w:pPr>
              <w:ind w:left="400"/>
              <w:spacing w:after="0"/>
              <w:rPr>
                <w:sz w:val="20"/>
                <w:szCs w:val="20"/>
                <w:color w:val="auto"/>
              </w:rPr>
            </w:pPr>
            <w:r>
              <w:rPr>
                <w:rFonts w:ascii="Arial" w:cs="Arial" w:eastAsia="Arial" w:hAnsi="Arial"/>
                <w:sz w:val="13"/>
                <w:szCs w:val="13"/>
                <w:b w:val="1"/>
                <w:bCs w:val="1"/>
                <w:color w:val="auto"/>
              </w:rPr>
              <w:t>Level 2</w:t>
            </w:r>
          </w:p>
        </w:tc>
        <w:tc>
          <w:tcPr>
            <w:tcW w:w="1200" w:type="dxa"/>
            <w:vAlign w:val="bottom"/>
          </w:tcPr>
          <w:p>
            <w:pPr>
              <w:jc w:val="right"/>
              <w:ind w:right="334"/>
              <w:spacing w:after="0"/>
              <w:rPr>
                <w:sz w:val="20"/>
                <w:szCs w:val="20"/>
                <w:color w:val="auto"/>
              </w:rPr>
            </w:pPr>
            <w:r>
              <w:rPr>
                <w:rFonts w:ascii="Arial" w:cs="Arial" w:eastAsia="Arial" w:hAnsi="Arial"/>
                <w:sz w:val="13"/>
                <w:szCs w:val="13"/>
                <w:b w:val="1"/>
                <w:bCs w:val="1"/>
                <w:color w:val="auto"/>
              </w:rPr>
              <w:t>Level 3</w:t>
            </w:r>
          </w:p>
        </w:tc>
      </w:tr>
      <w:tr>
        <w:trPr>
          <w:trHeight w:val="25"/>
        </w:trPr>
        <w:tc>
          <w:tcPr>
            <w:tcW w:w="424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176"/>
        </w:trPr>
        <w:tc>
          <w:tcPr>
            <w:tcW w:w="4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Financial assets:</w:t>
            </w:r>
          </w:p>
        </w:tc>
        <w:tc>
          <w:tcPr>
            <w:tcW w:w="300" w:type="dxa"/>
            <w:vAlign w:val="bottom"/>
            <w:tcBorders>
              <w:bottom w:val="single" w:sz="8" w:color="CCEEFF"/>
            </w:tcBorders>
            <w:shd w:val="clear" w:color="auto" w:fill="CCEEFF"/>
          </w:tcPr>
          <w:p>
            <w:pPr>
              <w:spacing w:after="0"/>
              <w:rPr>
                <w:sz w:val="15"/>
                <w:szCs w:val="15"/>
                <w:color w:val="auto"/>
              </w:rPr>
            </w:pPr>
          </w:p>
        </w:tc>
        <w:tc>
          <w:tcPr>
            <w:tcW w:w="128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60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200" w:type="dxa"/>
            <w:vAlign w:val="bottom"/>
            <w:tcBorders>
              <w:bottom w:val="single" w:sz="8" w:color="CCEEFF"/>
            </w:tcBorders>
            <w:shd w:val="clear" w:color="auto" w:fill="CCEEFF"/>
          </w:tcPr>
          <w:p>
            <w:pPr>
              <w:spacing w:after="0"/>
              <w:rPr>
                <w:sz w:val="15"/>
                <w:szCs w:val="15"/>
                <w:color w:val="auto"/>
              </w:rPr>
            </w:pPr>
          </w:p>
        </w:tc>
        <w:tc>
          <w:tcPr>
            <w:tcW w:w="80" w:type="dxa"/>
            <w:vAlign w:val="bottom"/>
            <w:tcBorders>
              <w:bottom w:val="single" w:sz="8" w:color="CCEEFF"/>
            </w:tcBorders>
            <w:shd w:val="clear" w:color="auto" w:fill="CCEEFF"/>
          </w:tcPr>
          <w:p>
            <w:pPr>
              <w:spacing w:after="0"/>
              <w:rPr>
                <w:sz w:val="15"/>
                <w:szCs w:val="15"/>
                <w:color w:val="auto"/>
              </w:rPr>
            </w:pPr>
          </w:p>
        </w:tc>
        <w:tc>
          <w:tcPr>
            <w:tcW w:w="120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200" w:type="dxa"/>
            <w:vAlign w:val="bottom"/>
            <w:tcBorders>
              <w:bottom w:val="single" w:sz="8" w:color="CCEEFF"/>
            </w:tcBorders>
            <w:shd w:val="clear" w:color="auto" w:fill="CCEEFF"/>
          </w:tcPr>
          <w:p>
            <w:pPr>
              <w:spacing w:after="0"/>
              <w:rPr>
                <w:sz w:val="15"/>
                <w:szCs w:val="15"/>
                <w:color w:val="auto"/>
              </w:rPr>
            </w:pPr>
          </w:p>
        </w:tc>
      </w:tr>
      <w:tr>
        <w:trPr>
          <w:trHeight w:val="180"/>
        </w:trPr>
        <w:tc>
          <w:tcPr>
            <w:tcW w:w="4240" w:type="dxa"/>
            <w:vAlign w:val="bottom"/>
          </w:tcPr>
          <w:p>
            <w:pPr>
              <w:ind w:left="100"/>
              <w:spacing w:after="0"/>
              <w:rPr>
                <w:sz w:val="20"/>
                <w:szCs w:val="20"/>
                <w:color w:val="auto"/>
              </w:rPr>
            </w:pPr>
            <w:r>
              <w:rPr>
                <w:rFonts w:ascii="Arial" w:cs="Arial" w:eastAsia="Arial" w:hAnsi="Arial"/>
                <w:sz w:val="13"/>
                <w:szCs w:val="13"/>
                <w:color w:val="auto"/>
              </w:rPr>
              <w:t>Loans receivable</w:t>
            </w:r>
          </w:p>
        </w:tc>
        <w:tc>
          <w:tcPr>
            <w:tcW w:w="300" w:type="dxa"/>
            <w:vAlign w:val="bottom"/>
          </w:tcPr>
          <w:p>
            <w:pPr>
              <w:jc w:val="right"/>
              <w:ind w:right="154"/>
              <w:spacing w:after="0"/>
              <w:rPr>
                <w:sz w:val="20"/>
                <w:szCs w:val="20"/>
                <w:color w:val="auto"/>
              </w:rPr>
            </w:pPr>
            <w:r>
              <w:rPr>
                <w:rFonts w:ascii="Arial" w:cs="Arial" w:eastAsia="Arial" w:hAnsi="Arial"/>
                <w:sz w:val="13"/>
                <w:szCs w:val="13"/>
                <w:color w:val="auto"/>
                <w:w w:val="82"/>
              </w:rPr>
              <w:t>$</w:t>
            </w:r>
          </w:p>
        </w:tc>
        <w:tc>
          <w:tcPr>
            <w:tcW w:w="1280" w:type="dxa"/>
            <w:vAlign w:val="bottom"/>
          </w:tcPr>
          <w:p>
            <w:pPr>
              <w:jc w:val="right"/>
              <w:spacing w:after="0"/>
              <w:rPr>
                <w:sz w:val="20"/>
                <w:szCs w:val="20"/>
                <w:color w:val="auto"/>
              </w:rPr>
            </w:pPr>
            <w:r>
              <w:rPr>
                <w:rFonts w:ascii="Arial" w:cs="Arial" w:eastAsia="Arial" w:hAnsi="Arial"/>
                <w:sz w:val="13"/>
                <w:szCs w:val="13"/>
                <w:color w:val="auto"/>
              </w:rPr>
              <w:t>23,064,973</w:t>
            </w:r>
          </w:p>
        </w:tc>
        <w:tc>
          <w:tcPr>
            <w:tcW w:w="100" w:type="dxa"/>
            <w:vAlign w:val="bottom"/>
          </w:tcPr>
          <w:p>
            <w:pPr>
              <w:spacing w:after="0"/>
              <w:rPr>
                <w:sz w:val="15"/>
                <w:szCs w:val="15"/>
                <w:color w:val="auto"/>
              </w:rPr>
            </w:pPr>
          </w:p>
        </w:tc>
        <w:tc>
          <w:tcPr>
            <w:tcW w:w="1600" w:type="dxa"/>
            <w:vAlign w:val="bottom"/>
          </w:tcPr>
          <w:p>
            <w:pPr>
              <w:jc w:val="right"/>
              <w:spacing w:after="0"/>
              <w:rPr>
                <w:sz w:val="20"/>
                <w:szCs w:val="20"/>
                <w:color w:val="auto"/>
              </w:rPr>
            </w:pPr>
            <w:r>
              <w:rPr>
                <w:rFonts w:ascii="Arial" w:cs="Arial" w:eastAsia="Arial" w:hAnsi="Arial"/>
                <w:sz w:val="13"/>
                <w:szCs w:val="13"/>
                <w:color w:val="auto"/>
              </w:rPr>
              <w:t>21,946,153</w:t>
            </w:r>
          </w:p>
        </w:tc>
        <w:tc>
          <w:tcPr>
            <w:tcW w:w="100" w:type="dxa"/>
            <w:vAlign w:val="bottom"/>
          </w:tcPr>
          <w:p>
            <w:pPr>
              <w:spacing w:after="0"/>
              <w:rPr>
                <w:sz w:val="15"/>
                <w:szCs w:val="15"/>
                <w:color w:val="auto"/>
              </w:rPr>
            </w:pPr>
          </w:p>
        </w:tc>
        <w:tc>
          <w:tcPr>
            <w:tcW w:w="128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30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200" w:type="dxa"/>
            <w:vAlign w:val="bottom"/>
          </w:tcPr>
          <w:p>
            <w:pPr>
              <w:jc w:val="right"/>
              <w:spacing w:after="0"/>
              <w:rPr>
                <w:sz w:val="20"/>
                <w:szCs w:val="20"/>
                <w:color w:val="auto"/>
              </w:rPr>
            </w:pPr>
            <w:r>
              <w:rPr>
                <w:rFonts w:ascii="Arial" w:cs="Arial" w:eastAsia="Arial" w:hAnsi="Arial"/>
                <w:sz w:val="13"/>
                <w:szCs w:val="13"/>
                <w:color w:val="auto"/>
              </w:rPr>
              <w:t>23,064,973</w:t>
            </w:r>
          </w:p>
        </w:tc>
      </w:tr>
      <w:tr>
        <w:trPr>
          <w:trHeight w:val="25"/>
        </w:trPr>
        <w:tc>
          <w:tcPr>
            <w:tcW w:w="42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185"/>
        </w:trPr>
        <w:tc>
          <w:tcPr>
            <w:tcW w:w="424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3"/>
                <w:szCs w:val="13"/>
                <w:color w:val="auto"/>
              </w:rPr>
              <w:t>Cash and cash equivalents</w:t>
            </w:r>
          </w:p>
        </w:tc>
        <w:tc>
          <w:tcPr>
            <w:tcW w:w="300" w:type="dxa"/>
            <w:vAlign w:val="bottom"/>
            <w:tcBorders>
              <w:bottom w:val="single" w:sz="8" w:color="CCEEFF"/>
            </w:tcBorders>
            <w:shd w:val="clear" w:color="auto" w:fill="CCEEFF"/>
          </w:tcPr>
          <w:p>
            <w:pPr>
              <w:spacing w:after="0"/>
              <w:rPr>
                <w:sz w:val="16"/>
                <w:szCs w:val="16"/>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74,881</w:t>
            </w:r>
          </w:p>
        </w:tc>
        <w:tc>
          <w:tcPr>
            <w:tcW w:w="100" w:type="dxa"/>
            <w:vAlign w:val="bottom"/>
            <w:tcBorders>
              <w:bottom w:val="single" w:sz="8" w:color="CCEEFF"/>
            </w:tcBorders>
            <w:shd w:val="clear" w:color="auto" w:fill="CCEEFF"/>
          </w:tcPr>
          <w:p>
            <w:pPr>
              <w:spacing w:after="0"/>
              <w:rPr>
                <w:sz w:val="16"/>
                <w:szCs w:val="16"/>
                <w:color w:val="auto"/>
              </w:rPr>
            </w:pP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74,881</w:t>
            </w:r>
          </w:p>
        </w:tc>
        <w:tc>
          <w:tcPr>
            <w:tcW w:w="100" w:type="dxa"/>
            <w:vAlign w:val="bottom"/>
            <w:tcBorders>
              <w:bottom w:val="single" w:sz="8" w:color="CCEEFF"/>
            </w:tcBorders>
            <w:shd w:val="clear" w:color="auto" w:fill="CCEEFF"/>
          </w:tcPr>
          <w:p>
            <w:pPr>
              <w:spacing w:after="0"/>
              <w:rPr>
                <w:sz w:val="16"/>
                <w:szCs w:val="16"/>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74,881</w:t>
            </w:r>
          </w:p>
        </w:tc>
        <w:tc>
          <w:tcPr>
            <w:tcW w:w="80" w:type="dxa"/>
            <w:vAlign w:val="bottom"/>
            <w:tcBorders>
              <w:bottom w:val="single" w:sz="8" w:color="CCEEFF"/>
            </w:tcBorders>
            <w:shd w:val="clear" w:color="auto" w:fill="CCEEFF"/>
          </w:tcPr>
          <w:p>
            <w:pPr>
              <w:spacing w:after="0"/>
              <w:rPr>
                <w:sz w:val="16"/>
                <w:szCs w:val="16"/>
                <w:color w:val="auto"/>
              </w:rPr>
            </w:pPr>
          </w:p>
        </w:tc>
        <w:tc>
          <w:tcPr>
            <w:tcW w:w="130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w:t>
            </w:r>
          </w:p>
        </w:tc>
      </w:tr>
      <w:tr>
        <w:trPr>
          <w:trHeight w:val="180"/>
        </w:trPr>
        <w:tc>
          <w:tcPr>
            <w:tcW w:w="4240" w:type="dxa"/>
            <w:vAlign w:val="bottom"/>
          </w:tcPr>
          <w:p>
            <w:pPr>
              <w:ind w:left="100"/>
              <w:spacing w:after="0"/>
              <w:rPr>
                <w:sz w:val="20"/>
                <w:szCs w:val="20"/>
                <w:color w:val="auto"/>
              </w:rPr>
            </w:pPr>
            <w:r>
              <w:rPr>
                <w:rFonts w:ascii="Arial" w:cs="Arial" w:eastAsia="Arial" w:hAnsi="Arial"/>
                <w:sz w:val="13"/>
                <w:szCs w:val="13"/>
                <w:color w:val="auto"/>
              </w:rPr>
              <w:t>Investments (at fair value)</w:t>
            </w:r>
          </w:p>
        </w:tc>
        <w:tc>
          <w:tcPr>
            <w:tcW w:w="300" w:type="dxa"/>
            <w:vAlign w:val="bottom"/>
          </w:tcPr>
          <w:p>
            <w:pPr>
              <w:spacing w:after="0"/>
              <w:rPr>
                <w:sz w:val="15"/>
                <w:szCs w:val="15"/>
                <w:color w:val="auto"/>
              </w:rPr>
            </w:pPr>
          </w:p>
        </w:tc>
        <w:tc>
          <w:tcPr>
            <w:tcW w:w="1280" w:type="dxa"/>
            <w:vAlign w:val="bottom"/>
          </w:tcPr>
          <w:p>
            <w:pPr>
              <w:jc w:val="right"/>
              <w:spacing w:after="0"/>
              <w:rPr>
                <w:sz w:val="20"/>
                <w:szCs w:val="20"/>
                <w:color w:val="auto"/>
              </w:rPr>
            </w:pPr>
            <w:r>
              <w:rPr>
                <w:rFonts w:ascii="Arial" w:cs="Arial" w:eastAsia="Arial" w:hAnsi="Arial"/>
                <w:sz w:val="13"/>
                <w:szCs w:val="13"/>
                <w:color w:val="auto"/>
              </w:rPr>
              <w:t>71,037</w:t>
            </w:r>
          </w:p>
        </w:tc>
        <w:tc>
          <w:tcPr>
            <w:tcW w:w="100" w:type="dxa"/>
            <w:vAlign w:val="bottom"/>
          </w:tcPr>
          <w:p>
            <w:pPr>
              <w:spacing w:after="0"/>
              <w:rPr>
                <w:sz w:val="15"/>
                <w:szCs w:val="15"/>
                <w:color w:val="auto"/>
              </w:rPr>
            </w:pPr>
          </w:p>
        </w:tc>
        <w:tc>
          <w:tcPr>
            <w:tcW w:w="1600" w:type="dxa"/>
            <w:vAlign w:val="bottom"/>
          </w:tcPr>
          <w:p>
            <w:pPr>
              <w:jc w:val="right"/>
              <w:spacing w:after="0"/>
              <w:rPr>
                <w:sz w:val="20"/>
                <w:szCs w:val="20"/>
                <w:color w:val="auto"/>
              </w:rPr>
            </w:pPr>
            <w:r>
              <w:rPr>
                <w:rFonts w:ascii="Arial" w:cs="Arial" w:eastAsia="Arial" w:hAnsi="Arial"/>
                <w:sz w:val="13"/>
                <w:szCs w:val="13"/>
                <w:color w:val="auto"/>
              </w:rPr>
              <w:t>71,037</w:t>
            </w:r>
          </w:p>
        </w:tc>
        <w:tc>
          <w:tcPr>
            <w:tcW w:w="100" w:type="dxa"/>
            <w:vAlign w:val="bottom"/>
          </w:tcPr>
          <w:p>
            <w:pPr>
              <w:spacing w:after="0"/>
              <w:rPr>
                <w:sz w:val="15"/>
                <w:szCs w:val="15"/>
                <w:color w:val="auto"/>
              </w:rPr>
            </w:pPr>
          </w:p>
        </w:tc>
        <w:tc>
          <w:tcPr>
            <w:tcW w:w="1200" w:type="dxa"/>
            <w:vAlign w:val="bottom"/>
          </w:tcPr>
          <w:p>
            <w:pPr>
              <w:jc w:val="right"/>
              <w:spacing w:after="0"/>
              <w:rPr>
                <w:sz w:val="20"/>
                <w:szCs w:val="20"/>
                <w:color w:val="auto"/>
              </w:rPr>
            </w:pPr>
            <w:r>
              <w:rPr>
                <w:rFonts w:ascii="Arial" w:cs="Arial" w:eastAsia="Arial" w:hAnsi="Arial"/>
                <w:sz w:val="13"/>
                <w:szCs w:val="13"/>
                <w:color w:val="auto"/>
              </w:rPr>
              <w:t>3,193</w:t>
            </w:r>
          </w:p>
        </w:tc>
        <w:tc>
          <w:tcPr>
            <w:tcW w:w="80" w:type="dxa"/>
            <w:vAlign w:val="bottom"/>
          </w:tcPr>
          <w:p>
            <w:pPr>
              <w:spacing w:after="0"/>
              <w:rPr>
                <w:sz w:val="15"/>
                <w:szCs w:val="15"/>
                <w:color w:val="auto"/>
              </w:rPr>
            </w:pPr>
          </w:p>
        </w:tc>
        <w:tc>
          <w:tcPr>
            <w:tcW w:w="1200" w:type="dxa"/>
            <w:vAlign w:val="bottom"/>
          </w:tcPr>
          <w:p>
            <w:pPr>
              <w:jc w:val="right"/>
              <w:spacing w:after="0"/>
              <w:rPr>
                <w:sz w:val="20"/>
                <w:szCs w:val="20"/>
                <w:color w:val="auto"/>
              </w:rPr>
            </w:pPr>
            <w:r>
              <w:rPr>
                <w:rFonts w:ascii="Arial" w:cs="Arial" w:eastAsia="Arial" w:hAnsi="Arial"/>
                <w:sz w:val="13"/>
                <w:szCs w:val="13"/>
                <w:color w:val="auto"/>
              </w:rPr>
              <w:t>52,563</w:t>
            </w:r>
          </w:p>
        </w:tc>
        <w:tc>
          <w:tcPr>
            <w:tcW w:w="100" w:type="dxa"/>
            <w:vAlign w:val="bottom"/>
          </w:tcPr>
          <w:p>
            <w:pPr>
              <w:spacing w:after="0"/>
              <w:rPr>
                <w:sz w:val="15"/>
                <w:szCs w:val="15"/>
                <w:color w:val="auto"/>
              </w:rPr>
            </w:pPr>
          </w:p>
        </w:tc>
        <w:tc>
          <w:tcPr>
            <w:tcW w:w="1200" w:type="dxa"/>
            <w:vAlign w:val="bottom"/>
          </w:tcPr>
          <w:p>
            <w:pPr>
              <w:jc w:val="right"/>
              <w:spacing w:after="0"/>
              <w:rPr>
                <w:sz w:val="20"/>
                <w:szCs w:val="20"/>
                <w:color w:val="auto"/>
              </w:rPr>
            </w:pPr>
            <w:r>
              <w:rPr>
                <w:rFonts w:ascii="Arial" w:cs="Arial" w:eastAsia="Arial" w:hAnsi="Arial"/>
                <w:sz w:val="13"/>
                <w:szCs w:val="13"/>
                <w:color w:val="auto"/>
              </w:rPr>
              <w:t>—</w:t>
            </w:r>
          </w:p>
        </w:tc>
      </w:tr>
      <w:tr>
        <w:trPr>
          <w:trHeight w:val="25"/>
        </w:trPr>
        <w:tc>
          <w:tcPr>
            <w:tcW w:w="42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185"/>
        </w:trPr>
        <w:tc>
          <w:tcPr>
            <w:tcW w:w="424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3"/>
                <w:szCs w:val="13"/>
                <w:color w:val="auto"/>
              </w:rPr>
              <w:t>Notes receivable</w:t>
            </w:r>
          </w:p>
        </w:tc>
        <w:tc>
          <w:tcPr>
            <w:tcW w:w="300" w:type="dxa"/>
            <w:vAlign w:val="bottom"/>
            <w:tcBorders>
              <w:bottom w:val="single" w:sz="8" w:color="CCEEFF"/>
            </w:tcBorders>
            <w:shd w:val="clear" w:color="auto" w:fill="CCEEFF"/>
          </w:tcPr>
          <w:p>
            <w:pPr>
              <w:spacing w:after="0"/>
              <w:rPr>
                <w:sz w:val="16"/>
                <w:szCs w:val="16"/>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16,183</w:t>
            </w:r>
          </w:p>
        </w:tc>
        <w:tc>
          <w:tcPr>
            <w:tcW w:w="100" w:type="dxa"/>
            <w:vAlign w:val="bottom"/>
            <w:tcBorders>
              <w:bottom w:val="single" w:sz="8" w:color="CCEEFF"/>
            </w:tcBorders>
            <w:shd w:val="clear" w:color="auto" w:fill="CCEEFF"/>
          </w:tcPr>
          <w:p>
            <w:pPr>
              <w:spacing w:after="0"/>
              <w:rPr>
                <w:sz w:val="16"/>
                <w:szCs w:val="16"/>
                <w:color w:val="auto"/>
              </w:rPr>
            </w:pP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16,183</w:t>
            </w:r>
          </w:p>
        </w:tc>
        <w:tc>
          <w:tcPr>
            <w:tcW w:w="100" w:type="dxa"/>
            <w:vAlign w:val="bottom"/>
            <w:tcBorders>
              <w:bottom w:val="single" w:sz="8" w:color="CCEEFF"/>
            </w:tcBorders>
            <w:shd w:val="clear" w:color="auto" w:fill="CCEEFF"/>
          </w:tcPr>
          <w:p>
            <w:pPr>
              <w:spacing w:after="0"/>
              <w:rPr>
                <w:sz w:val="16"/>
                <w:szCs w:val="16"/>
                <w:color w:val="auto"/>
              </w:rPr>
            </w:pPr>
          </w:p>
        </w:tc>
        <w:tc>
          <w:tcPr>
            <w:tcW w:w="128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16,183</w:t>
            </w:r>
          </w:p>
        </w:tc>
        <w:tc>
          <w:tcPr>
            <w:tcW w:w="100" w:type="dxa"/>
            <w:vAlign w:val="bottom"/>
            <w:tcBorders>
              <w:bottom w:val="single" w:sz="8" w:color="CCEEFF"/>
            </w:tcBorders>
            <w:shd w:val="clear" w:color="auto" w:fill="CCEEFF"/>
          </w:tcPr>
          <w:p>
            <w:pPr>
              <w:spacing w:after="0"/>
              <w:rPr>
                <w:sz w:val="16"/>
                <w:szCs w:val="16"/>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w:t>
            </w:r>
          </w:p>
        </w:tc>
      </w:tr>
      <w:tr>
        <w:trPr>
          <w:trHeight w:val="180"/>
        </w:trPr>
        <w:tc>
          <w:tcPr>
            <w:tcW w:w="4240" w:type="dxa"/>
            <w:vAlign w:val="bottom"/>
          </w:tcPr>
          <w:p>
            <w:pPr>
              <w:ind w:left="100"/>
              <w:spacing w:after="0"/>
              <w:rPr>
                <w:sz w:val="20"/>
                <w:szCs w:val="20"/>
                <w:color w:val="auto"/>
              </w:rPr>
            </w:pPr>
            <w:r>
              <w:rPr>
                <w:rFonts w:ascii="Arial" w:cs="Arial" w:eastAsia="Arial" w:hAnsi="Arial"/>
                <w:sz w:val="13"/>
                <w:szCs w:val="13"/>
                <w:color w:val="auto"/>
              </w:rPr>
              <w:t>Restricted cash</w:t>
            </w:r>
          </w:p>
        </w:tc>
        <w:tc>
          <w:tcPr>
            <w:tcW w:w="300" w:type="dxa"/>
            <w:vAlign w:val="bottom"/>
          </w:tcPr>
          <w:p>
            <w:pPr>
              <w:spacing w:after="0"/>
              <w:rPr>
                <w:sz w:val="15"/>
                <w:szCs w:val="15"/>
                <w:color w:val="auto"/>
              </w:rPr>
            </w:pPr>
          </w:p>
        </w:tc>
        <w:tc>
          <w:tcPr>
            <w:tcW w:w="1280" w:type="dxa"/>
            <w:vAlign w:val="bottom"/>
          </w:tcPr>
          <w:p>
            <w:pPr>
              <w:jc w:val="right"/>
              <w:spacing w:after="0"/>
              <w:rPr>
                <w:sz w:val="20"/>
                <w:szCs w:val="20"/>
                <w:color w:val="auto"/>
              </w:rPr>
            </w:pPr>
            <w:r>
              <w:rPr>
                <w:rFonts w:ascii="Arial" w:cs="Arial" w:eastAsia="Arial" w:hAnsi="Arial"/>
                <w:sz w:val="13"/>
                <w:szCs w:val="13"/>
                <w:color w:val="auto"/>
              </w:rPr>
              <w:t>760,273</w:t>
            </w:r>
          </w:p>
        </w:tc>
        <w:tc>
          <w:tcPr>
            <w:tcW w:w="100" w:type="dxa"/>
            <w:vAlign w:val="bottom"/>
          </w:tcPr>
          <w:p>
            <w:pPr>
              <w:spacing w:after="0"/>
              <w:rPr>
                <w:sz w:val="15"/>
                <w:szCs w:val="15"/>
                <w:color w:val="auto"/>
              </w:rPr>
            </w:pPr>
          </w:p>
        </w:tc>
        <w:tc>
          <w:tcPr>
            <w:tcW w:w="1600" w:type="dxa"/>
            <w:vAlign w:val="bottom"/>
          </w:tcPr>
          <w:p>
            <w:pPr>
              <w:jc w:val="right"/>
              <w:spacing w:after="0"/>
              <w:rPr>
                <w:sz w:val="20"/>
                <w:szCs w:val="20"/>
                <w:color w:val="auto"/>
              </w:rPr>
            </w:pPr>
            <w:r>
              <w:rPr>
                <w:rFonts w:ascii="Arial" w:cs="Arial" w:eastAsia="Arial" w:hAnsi="Arial"/>
                <w:sz w:val="13"/>
                <w:szCs w:val="13"/>
                <w:color w:val="auto"/>
              </w:rPr>
              <w:t>760,273</w:t>
            </w:r>
          </w:p>
        </w:tc>
        <w:tc>
          <w:tcPr>
            <w:tcW w:w="100" w:type="dxa"/>
            <w:vAlign w:val="bottom"/>
          </w:tcPr>
          <w:p>
            <w:pPr>
              <w:spacing w:after="0"/>
              <w:rPr>
                <w:sz w:val="15"/>
                <w:szCs w:val="15"/>
                <w:color w:val="auto"/>
              </w:rPr>
            </w:pPr>
          </w:p>
        </w:tc>
        <w:tc>
          <w:tcPr>
            <w:tcW w:w="1200" w:type="dxa"/>
            <w:vAlign w:val="bottom"/>
          </w:tcPr>
          <w:p>
            <w:pPr>
              <w:jc w:val="right"/>
              <w:spacing w:after="0"/>
              <w:rPr>
                <w:sz w:val="20"/>
                <w:szCs w:val="20"/>
                <w:color w:val="auto"/>
              </w:rPr>
            </w:pPr>
            <w:r>
              <w:rPr>
                <w:rFonts w:ascii="Arial" w:cs="Arial" w:eastAsia="Arial" w:hAnsi="Arial"/>
                <w:sz w:val="13"/>
                <w:szCs w:val="13"/>
                <w:color w:val="auto"/>
              </w:rPr>
              <w:t>760,273</w:t>
            </w:r>
          </w:p>
        </w:tc>
        <w:tc>
          <w:tcPr>
            <w:tcW w:w="80" w:type="dxa"/>
            <w:vAlign w:val="bottom"/>
          </w:tcPr>
          <w:p>
            <w:pPr>
              <w:spacing w:after="0"/>
              <w:rPr>
                <w:sz w:val="15"/>
                <w:szCs w:val="15"/>
                <w:color w:val="auto"/>
              </w:rPr>
            </w:pPr>
          </w:p>
        </w:tc>
        <w:tc>
          <w:tcPr>
            <w:tcW w:w="130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200" w:type="dxa"/>
            <w:vAlign w:val="bottom"/>
          </w:tcPr>
          <w:p>
            <w:pPr>
              <w:jc w:val="right"/>
              <w:spacing w:after="0"/>
              <w:rPr>
                <w:sz w:val="20"/>
                <w:szCs w:val="20"/>
                <w:color w:val="auto"/>
              </w:rPr>
            </w:pPr>
            <w:r>
              <w:rPr>
                <w:rFonts w:ascii="Arial" w:cs="Arial" w:eastAsia="Arial" w:hAnsi="Arial"/>
                <w:sz w:val="13"/>
                <w:szCs w:val="13"/>
                <w:color w:val="auto"/>
              </w:rPr>
              <w:t>—</w:t>
            </w:r>
          </w:p>
        </w:tc>
      </w:tr>
      <w:tr>
        <w:trPr>
          <w:trHeight w:val="25"/>
        </w:trPr>
        <w:tc>
          <w:tcPr>
            <w:tcW w:w="42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185"/>
        </w:trPr>
        <w:tc>
          <w:tcPr>
            <w:tcW w:w="424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3"/>
                <w:szCs w:val="13"/>
                <w:color w:val="auto"/>
              </w:rPr>
              <w:t>Restricted cash – due to customers</w:t>
            </w:r>
          </w:p>
        </w:tc>
        <w:tc>
          <w:tcPr>
            <w:tcW w:w="300" w:type="dxa"/>
            <w:vAlign w:val="bottom"/>
            <w:tcBorders>
              <w:bottom w:val="single" w:sz="8" w:color="CCEEFF"/>
            </w:tcBorders>
            <w:shd w:val="clear" w:color="auto" w:fill="CCEEFF"/>
          </w:tcPr>
          <w:p>
            <w:pPr>
              <w:spacing w:after="0"/>
              <w:rPr>
                <w:sz w:val="16"/>
                <w:szCs w:val="16"/>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216,471</w:t>
            </w:r>
          </w:p>
        </w:tc>
        <w:tc>
          <w:tcPr>
            <w:tcW w:w="100" w:type="dxa"/>
            <w:vAlign w:val="bottom"/>
            <w:tcBorders>
              <w:bottom w:val="single" w:sz="8" w:color="CCEEFF"/>
            </w:tcBorders>
            <w:shd w:val="clear" w:color="auto" w:fill="CCEEFF"/>
          </w:tcPr>
          <w:p>
            <w:pPr>
              <w:spacing w:after="0"/>
              <w:rPr>
                <w:sz w:val="16"/>
                <w:szCs w:val="16"/>
                <w:color w:val="auto"/>
              </w:rPr>
            </w:pP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216,471</w:t>
            </w:r>
          </w:p>
        </w:tc>
        <w:tc>
          <w:tcPr>
            <w:tcW w:w="100" w:type="dxa"/>
            <w:vAlign w:val="bottom"/>
            <w:tcBorders>
              <w:bottom w:val="single" w:sz="8" w:color="CCEEFF"/>
            </w:tcBorders>
            <w:shd w:val="clear" w:color="auto" w:fill="CCEEFF"/>
          </w:tcPr>
          <w:p>
            <w:pPr>
              <w:spacing w:after="0"/>
              <w:rPr>
                <w:sz w:val="16"/>
                <w:szCs w:val="16"/>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216,471</w:t>
            </w:r>
          </w:p>
        </w:tc>
        <w:tc>
          <w:tcPr>
            <w:tcW w:w="80" w:type="dxa"/>
            <w:vAlign w:val="bottom"/>
            <w:tcBorders>
              <w:bottom w:val="single" w:sz="8" w:color="CCEEFF"/>
            </w:tcBorders>
            <w:shd w:val="clear" w:color="auto" w:fill="CCEEFF"/>
          </w:tcPr>
          <w:p>
            <w:pPr>
              <w:spacing w:after="0"/>
              <w:rPr>
                <w:sz w:val="16"/>
                <w:szCs w:val="16"/>
                <w:color w:val="auto"/>
              </w:rPr>
            </w:pPr>
          </w:p>
        </w:tc>
        <w:tc>
          <w:tcPr>
            <w:tcW w:w="130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w:t>
            </w:r>
          </w:p>
        </w:tc>
      </w:tr>
      <w:tr>
        <w:trPr>
          <w:trHeight w:val="180"/>
        </w:trPr>
        <w:tc>
          <w:tcPr>
            <w:tcW w:w="4240" w:type="dxa"/>
            <w:vAlign w:val="bottom"/>
          </w:tcPr>
          <w:p>
            <w:pPr>
              <w:ind w:left="100"/>
              <w:spacing w:after="0"/>
              <w:rPr>
                <w:sz w:val="20"/>
                <w:szCs w:val="20"/>
                <w:color w:val="auto"/>
              </w:rPr>
            </w:pPr>
            <w:r>
              <w:rPr>
                <w:rFonts w:ascii="Arial" w:cs="Arial" w:eastAsia="Arial" w:hAnsi="Arial"/>
                <w:sz w:val="13"/>
                <w:szCs w:val="13"/>
                <w:color w:val="auto"/>
              </w:rPr>
              <w:t>Accrued interest receivable</w:t>
            </w:r>
          </w:p>
        </w:tc>
        <w:tc>
          <w:tcPr>
            <w:tcW w:w="300" w:type="dxa"/>
            <w:vAlign w:val="bottom"/>
          </w:tcPr>
          <w:p>
            <w:pPr>
              <w:spacing w:after="0"/>
              <w:rPr>
                <w:sz w:val="15"/>
                <w:szCs w:val="15"/>
                <w:color w:val="auto"/>
              </w:rPr>
            </w:pPr>
          </w:p>
        </w:tc>
        <w:tc>
          <w:tcPr>
            <w:tcW w:w="1280" w:type="dxa"/>
            <w:vAlign w:val="bottom"/>
          </w:tcPr>
          <w:p>
            <w:pPr>
              <w:jc w:val="right"/>
              <w:spacing w:after="0"/>
              <w:rPr>
                <w:sz w:val="20"/>
                <w:szCs w:val="20"/>
                <w:color w:val="auto"/>
              </w:rPr>
            </w:pPr>
            <w:r>
              <w:rPr>
                <w:rFonts w:ascii="Arial" w:cs="Arial" w:eastAsia="Arial" w:hAnsi="Arial"/>
                <w:sz w:val="13"/>
                <w:szCs w:val="13"/>
                <w:color w:val="auto"/>
              </w:rPr>
              <w:t>715,838</w:t>
            </w:r>
          </w:p>
        </w:tc>
        <w:tc>
          <w:tcPr>
            <w:tcW w:w="100" w:type="dxa"/>
            <w:vAlign w:val="bottom"/>
          </w:tcPr>
          <w:p>
            <w:pPr>
              <w:spacing w:after="0"/>
              <w:rPr>
                <w:sz w:val="15"/>
                <w:szCs w:val="15"/>
                <w:color w:val="auto"/>
              </w:rPr>
            </w:pPr>
          </w:p>
        </w:tc>
        <w:tc>
          <w:tcPr>
            <w:tcW w:w="1600" w:type="dxa"/>
            <w:vAlign w:val="bottom"/>
          </w:tcPr>
          <w:p>
            <w:pPr>
              <w:jc w:val="right"/>
              <w:spacing w:after="0"/>
              <w:rPr>
                <w:sz w:val="20"/>
                <w:szCs w:val="20"/>
                <w:color w:val="auto"/>
              </w:rPr>
            </w:pPr>
            <w:r>
              <w:rPr>
                <w:rFonts w:ascii="Arial" w:cs="Arial" w:eastAsia="Arial" w:hAnsi="Arial"/>
                <w:sz w:val="13"/>
                <w:szCs w:val="13"/>
                <w:color w:val="auto"/>
              </w:rPr>
              <w:t>715,838</w:t>
            </w:r>
          </w:p>
        </w:tc>
        <w:tc>
          <w:tcPr>
            <w:tcW w:w="100" w:type="dxa"/>
            <w:vAlign w:val="bottom"/>
          </w:tcPr>
          <w:p>
            <w:pPr>
              <w:spacing w:after="0"/>
              <w:rPr>
                <w:sz w:val="15"/>
                <w:szCs w:val="15"/>
                <w:color w:val="auto"/>
              </w:rPr>
            </w:pPr>
          </w:p>
        </w:tc>
        <w:tc>
          <w:tcPr>
            <w:tcW w:w="128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200" w:type="dxa"/>
            <w:vAlign w:val="bottom"/>
          </w:tcPr>
          <w:p>
            <w:pPr>
              <w:jc w:val="right"/>
              <w:spacing w:after="0"/>
              <w:rPr>
                <w:sz w:val="20"/>
                <w:szCs w:val="20"/>
                <w:color w:val="auto"/>
              </w:rPr>
            </w:pPr>
            <w:r>
              <w:rPr>
                <w:rFonts w:ascii="Arial" w:cs="Arial" w:eastAsia="Arial" w:hAnsi="Arial"/>
                <w:sz w:val="13"/>
                <w:szCs w:val="13"/>
                <w:color w:val="auto"/>
              </w:rPr>
              <w:t>715,838</w:t>
            </w:r>
          </w:p>
        </w:tc>
        <w:tc>
          <w:tcPr>
            <w:tcW w:w="100" w:type="dxa"/>
            <w:vAlign w:val="bottom"/>
          </w:tcPr>
          <w:p>
            <w:pPr>
              <w:spacing w:after="0"/>
              <w:rPr>
                <w:sz w:val="15"/>
                <w:szCs w:val="15"/>
                <w:color w:val="auto"/>
              </w:rPr>
            </w:pPr>
          </w:p>
        </w:tc>
        <w:tc>
          <w:tcPr>
            <w:tcW w:w="1200" w:type="dxa"/>
            <w:vAlign w:val="bottom"/>
          </w:tcPr>
          <w:p>
            <w:pPr>
              <w:jc w:val="right"/>
              <w:spacing w:after="0"/>
              <w:rPr>
                <w:sz w:val="20"/>
                <w:szCs w:val="20"/>
                <w:color w:val="auto"/>
              </w:rPr>
            </w:pPr>
            <w:r>
              <w:rPr>
                <w:rFonts w:ascii="Arial" w:cs="Arial" w:eastAsia="Arial" w:hAnsi="Arial"/>
                <w:sz w:val="13"/>
                <w:szCs w:val="13"/>
                <w:color w:val="auto"/>
              </w:rPr>
              <w:t>—</w:t>
            </w:r>
          </w:p>
        </w:tc>
      </w:tr>
      <w:tr>
        <w:trPr>
          <w:trHeight w:val="25"/>
        </w:trPr>
        <w:tc>
          <w:tcPr>
            <w:tcW w:w="42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185"/>
        </w:trPr>
        <w:tc>
          <w:tcPr>
            <w:tcW w:w="424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3"/>
                <w:szCs w:val="13"/>
                <w:color w:val="auto"/>
              </w:rPr>
              <w:t>Derivative instruments</w:t>
            </w:r>
          </w:p>
        </w:tc>
        <w:tc>
          <w:tcPr>
            <w:tcW w:w="300" w:type="dxa"/>
            <w:vAlign w:val="bottom"/>
            <w:tcBorders>
              <w:bottom w:val="single" w:sz="8" w:color="CCEEFF"/>
            </w:tcBorders>
            <w:shd w:val="clear" w:color="auto" w:fill="CCEEFF"/>
          </w:tcPr>
          <w:p>
            <w:pPr>
              <w:spacing w:after="0"/>
              <w:rPr>
                <w:sz w:val="16"/>
                <w:szCs w:val="16"/>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168</w:t>
            </w:r>
          </w:p>
        </w:tc>
        <w:tc>
          <w:tcPr>
            <w:tcW w:w="100" w:type="dxa"/>
            <w:vAlign w:val="bottom"/>
            <w:tcBorders>
              <w:bottom w:val="single" w:sz="8" w:color="CCEEFF"/>
            </w:tcBorders>
            <w:shd w:val="clear" w:color="auto" w:fill="CCEEFF"/>
          </w:tcPr>
          <w:p>
            <w:pPr>
              <w:spacing w:after="0"/>
              <w:rPr>
                <w:sz w:val="16"/>
                <w:szCs w:val="16"/>
                <w:color w:val="auto"/>
              </w:rPr>
            </w:pP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168</w:t>
            </w:r>
          </w:p>
        </w:tc>
        <w:tc>
          <w:tcPr>
            <w:tcW w:w="100" w:type="dxa"/>
            <w:vAlign w:val="bottom"/>
            <w:tcBorders>
              <w:bottom w:val="single" w:sz="8" w:color="CCEEFF"/>
            </w:tcBorders>
            <w:shd w:val="clear" w:color="auto" w:fill="CCEEFF"/>
          </w:tcPr>
          <w:p>
            <w:pPr>
              <w:spacing w:after="0"/>
              <w:rPr>
                <w:sz w:val="16"/>
                <w:szCs w:val="16"/>
                <w:color w:val="auto"/>
              </w:rPr>
            </w:pPr>
          </w:p>
        </w:tc>
        <w:tc>
          <w:tcPr>
            <w:tcW w:w="128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168</w:t>
            </w:r>
          </w:p>
        </w:tc>
        <w:tc>
          <w:tcPr>
            <w:tcW w:w="100" w:type="dxa"/>
            <w:vAlign w:val="bottom"/>
            <w:tcBorders>
              <w:bottom w:val="single" w:sz="8" w:color="CCEEFF"/>
            </w:tcBorders>
            <w:shd w:val="clear" w:color="auto" w:fill="CCEEFF"/>
          </w:tcPr>
          <w:p>
            <w:pPr>
              <w:spacing w:after="0"/>
              <w:rPr>
                <w:sz w:val="16"/>
                <w:szCs w:val="16"/>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w:t>
            </w:r>
          </w:p>
        </w:tc>
      </w:tr>
      <w:tr>
        <w:trPr>
          <w:trHeight w:val="180"/>
        </w:trPr>
        <w:tc>
          <w:tcPr>
            <w:tcW w:w="4240" w:type="dxa"/>
            <w:vAlign w:val="bottom"/>
          </w:tcPr>
          <w:p>
            <w:pPr>
              <w:ind w:left="20"/>
              <w:spacing w:after="0"/>
              <w:rPr>
                <w:sz w:val="20"/>
                <w:szCs w:val="20"/>
                <w:color w:val="auto"/>
              </w:rPr>
            </w:pPr>
            <w:r>
              <w:rPr>
                <w:rFonts w:ascii="Arial" w:cs="Arial" w:eastAsia="Arial" w:hAnsi="Arial"/>
                <w:sz w:val="13"/>
                <w:szCs w:val="13"/>
                <w:color w:val="auto"/>
              </w:rPr>
              <w:t>Financial liabilities:</w:t>
            </w:r>
          </w:p>
        </w:tc>
        <w:tc>
          <w:tcPr>
            <w:tcW w:w="30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0" w:type="dxa"/>
            <w:vAlign w:val="bottom"/>
          </w:tcPr>
          <w:p>
            <w:pPr>
              <w:spacing w:after="0"/>
              <w:rPr>
                <w:sz w:val="15"/>
                <w:szCs w:val="15"/>
                <w:color w:val="auto"/>
              </w:rPr>
            </w:pPr>
          </w:p>
        </w:tc>
      </w:tr>
      <w:tr>
        <w:trPr>
          <w:trHeight w:val="25"/>
        </w:trPr>
        <w:tc>
          <w:tcPr>
            <w:tcW w:w="42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185"/>
        </w:trPr>
        <w:tc>
          <w:tcPr>
            <w:tcW w:w="424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3"/>
                <w:szCs w:val="13"/>
                <w:color w:val="auto"/>
              </w:rPr>
              <w:t>Bonds and notes payable</w:t>
            </w:r>
          </w:p>
        </w:tc>
        <w:tc>
          <w:tcPr>
            <w:tcW w:w="300" w:type="dxa"/>
            <w:vAlign w:val="bottom"/>
            <w:tcBorders>
              <w:bottom w:val="single" w:sz="8" w:color="CCEEFF"/>
            </w:tcBorders>
            <w:shd w:val="clear" w:color="auto" w:fill="CCEEFF"/>
          </w:tcPr>
          <w:p>
            <w:pPr>
              <w:spacing w:after="0"/>
              <w:rPr>
                <w:sz w:val="16"/>
                <w:szCs w:val="16"/>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21,939,779</w:t>
            </w:r>
          </w:p>
        </w:tc>
        <w:tc>
          <w:tcPr>
            <w:tcW w:w="100" w:type="dxa"/>
            <w:vAlign w:val="bottom"/>
            <w:tcBorders>
              <w:bottom w:val="single" w:sz="8" w:color="CCEEFF"/>
            </w:tcBorders>
            <w:shd w:val="clear" w:color="auto" w:fill="CCEEFF"/>
          </w:tcPr>
          <w:p>
            <w:pPr>
              <w:spacing w:after="0"/>
              <w:rPr>
                <w:sz w:val="16"/>
                <w:szCs w:val="16"/>
                <w:color w:val="auto"/>
              </w:rPr>
            </w:pP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21,835,723</w:t>
            </w:r>
          </w:p>
        </w:tc>
        <w:tc>
          <w:tcPr>
            <w:tcW w:w="100" w:type="dxa"/>
            <w:vAlign w:val="bottom"/>
            <w:tcBorders>
              <w:bottom w:val="single" w:sz="8" w:color="CCEEFF"/>
            </w:tcBorders>
            <w:shd w:val="clear" w:color="auto" w:fill="CCEEFF"/>
          </w:tcPr>
          <w:p>
            <w:pPr>
              <w:spacing w:after="0"/>
              <w:rPr>
                <w:sz w:val="16"/>
                <w:szCs w:val="16"/>
                <w:color w:val="auto"/>
              </w:rPr>
            </w:pPr>
          </w:p>
        </w:tc>
        <w:tc>
          <w:tcPr>
            <w:tcW w:w="128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21,939,779</w:t>
            </w:r>
          </w:p>
        </w:tc>
        <w:tc>
          <w:tcPr>
            <w:tcW w:w="100" w:type="dxa"/>
            <w:vAlign w:val="bottom"/>
            <w:tcBorders>
              <w:bottom w:val="single" w:sz="8" w:color="CCEEFF"/>
            </w:tcBorders>
            <w:shd w:val="clear" w:color="auto" w:fill="CCEEFF"/>
          </w:tcPr>
          <w:p>
            <w:pPr>
              <w:spacing w:after="0"/>
              <w:rPr>
                <w:sz w:val="16"/>
                <w:szCs w:val="16"/>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w:t>
            </w:r>
          </w:p>
        </w:tc>
      </w:tr>
      <w:tr>
        <w:trPr>
          <w:trHeight w:val="180"/>
        </w:trPr>
        <w:tc>
          <w:tcPr>
            <w:tcW w:w="4240" w:type="dxa"/>
            <w:vAlign w:val="bottom"/>
          </w:tcPr>
          <w:p>
            <w:pPr>
              <w:ind w:left="100"/>
              <w:spacing w:after="0"/>
              <w:rPr>
                <w:sz w:val="20"/>
                <w:szCs w:val="20"/>
                <w:color w:val="auto"/>
              </w:rPr>
            </w:pPr>
            <w:r>
              <w:rPr>
                <w:rFonts w:ascii="Arial" w:cs="Arial" w:eastAsia="Arial" w:hAnsi="Arial"/>
                <w:sz w:val="13"/>
                <w:szCs w:val="13"/>
                <w:color w:val="auto"/>
              </w:rPr>
              <w:t>Accrued interest payable</w:t>
            </w:r>
          </w:p>
        </w:tc>
        <w:tc>
          <w:tcPr>
            <w:tcW w:w="300" w:type="dxa"/>
            <w:vAlign w:val="bottom"/>
          </w:tcPr>
          <w:p>
            <w:pPr>
              <w:spacing w:after="0"/>
              <w:rPr>
                <w:sz w:val="15"/>
                <w:szCs w:val="15"/>
                <w:color w:val="auto"/>
              </w:rPr>
            </w:pPr>
          </w:p>
        </w:tc>
        <w:tc>
          <w:tcPr>
            <w:tcW w:w="1280" w:type="dxa"/>
            <w:vAlign w:val="bottom"/>
          </w:tcPr>
          <w:p>
            <w:pPr>
              <w:jc w:val="right"/>
              <w:spacing w:after="0"/>
              <w:rPr>
                <w:sz w:val="20"/>
                <w:szCs w:val="20"/>
                <w:color w:val="auto"/>
              </w:rPr>
            </w:pPr>
            <w:r>
              <w:rPr>
                <w:rFonts w:ascii="Arial" w:cs="Arial" w:eastAsia="Arial" w:hAnsi="Arial"/>
                <w:sz w:val="13"/>
                <w:szCs w:val="13"/>
                <w:color w:val="auto"/>
              </w:rPr>
              <w:t>62,158</w:t>
            </w:r>
          </w:p>
        </w:tc>
        <w:tc>
          <w:tcPr>
            <w:tcW w:w="100" w:type="dxa"/>
            <w:vAlign w:val="bottom"/>
          </w:tcPr>
          <w:p>
            <w:pPr>
              <w:spacing w:after="0"/>
              <w:rPr>
                <w:sz w:val="15"/>
                <w:szCs w:val="15"/>
                <w:color w:val="auto"/>
              </w:rPr>
            </w:pPr>
          </w:p>
        </w:tc>
        <w:tc>
          <w:tcPr>
            <w:tcW w:w="1600" w:type="dxa"/>
            <w:vAlign w:val="bottom"/>
          </w:tcPr>
          <w:p>
            <w:pPr>
              <w:jc w:val="right"/>
              <w:spacing w:after="0"/>
              <w:rPr>
                <w:sz w:val="20"/>
                <w:szCs w:val="20"/>
                <w:color w:val="auto"/>
              </w:rPr>
            </w:pPr>
            <w:r>
              <w:rPr>
                <w:rFonts w:ascii="Arial" w:cs="Arial" w:eastAsia="Arial" w:hAnsi="Arial"/>
                <w:sz w:val="13"/>
                <w:szCs w:val="13"/>
                <w:color w:val="auto"/>
              </w:rPr>
              <w:t>62,158</w:t>
            </w:r>
          </w:p>
        </w:tc>
        <w:tc>
          <w:tcPr>
            <w:tcW w:w="100" w:type="dxa"/>
            <w:vAlign w:val="bottom"/>
          </w:tcPr>
          <w:p>
            <w:pPr>
              <w:spacing w:after="0"/>
              <w:rPr>
                <w:sz w:val="15"/>
                <w:szCs w:val="15"/>
                <w:color w:val="auto"/>
              </w:rPr>
            </w:pPr>
          </w:p>
        </w:tc>
        <w:tc>
          <w:tcPr>
            <w:tcW w:w="128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200" w:type="dxa"/>
            <w:vAlign w:val="bottom"/>
          </w:tcPr>
          <w:p>
            <w:pPr>
              <w:jc w:val="right"/>
              <w:spacing w:after="0"/>
              <w:rPr>
                <w:sz w:val="20"/>
                <w:szCs w:val="20"/>
                <w:color w:val="auto"/>
              </w:rPr>
            </w:pPr>
            <w:r>
              <w:rPr>
                <w:rFonts w:ascii="Arial" w:cs="Arial" w:eastAsia="Arial" w:hAnsi="Arial"/>
                <w:sz w:val="13"/>
                <w:szCs w:val="13"/>
                <w:color w:val="auto"/>
              </w:rPr>
              <w:t>62,158</w:t>
            </w:r>
          </w:p>
        </w:tc>
        <w:tc>
          <w:tcPr>
            <w:tcW w:w="100" w:type="dxa"/>
            <w:vAlign w:val="bottom"/>
          </w:tcPr>
          <w:p>
            <w:pPr>
              <w:spacing w:after="0"/>
              <w:rPr>
                <w:sz w:val="15"/>
                <w:szCs w:val="15"/>
                <w:color w:val="auto"/>
              </w:rPr>
            </w:pPr>
          </w:p>
        </w:tc>
        <w:tc>
          <w:tcPr>
            <w:tcW w:w="1200" w:type="dxa"/>
            <w:vAlign w:val="bottom"/>
          </w:tcPr>
          <w:p>
            <w:pPr>
              <w:jc w:val="right"/>
              <w:spacing w:after="0"/>
              <w:rPr>
                <w:sz w:val="20"/>
                <w:szCs w:val="20"/>
                <w:color w:val="auto"/>
              </w:rPr>
            </w:pPr>
            <w:r>
              <w:rPr>
                <w:rFonts w:ascii="Arial" w:cs="Arial" w:eastAsia="Arial" w:hAnsi="Arial"/>
                <w:sz w:val="13"/>
                <w:szCs w:val="13"/>
                <w:color w:val="auto"/>
              </w:rPr>
              <w:t>—</w:t>
            </w:r>
          </w:p>
        </w:tc>
      </w:tr>
      <w:tr>
        <w:trPr>
          <w:trHeight w:val="25"/>
        </w:trPr>
        <w:tc>
          <w:tcPr>
            <w:tcW w:w="42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180"/>
        </w:trPr>
        <w:tc>
          <w:tcPr>
            <w:tcW w:w="4240" w:type="dxa"/>
            <w:vAlign w:val="bottom"/>
            <w:shd w:val="clear" w:color="auto" w:fill="CCEEFF"/>
          </w:tcPr>
          <w:p>
            <w:pPr>
              <w:ind w:left="100"/>
              <w:spacing w:after="0"/>
              <w:rPr>
                <w:sz w:val="20"/>
                <w:szCs w:val="20"/>
                <w:color w:val="auto"/>
              </w:rPr>
            </w:pPr>
            <w:r>
              <w:rPr>
                <w:rFonts w:ascii="Arial" w:cs="Arial" w:eastAsia="Arial" w:hAnsi="Arial"/>
                <w:sz w:val="13"/>
                <w:szCs w:val="13"/>
                <w:color w:val="auto"/>
              </w:rPr>
              <w:t>Due to customers</w:t>
            </w:r>
          </w:p>
        </w:tc>
        <w:tc>
          <w:tcPr>
            <w:tcW w:w="300" w:type="dxa"/>
            <w:vAlign w:val="bottom"/>
            <w:shd w:val="clear" w:color="auto" w:fill="CCEEFF"/>
          </w:tcPr>
          <w:p>
            <w:pPr>
              <w:spacing w:after="0"/>
              <w:rPr>
                <w:sz w:val="15"/>
                <w:szCs w:val="15"/>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216,471</w:t>
            </w:r>
          </w:p>
        </w:tc>
        <w:tc>
          <w:tcPr>
            <w:tcW w:w="100" w:type="dxa"/>
            <w:vAlign w:val="bottom"/>
            <w:shd w:val="clear" w:color="auto" w:fill="CCEEFF"/>
          </w:tcPr>
          <w:p>
            <w:pPr>
              <w:spacing w:after="0"/>
              <w:rPr>
                <w:sz w:val="15"/>
                <w:szCs w:val="15"/>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216,471</w:t>
            </w:r>
          </w:p>
        </w:tc>
        <w:tc>
          <w:tcPr>
            <w:tcW w:w="100" w:type="dxa"/>
            <w:vAlign w:val="bottom"/>
            <w:shd w:val="clear" w:color="auto" w:fill="CCEEFF"/>
          </w:tcPr>
          <w:p>
            <w:pPr>
              <w:spacing w:after="0"/>
              <w:rPr>
                <w:sz w:val="15"/>
                <w:szCs w:val="15"/>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216,471</w:t>
            </w:r>
          </w:p>
        </w:tc>
        <w:tc>
          <w:tcPr>
            <w:tcW w:w="80" w:type="dxa"/>
            <w:vAlign w:val="bottom"/>
            <w:shd w:val="clear" w:color="auto" w:fill="CCEEFF"/>
          </w:tcPr>
          <w:p>
            <w:pPr>
              <w:spacing w:after="0"/>
              <w:rPr>
                <w:sz w:val="15"/>
                <w:szCs w:val="15"/>
                <w:color w:val="auto"/>
              </w:rPr>
            </w:pPr>
          </w:p>
        </w:tc>
        <w:tc>
          <w:tcPr>
            <w:tcW w:w="13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r>
      <w:tr>
        <w:trPr>
          <w:trHeight w:val="25"/>
        </w:trPr>
        <w:tc>
          <w:tcPr>
            <w:tcW w:w="4240" w:type="dxa"/>
            <w:vAlign w:val="bottom"/>
            <w:shd w:val="clear" w:color="auto" w:fill="CCEEFF"/>
          </w:tcPr>
          <w:p>
            <w:pPr>
              <w:spacing w:after="0"/>
              <w:rPr>
                <w:sz w:val="2"/>
                <w:szCs w:val="2"/>
                <w:color w:val="auto"/>
              </w:rPr>
            </w:pPr>
          </w:p>
        </w:tc>
        <w:tc>
          <w:tcPr>
            <w:tcW w:w="300" w:type="dxa"/>
            <w:vAlign w:val="bottom"/>
            <w:shd w:val="clear" w:color="auto" w:fill="CCEEFF"/>
          </w:tcPr>
          <w:p>
            <w:pPr>
              <w:spacing w:after="0"/>
              <w:rPr>
                <w:sz w:val="2"/>
                <w:szCs w:val="2"/>
                <w:color w:val="auto"/>
              </w:rPr>
            </w:pPr>
          </w:p>
        </w:tc>
        <w:tc>
          <w:tcPr>
            <w:tcW w:w="12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6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20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12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200" w:type="dxa"/>
            <w:vAlign w:val="bottom"/>
            <w:shd w:val="clear" w:color="auto" w:fill="CCEEFF"/>
          </w:tcPr>
          <w:p>
            <w:pPr>
              <w:spacing w:after="0"/>
              <w:rPr>
                <w:sz w:val="2"/>
                <w:szCs w:val="2"/>
                <w:color w:val="auto"/>
              </w:rPr>
            </w:pPr>
          </w:p>
        </w:tc>
      </w:tr>
    </w:tbl>
    <w:p>
      <w:pPr>
        <w:spacing w:after="0" w:line="353" w:lineRule="exact"/>
        <w:rPr>
          <w:sz w:val="20"/>
          <w:szCs w:val="20"/>
          <w:color w:val="auto"/>
        </w:rPr>
      </w:pPr>
    </w:p>
    <w:tbl>
      <w:tblPr>
        <w:tblLayout w:type="fixed"/>
        <w:tblInd w:w="0" w:type="dxa"/>
        <w:tblCellMar>
          <w:top w:w="0" w:type="dxa"/>
          <w:left w:w="0" w:type="dxa"/>
          <w:bottom w:w="0" w:type="dxa"/>
          <w:right w:w="0" w:type="dxa"/>
        </w:tblCellMar>
      </w:tblPr>
      <w:tr>
        <w:trPr>
          <w:trHeight w:val="172"/>
        </w:trPr>
        <w:tc>
          <w:tcPr>
            <w:tcW w:w="42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980" w:type="dxa"/>
            <w:vAlign w:val="bottom"/>
            <w:gridSpan w:val="4"/>
          </w:tcPr>
          <w:p>
            <w:pPr>
              <w:ind w:left="1200"/>
              <w:spacing w:after="0"/>
              <w:rPr>
                <w:sz w:val="20"/>
                <w:szCs w:val="20"/>
                <w:color w:val="auto"/>
              </w:rPr>
            </w:pPr>
            <w:r>
              <w:rPr>
                <w:rFonts w:ascii="Arial" w:cs="Arial" w:eastAsia="Arial" w:hAnsi="Arial"/>
                <w:sz w:val="13"/>
                <w:szCs w:val="13"/>
                <w:b w:val="1"/>
                <w:bCs w:val="1"/>
                <w:color w:val="auto"/>
              </w:rPr>
              <w:t>As of December 31, 2018</w:t>
            </w:r>
          </w:p>
        </w:tc>
        <w:tc>
          <w:tcPr>
            <w:tcW w:w="1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0" w:type="dxa"/>
            <w:vAlign w:val="bottom"/>
          </w:tcPr>
          <w:p>
            <w:pPr>
              <w:spacing w:after="0"/>
              <w:rPr>
                <w:sz w:val="14"/>
                <w:szCs w:val="14"/>
                <w:color w:val="auto"/>
              </w:rPr>
            </w:pPr>
          </w:p>
        </w:tc>
      </w:tr>
      <w:tr>
        <w:trPr>
          <w:trHeight w:val="25"/>
        </w:trPr>
        <w:tc>
          <w:tcPr>
            <w:tcW w:w="424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gridSpan w:val="2"/>
          </w:tcPr>
          <w:p>
            <w:pPr>
              <w:spacing w:after="0"/>
              <w:rPr>
                <w:sz w:val="2"/>
                <w:szCs w:val="2"/>
                <w:color w:val="auto"/>
              </w:rPr>
            </w:pPr>
          </w:p>
        </w:tc>
        <w:tc>
          <w:tcPr>
            <w:tcW w:w="1700" w:type="dxa"/>
            <w:vAlign w:val="bottom"/>
            <w:tcBorders>
              <w:bottom w:val="single" w:sz="8" w:color="auto"/>
            </w:tcBorders>
            <w:gridSpan w:val="2"/>
          </w:tcPr>
          <w:p>
            <w:pPr>
              <w:spacing w:after="0"/>
              <w:rPr>
                <w:sz w:val="2"/>
                <w:szCs w:val="2"/>
                <w:color w:val="auto"/>
              </w:rPr>
            </w:pPr>
          </w:p>
        </w:tc>
        <w:tc>
          <w:tcPr>
            <w:tcW w:w="1280" w:type="dxa"/>
            <w:vAlign w:val="bottom"/>
            <w:tcBorders>
              <w:bottom w:val="single" w:sz="8" w:color="auto"/>
            </w:tcBorders>
            <w:gridSpan w:val="2"/>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171"/>
        </w:trPr>
        <w:tc>
          <w:tcPr>
            <w:tcW w:w="42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380" w:type="dxa"/>
            <w:vAlign w:val="bottom"/>
            <w:gridSpan w:val="2"/>
          </w:tcPr>
          <w:p>
            <w:pPr>
              <w:ind w:left="200"/>
              <w:spacing w:after="0"/>
              <w:rPr>
                <w:sz w:val="20"/>
                <w:szCs w:val="20"/>
                <w:color w:val="auto"/>
              </w:rPr>
            </w:pPr>
            <w:r>
              <w:rPr>
                <w:rFonts w:ascii="Arial" w:cs="Arial" w:eastAsia="Arial" w:hAnsi="Arial"/>
                <w:sz w:val="13"/>
                <w:szCs w:val="13"/>
                <w:b w:val="1"/>
                <w:bCs w:val="1"/>
                <w:color w:val="auto"/>
              </w:rPr>
              <w:t>Fair value</w:t>
            </w:r>
          </w:p>
        </w:tc>
        <w:tc>
          <w:tcPr>
            <w:tcW w:w="1700" w:type="dxa"/>
            <w:vAlign w:val="bottom"/>
            <w:gridSpan w:val="2"/>
          </w:tcPr>
          <w:p>
            <w:pPr>
              <w:ind w:left="380"/>
              <w:spacing w:after="0"/>
              <w:rPr>
                <w:sz w:val="20"/>
                <w:szCs w:val="20"/>
                <w:color w:val="auto"/>
              </w:rPr>
            </w:pPr>
            <w:r>
              <w:rPr>
                <w:rFonts w:ascii="Arial" w:cs="Arial" w:eastAsia="Arial" w:hAnsi="Arial"/>
                <w:sz w:val="13"/>
                <w:szCs w:val="13"/>
                <w:b w:val="1"/>
                <w:bCs w:val="1"/>
                <w:color w:val="auto"/>
              </w:rPr>
              <w:t>Carrying value</w:t>
            </w:r>
          </w:p>
        </w:tc>
        <w:tc>
          <w:tcPr>
            <w:tcW w:w="1280" w:type="dxa"/>
            <w:vAlign w:val="bottom"/>
            <w:gridSpan w:val="2"/>
          </w:tcPr>
          <w:p>
            <w:pPr>
              <w:ind w:left="380"/>
              <w:spacing w:after="0"/>
              <w:rPr>
                <w:sz w:val="20"/>
                <w:szCs w:val="20"/>
                <w:color w:val="auto"/>
              </w:rPr>
            </w:pPr>
            <w:r>
              <w:rPr>
                <w:rFonts w:ascii="Arial" w:cs="Arial" w:eastAsia="Arial" w:hAnsi="Arial"/>
                <w:sz w:val="13"/>
                <w:szCs w:val="13"/>
                <w:b w:val="1"/>
                <w:bCs w:val="1"/>
                <w:color w:val="auto"/>
              </w:rPr>
              <w:t>Level 1</w:t>
            </w:r>
          </w:p>
        </w:tc>
        <w:tc>
          <w:tcPr>
            <w:tcW w:w="1300" w:type="dxa"/>
            <w:vAlign w:val="bottom"/>
            <w:gridSpan w:val="2"/>
          </w:tcPr>
          <w:p>
            <w:pPr>
              <w:ind w:left="400"/>
              <w:spacing w:after="0"/>
              <w:rPr>
                <w:sz w:val="20"/>
                <w:szCs w:val="20"/>
                <w:color w:val="auto"/>
              </w:rPr>
            </w:pPr>
            <w:r>
              <w:rPr>
                <w:rFonts w:ascii="Arial" w:cs="Arial" w:eastAsia="Arial" w:hAnsi="Arial"/>
                <w:sz w:val="13"/>
                <w:szCs w:val="13"/>
                <w:b w:val="1"/>
                <w:bCs w:val="1"/>
                <w:color w:val="auto"/>
              </w:rPr>
              <w:t>Level 2</w:t>
            </w:r>
          </w:p>
        </w:tc>
        <w:tc>
          <w:tcPr>
            <w:tcW w:w="1200" w:type="dxa"/>
            <w:vAlign w:val="bottom"/>
          </w:tcPr>
          <w:p>
            <w:pPr>
              <w:jc w:val="right"/>
              <w:ind w:right="334"/>
              <w:spacing w:after="0"/>
              <w:rPr>
                <w:sz w:val="20"/>
                <w:szCs w:val="20"/>
                <w:color w:val="auto"/>
              </w:rPr>
            </w:pPr>
            <w:r>
              <w:rPr>
                <w:rFonts w:ascii="Arial" w:cs="Arial" w:eastAsia="Arial" w:hAnsi="Arial"/>
                <w:sz w:val="13"/>
                <w:szCs w:val="13"/>
                <w:b w:val="1"/>
                <w:bCs w:val="1"/>
                <w:color w:val="auto"/>
              </w:rPr>
              <w:t>Level 3</w:t>
            </w:r>
          </w:p>
        </w:tc>
      </w:tr>
      <w:tr>
        <w:trPr>
          <w:trHeight w:val="25"/>
        </w:trPr>
        <w:tc>
          <w:tcPr>
            <w:tcW w:w="424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176"/>
        </w:trPr>
        <w:tc>
          <w:tcPr>
            <w:tcW w:w="4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Financial assets:</w:t>
            </w:r>
          </w:p>
        </w:tc>
        <w:tc>
          <w:tcPr>
            <w:tcW w:w="300" w:type="dxa"/>
            <w:vAlign w:val="bottom"/>
            <w:tcBorders>
              <w:bottom w:val="single" w:sz="8" w:color="CCEEFF"/>
            </w:tcBorders>
            <w:shd w:val="clear" w:color="auto" w:fill="CCEEFF"/>
          </w:tcPr>
          <w:p>
            <w:pPr>
              <w:spacing w:after="0"/>
              <w:rPr>
                <w:sz w:val="15"/>
                <w:szCs w:val="15"/>
                <w:color w:val="auto"/>
              </w:rPr>
            </w:pPr>
          </w:p>
        </w:tc>
        <w:tc>
          <w:tcPr>
            <w:tcW w:w="128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60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200" w:type="dxa"/>
            <w:vAlign w:val="bottom"/>
            <w:tcBorders>
              <w:bottom w:val="single" w:sz="8" w:color="CCEEFF"/>
            </w:tcBorders>
            <w:shd w:val="clear" w:color="auto" w:fill="CCEEFF"/>
          </w:tcPr>
          <w:p>
            <w:pPr>
              <w:spacing w:after="0"/>
              <w:rPr>
                <w:sz w:val="15"/>
                <w:szCs w:val="15"/>
                <w:color w:val="auto"/>
              </w:rPr>
            </w:pPr>
          </w:p>
        </w:tc>
        <w:tc>
          <w:tcPr>
            <w:tcW w:w="80" w:type="dxa"/>
            <w:vAlign w:val="bottom"/>
            <w:tcBorders>
              <w:bottom w:val="single" w:sz="8" w:color="CCEEFF"/>
            </w:tcBorders>
            <w:shd w:val="clear" w:color="auto" w:fill="CCEEFF"/>
          </w:tcPr>
          <w:p>
            <w:pPr>
              <w:spacing w:after="0"/>
              <w:rPr>
                <w:sz w:val="15"/>
                <w:szCs w:val="15"/>
                <w:color w:val="auto"/>
              </w:rPr>
            </w:pPr>
          </w:p>
        </w:tc>
        <w:tc>
          <w:tcPr>
            <w:tcW w:w="120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200" w:type="dxa"/>
            <w:vAlign w:val="bottom"/>
            <w:tcBorders>
              <w:bottom w:val="single" w:sz="8" w:color="CCEEFF"/>
            </w:tcBorders>
            <w:shd w:val="clear" w:color="auto" w:fill="CCEEFF"/>
          </w:tcPr>
          <w:p>
            <w:pPr>
              <w:spacing w:after="0"/>
              <w:rPr>
                <w:sz w:val="15"/>
                <w:szCs w:val="15"/>
                <w:color w:val="auto"/>
              </w:rPr>
            </w:pPr>
          </w:p>
        </w:tc>
      </w:tr>
      <w:tr>
        <w:trPr>
          <w:trHeight w:val="180"/>
        </w:trPr>
        <w:tc>
          <w:tcPr>
            <w:tcW w:w="4240" w:type="dxa"/>
            <w:vAlign w:val="bottom"/>
          </w:tcPr>
          <w:p>
            <w:pPr>
              <w:ind w:left="100"/>
              <w:spacing w:after="0"/>
              <w:rPr>
                <w:sz w:val="20"/>
                <w:szCs w:val="20"/>
                <w:color w:val="auto"/>
              </w:rPr>
            </w:pPr>
            <w:r>
              <w:rPr>
                <w:rFonts w:ascii="Arial" w:cs="Arial" w:eastAsia="Arial" w:hAnsi="Arial"/>
                <w:sz w:val="13"/>
                <w:szCs w:val="13"/>
                <w:color w:val="auto"/>
              </w:rPr>
              <w:t>Loans receivable</w:t>
            </w:r>
          </w:p>
        </w:tc>
        <w:tc>
          <w:tcPr>
            <w:tcW w:w="300" w:type="dxa"/>
            <w:vAlign w:val="bottom"/>
          </w:tcPr>
          <w:p>
            <w:pPr>
              <w:jc w:val="right"/>
              <w:ind w:right="154"/>
              <w:spacing w:after="0"/>
              <w:rPr>
                <w:sz w:val="20"/>
                <w:szCs w:val="20"/>
                <w:color w:val="auto"/>
              </w:rPr>
            </w:pPr>
            <w:r>
              <w:rPr>
                <w:rFonts w:ascii="Arial" w:cs="Arial" w:eastAsia="Arial" w:hAnsi="Arial"/>
                <w:sz w:val="13"/>
                <w:szCs w:val="13"/>
                <w:color w:val="auto"/>
                <w:w w:val="82"/>
              </w:rPr>
              <w:t>$</w:t>
            </w:r>
          </w:p>
        </w:tc>
        <w:tc>
          <w:tcPr>
            <w:tcW w:w="1280" w:type="dxa"/>
            <w:vAlign w:val="bottom"/>
          </w:tcPr>
          <w:p>
            <w:pPr>
              <w:jc w:val="right"/>
              <w:spacing w:after="0"/>
              <w:rPr>
                <w:sz w:val="20"/>
                <w:szCs w:val="20"/>
                <w:color w:val="auto"/>
              </w:rPr>
            </w:pPr>
            <w:r>
              <w:rPr>
                <w:rFonts w:ascii="Arial" w:cs="Arial" w:eastAsia="Arial" w:hAnsi="Arial"/>
                <w:sz w:val="13"/>
                <w:szCs w:val="13"/>
                <w:color w:val="auto"/>
              </w:rPr>
              <w:t>23,521,171</w:t>
            </w:r>
          </w:p>
        </w:tc>
        <w:tc>
          <w:tcPr>
            <w:tcW w:w="100" w:type="dxa"/>
            <w:vAlign w:val="bottom"/>
          </w:tcPr>
          <w:p>
            <w:pPr>
              <w:spacing w:after="0"/>
              <w:rPr>
                <w:sz w:val="15"/>
                <w:szCs w:val="15"/>
                <w:color w:val="auto"/>
              </w:rPr>
            </w:pPr>
          </w:p>
        </w:tc>
        <w:tc>
          <w:tcPr>
            <w:tcW w:w="1600" w:type="dxa"/>
            <w:vAlign w:val="bottom"/>
          </w:tcPr>
          <w:p>
            <w:pPr>
              <w:jc w:val="right"/>
              <w:spacing w:after="0"/>
              <w:rPr>
                <w:sz w:val="20"/>
                <w:szCs w:val="20"/>
                <w:color w:val="auto"/>
              </w:rPr>
            </w:pPr>
            <w:r>
              <w:rPr>
                <w:rFonts w:ascii="Arial" w:cs="Arial" w:eastAsia="Arial" w:hAnsi="Arial"/>
                <w:sz w:val="13"/>
                <w:szCs w:val="13"/>
                <w:color w:val="auto"/>
              </w:rPr>
              <w:t>22,377,142</w:t>
            </w:r>
          </w:p>
        </w:tc>
        <w:tc>
          <w:tcPr>
            <w:tcW w:w="100" w:type="dxa"/>
            <w:vAlign w:val="bottom"/>
          </w:tcPr>
          <w:p>
            <w:pPr>
              <w:spacing w:after="0"/>
              <w:rPr>
                <w:sz w:val="15"/>
                <w:szCs w:val="15"/>
                <w:color w:val="auto"/>
              </w:rPr>
            </w:pPr>
          </w:p>
        </w:tc>
        <w:tc>
          <w:tcPr>
            <w:tcW w:w="128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30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200" w:type="dxa"/>
            <w:vAlign w:val="bottom"/>
          </w:tcPr>
          <w:p>
            <w:pPr>
              <w:jc w:val="right"/>
              <w:spacing w:after="0"/>
              <w:rPr>
                <w:sz w:val="20"/>
                <w:szCs w:val="20"/>
                <w:color w:val="auto"/>
              </w:rPr>
            </w:pPr>
            <w:r>
              <w:rPr>
                <w:rFonts w:ascii="Arial" w:cs="Arial" w:eastAsia="Arial" w:hAnsi="Arial"/>
                <w:sz w:val="13"/>
                <w:szCs w:val="13"/>
                <w:color w:val="auto"/>
              </w:rPr>
              <w:t>23,521,171</w:t>
            </w:r>
          </w:p>
        </w:tc>
      </w:tr>
      <w:tr>
        <w:trPr>
          <w:trHeight w:val="25"/>
        </w:trPr>
        <w:tc>
          <w:tcPr>
            <w:tcW w:w="42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185"/>
        </w:trPr>
        <w:tc>
          <w:tcPr>
            <w:tcW w:w="424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3"/>
                <w:szCs w:val="13"/>
                <w:color w:val="auto"/>
              </w:rPr>
              <w:t>Cash and cash equivalents</w:t>
            </w:r>
          </w:p>
        </w:tc>
        <w:tc>
          <w:tcPr>
            <w:tcW w:w="300" w:type="dxa"/>
            <w:vAlign w:val="bottom"/>
            <w:tcBorders>
              <w:bottom w:val="single" w:sz="8" w:color="CCEEFF"/>
            </w:tcBorders>
            <w:shd w:val="clear" w:color="auto" w:fill="CCEEFF"/>
          </w:tcPr>
          <w:p>
            <w:pPr>
              <w:spacing w:after="0"/>
              <w:rPr>
                <w:sz w:val="16"/>
                <w:szCs w:val="16"/>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121,347</w:t>
            </w:r>
          </w:p>
        </w:tc>
        <w:tc>
          <w:tcPr>
            <w:tcW w:w="100" w:type="dxa"/>
            <w:vAlign w:val="bottom"/>
            <w:tcBorders>
              <w:bottom w:val="single" w:sz="8" w:color="CCEEFF"/>
            </w:tcBorders>
            <w:shd w:val="clear" w:color="auto" w:fill="CCEEFF"/>
          </w:tcPr>
          <w:p>
            <w:pPr>
              <w:spacing w:after="0"/>
              <w:rPr>
                <w:sz w:val="16"/>
                <w:szCs w:val="16"/>
                <w:color w:val="auto"/>
              </w:rPr>
            </w:pP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121,347</w:t>
            </w:r>
          </w:p>
        </w:tc>
        <w:tc>
          <w:tcPr>
            <w:tcW w:w="100" w:type="dxa"/>
            <w:vAlign w:val="bottom"/>
            <w:tcBorders>
              <w:bottom w:val="single" w:sz="8" w:color="CCEEFF"/>
            </w:tcBorders>
            <w:shd w:val="clear" w:color="auto" w:fill="CCEEFF"/>
          </w:tcPr>
          <w:p>
            <w:pPr>
              <w:spacing w:after="0"/>
              <w:rPr>
                <w:sz w:val="16"/>
                <w:szCs w:val="16"/>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121,347</w:t>
            </w:r>
          </w:p>
        </w:tc>
        <w:tc>
          <w:tcPr>
            <w:tcW w:w="80" w:type="dxa"/>
            <w:vAlign w:val="bottom"/>
            <w:tcBorders>
              <w:bottom w:val="single" w:sz="8" w:color="CCEEFF"/>
            </w:tcBorders>
            <w:shd w:val="clear" w:color="auto" w:fill="CCEEFF"/>
          </w:tcPr>
          <w:p>
            <w:pPr>
              <w:spacing w:after="0"/>
              <w:rPr>
                <w:sz w:val="16"/>
                <w:szCs w:val="16"/>
                <w:color w:val="auto"/>
              </w:rPr>
            </w:pPr>
          </w:p>
        </w:tc>
        <w:tc>
          <w:tcPr>
            <w:tcW w:w="130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w:t>
            </w:r>
          </w:p>
        </w:tc>
      </w:tr>
      <w:tr>
        <w:trPr>
          <w:trHeight w:val="180"/>
        </w:trPr>
        <w:tc>
          <w:tcPr>
            <w:tcW w:w="4240" w:type="dxa"/>
            <w:vAlign w:val="bottom"/>
          </w:tcPr>
          <w:p>
            <w:pPr>
              <w:ind w:left="100"/>
              <w:spacing w:after="0"/>
              <w:rPr>
                <w:sz w:val="20"/>
                <w:szCs w:val="20"/>
                <w:color w:val="auto"/>
              </w:rPr>
            </w:pPr>
            <w:r>
              <w:rPr>
                <w:rFonts w:ascii="Arial" w:cs="Arial" w:eastAsia="Arial" w:hAnsi="Arial"/>
                <w:sz w:val="13"/>
                <w:szCs w:val="13"/>
                <w:color w:val="auto"/>
              </w:rPr>
              <w:t>Investments (at fair value)</w:t>
            </w:r>
          </w:p>
        </w:tc>
        <w:tc>
          <w:tcPr>
            <w:tcW w:w="300" w:type="dxa"/>
            <w:vAlign w:val="bottom"/>
          </w:tcPr>
          <w:p>
            <w:pPr>
              <w:spacing w:after="0"/>
              <w:rPr>
                <w:sz w:val="15"/>
                <w:szCs w:val="15"/>
                <w:color w:val="auto"/>
              </w:rPr>
            </w:pPr>
          </w:p>
        </w:tc>
        <w:tc>
          <w:tcPr>
            <w:tcW w:w="1280" w:type="dxa"/>
            <w:vAlign w:val="bottom"/>
          </w:tcPr>
          <w:p>
            <w:pPr>
              <w:jc w:val="right"/>
              <w:spacing w:after="0"/>
              <w:rPr>
                <w:sz w:val="20"/>
                <w:szCs w:val="20"/>
                <w:color w:val="auto"/>
              </w:rPr>
            </w:pPr>
            <w:r>
              <w:rPr>
                <w:rFonts w:ascii="Arial" w:cs="Arial" w:eastAsia="Arial" w:hAnsi="Arial"/>
                <w:sz w:val="13"/>
                <w:szCs w:val="13"/>
                <w:color w:val="auto"/>
              </w:rPr>
              <w:t>70,687</w:t>
            </w:r>
          </w:p>
        </w:tc>
        <w:tc>
          <w:tcPr>
            <w:tcW w:w="100" w:type="dxa"/>
            <w:vAlign w:val="bottom"/>
          </w:tcPr>
          <w:p>
            <w:pPr>
              <w:spacing w:after="0"/>
              <w:rPr>
                <w:sz w:val="15"/>
                <w:szCs w:val="15"/>
                <w:color w:val="auto"/>
              </w:rPr>
            </w:pPr>
          </w:p>
        </w:tc>
        <w:tc>
          <w:tcPr>
            <w:tcW w:w="1600" w:type="dxa"/>
            <w:vAlign w:val="bottom"/>
          </w:tcPr>
          <w:p>
            <w:pPr>
              <w:jc w:val="right"/>
              <w:spacing w:after="0"/>
              <w:rPr>
                <w:sz w:val="20"/>
                <w:szCs w:val="20"/>
                <w:color w:val="auto"/>
              </w:rPr>
            </w:pPr>
            <w:r>
              <w:rPr>
                <w:rFonts w:ascii="Arial" w:cs="Arial" w:eastAsia="Arial" w:hAnsi="Arial"/>
                <w:sz w:val="13"/>
                <w:szCs w:val="13"/>
                <w:color w:val="auto"/>
              </w:rPr>
              <w:t>70,687</w:t>
            </w:r>
          </w:p>
        </w:tc>
        <w:tc>
          <w:tcPr>
            <w:tcW w:w="100" w:type="dxa"/>
            <w:vAlign w:val="bottom"/>
          </w:tcPr>
          <w:p>
            <w:pPr>
              <w:spacing w:after="0"/>
              <w:rPr>
                <w:sz w:val="15"/>
                <w:szCs w:val="15"/>
                <w:color w:val="auto"/>
              </w:rPr>
            </w:pPr>
          </w:p>
        </w:tc>
        <w:tc>
          <w:tcPr>
            <w:tcW w:w="1200" w:type="dxa"/>
            <w:vAlign w:val="bottom"/>
          </w:tcPr>
          <w:p>
            <w:pPr>
              <w:jc w:val="right"/>
              <w:spacing w:after="0"/>
              <w:rPr>
                <w:sz w:val="20"/>
                <w:szCs w:val="20"/>
                <w:color w:val="auto"/>
              </w:rPr>
            </w:pPr>
            <w:r>
              <w:rPr>
                <w:rFonts w:ascii="Arial" w:cs="Arial" w:eastAsia="Arial" w:hAnsi="Arial"/>
                <w:sz w:val="13"/>
                <w:szCs w:val="13"/>
                <w:color w:val="auto"/>
              </w:rPr>
              <w:t>2,826</w:t>
            </w:r>
          </w:p>
        </w:tc>
        <w:tc>
          <w:tcPr>
            <w:tcW w:w="80" w:type="dxa"/>
            <w:vAlign w:val="bottom"/>
          </w:tcPr>
          <w:p>
            <w:pPr>
              <w:spacing w:after="0"/>
              <w:rPr>
                <w:sz w:val="15"/>
                <w:szCs w:val="15"/>
                <w:color w:val="auto"/>
              </w:rPr>
            </w:pPr>
          </w:p>
        </w:tc>
        <w:tc>
          <w:tcPr>
            <w:tcW w:w="1200" w:type="dxa"/>
            <w:vAlign w:val="bottom"/>
          </w:tcPr>
          <w:p>
            <w:pPr>
              <w:jc w:val="right"/>
              <w:spacing w:after="0"/>
              <w:rPr>
                <w:sz w:val="20"/>
                <w:szCs w:val="20"/>
                <w:color w:val="auto"/>
              </w:rPr>
            </w:pPr>
            <w:r>
              <w:rPr>
                <w:rFonts w:ascii="Arial" w:cs="Arial" w:eastAsia="Arial" w:hAnsi="Arial"/>
                <w:sz w:val="13"/>
                <w:szCs w:val="13"/>
                <w:color w:val="auto"/>
              </w:rPr>
              <w:t>52,936</w:t>
            </w:r>
          </w:p>
        </w:tc>
        <w:tc>
          <w:tcPr>
            <w:tcW w:w="100" w:type="dxa"/>
            <w:vAlign w:val="bottom"/>
          </w:tcPr>
          <w:p>
            <w:pPr>
              <w:spacing w:after="0"/>
              <w:rPr>
                <w:sz w:val="15"/>
                <w:szCs w:val="15"/>
                <w:color w:val="auto"/>
              </w:rPr>
            </w:pPr>
          </w:p>
        </w:tc>
        <w:tc>
          <w:tcPr>
            <w:tcW w:w="1200" w:type="dxa"/>
            <w:vAlign w:val="bottom"/>
          </w:tcPr>
          <w:p>
            <w:pPr>
              <w:jc w:val="right"/>
              <w:spacing w:after="0"/>
              <w:rPr>
                <w:sz w:val="20"/>
                <w:szCs w:val="20"/>
                <w:color w:val="auto"/>
              </w:rPr>
            </w:pPr>
            <w:r>
              <w:rPr>
                <w:rFonts w:ascii="Arial" w:cs="Arial" w:eastAsia="Arial" w:hAnsi="Arial"/>
                <w:sz w:val="13"/>
                <w:szCs w:val="13"/>
                <w:color w:val="auto"/>
              </w:rPr>
              <w:t>—</w:t>
            </w:r>
          </w:p>
        </w:tc>
      </w:tr>
      <w:tr>
        <w:trPr>
          <w:trHeight w:val="25"/>
        </w:trPr>
        <w:tc>
          <w:tcPr>
            <w:tcW w:w="42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185"/>
        </w:trPr>
        <w:tc>
          <w:tcPr>
            <w:tcW w:w="424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3"/>
                <w:szCs w:val="13"/>
                <w:color w:val="auto"/>
              </w:rPr>
              <w:t>Notes receivable</w:t>
            </w:r>
          </w:p>
        </w:tc>
        <w:tc>
          <w:tcPr>
            <w:tcW w:w="300" w:type="dxa"/>
            <w:vAlign w:val="bottom"/>
            <w:tcBorders>
              <w:bottom w:val="single" w:sz="8" w:color="CCEEFF"/>
            </w:tcBorders>
            <w:shd w:val="clear" w:color="auto" w:fill="CCEEFF"/>
          </w:tcPr>
          <w:p>
            <w:pPr>
              <w:spacing w:after="0"/>
              <w:rPr>
                <w:sz w:val="16"/>
                <w:szCs w:val="16"/>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16,373</w:t>
            </w:r>
          </w:p>
        </w:tc>
        <w:tc>
          <w:tcPr>
            <w:tcW w:w="100" w:type="dxa"/>
            <w:vAlign w:val="bottom"/>
            <w:tcBorders>
              <w:bottom w:val="single" w:sz="8" w:color="CCEEFF"/>
            </w:tcBorders>
            <w:shd w:val="clear" w:color="auto" w:fill="CCEEFF"/>
          </w:tcPr>
          <w:p>
            <w:pPr>
              <w:spacing w:after="0"/>
              <w:rPr>
                <w:sz w:val="16"/>
                <w:szCs w:val="16"/>
                <w:color w:val="auto"/>
              </w:rPr>
            </w:pP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16,373</w:t>
            </w:r>
          </w:p>
        </w:tc>
        <w:tc>
          <w:tcPr>
            <w:tcW w:w="100" w:type="dxa"/>
            <w:vAlign w:val="bottom"/>
            <w:tcBorders>
              <w:bottom w:val="single" w:sz="8" w:color="CCEEFF"/>
            </w:tcBorders>
            <w:shd w:val="clear" w:color="auto" w:fill="CCEEFF"/>
          </w:tcPr>
          <w:p>
            <w:pPr>
              <w:spacing w:after="0"/>
              <w:rPr>
                <w:sz w:val="16"/>
                <w:szCs w:val="16"/>
                <w:color w:val="auto"/>
              </w:rPr>
            </w:pPr>
          </w:p>
        </w:tc>
        <w:tc>
          <w:tcPr>
            <w:tcW w:w="128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16,373</w:t>
            </w:r>
          </w:p>
        </w:tc>
        <w:tc>
          <w:tcPr>
            <w:tcW w:w="100" w:type="dxa"/>
            <w:vAlign w:val="bottom"/>
            <w:tcBorders>
              <w:bottom w:val="single" w:sz="8" w:color="CCEEFF"/>
            </w:tcBorders>
            <w:shd w:val="clear" w:color="auto" w:fill="CCEEFF"/>
          </w:tcPr>
          <w:p>
            <w:pPr>
              <w:spacing w:after="0"/>
              <w:rPr>
                <w:sz w:val="16"/>
                <w:szCs w:val="16"/>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w:t>
            </w:r>
          </w:p>
        </w:tc>
      </w:tr>
      <w:tr>
        <w:trPr>
          <w:trHeight w:val="180"/>
        </w:trPr>
        <w:tc>
          <w:tcPr>
            <w:tcW w:w="4240" w:type="dxa"/>
            <w:vAlign w:val="bottom"/>
          </w:tcPr>
          <w:p>
            <w:pPr>
              <w:ind w:left="100"/>
              <w:spacing w:after="0"/>
              <w:rPr>
                <w:sz w:val="20"/>
                <w:szCs w:val="20"/>
                <w:color w:val="auto"/>
              </w:rPr>
            </w:pPr>
            <w:r>
              <w:rPr>
                <w:rFonts w:ascii="Arial" w:cs="Arial" w:eastAsia="Arial" w:hAnsi="Arial"/>
                <w:sz w:val="13"/>
                <w:szCs w:val="13"/>
                <w:color w:val="auto"/>
              </w:rPr>
              <w:t>Restricted cash</w:t>
            </w:r>
          </w:p>
        </w:tc>
        <w:tc>
          <w:tcPr>
            <w:tcW w:w="300" w:type="dxa"/>
            <w:vAlign w:val="bottom"/>
          </w:tcPr>
          <w:p>
            <w:pPr>
              <w:spacing w:after="0"/>
              <w:rPr>
                <w:sz w:val="15"/>
                <w:szCs w:val="15"/>
                <w:color w:val="auto"/>
              </w:rPr>
            </w:pPr>
          </w:p>
        </w:tc>
        <w:tc>
          <w:tcPr>
            <w:tcW w:w="1280" w:type="dxa"/>
            <w:vAlign w:val="bottom"/>
          </w:tcPr>
          <w:p>
            <w:pPr>
              <w:jc w:val="right"/>
              <w:spacing w:after="0"/>
              <w:rPr>
                <w:sz w:val="20"/>
                <w:szCs w:val="20"/>
                <w:color w:val="auto"/>
              </w:rPr>
            </w:pPr>
            <w:r>
              <w:rPr>
                <w:rFonts w:ascii="Arial" w:cs="Arial" w:eastAsia="Arial" w:hAnsi="Arial"/>
                <w:sz w:val="13"/>
                <w:szCs w:val="13"/>
                <w:color w:val="auto"/>
              </w:rPr>
              <w:t>701,366</w:t>
            </w:r>
          </w:p>
        </w:tc>
        <w:tc>
          <w:tcPr>
            <w:tcW w:w="100" w:type="dxa"/>
            <w:vAlign w:val="bottom"/>
          </w:tcPr>
          <w:p>
            <w:pPr>
              <w:spacing w:after="0"/>
              <w:rPr>
                <w:sz w:val="15"/>
                <w:szCs w:val="15"/>
                <w:color w:val="auto"/>
              </w:rPr>
            </w:pPr>
          </w:p>
        </w:tc>
        <w:tc>
          <w:tcPr>
            <w:tcW w:w="1600" w:type="dxa"/>
            <w:vAlign w:val="bottom"/>
          </w:tcPr>
          <w:p>
            <w:pPr>
              <w:jc w:val="right"/>
              <w:spacing w:after="0"/>
              <w:rPr>
                <w:sz w:val="20"/>
                <w:szCs w:val="20"/>
                <w:color w:val="auto"/>
              </w:rPr>
            </w:pPr>
            <w:r>
              <w:rPr>
                <w:rFonts w:ascii="Arial" w:cs="Arial" w:eastAsia="Arial" w:hAnsi="Arial"/>
                <w:sz w:val="13"/>
                <w:szCs w:val="13"/>
                <w:color w:val="auto"/>
              </w:rPr>
              <w:t>701,366</w:t>
            </w:r>
          </w:p>
        </w:tc>
        <w:tc>
          <w:tcPr>
            <w:tcW w:w="100" w:type="dxa"/>
            <w:vAlign w:val="bottom"/>
          </w:tcPr>
          <w:p>
            <w:pPr>
              <w:spacing w:after="0"/>
              <w:rPr>
                <w:sz w:val="15"/>
                <w:szCs w:val="15"/>
                <w:color w:val="auto"/>
              </w:rPr>
            </w:pPr>
          </w:p>
        </w:tc>
        <w:tc>
          <w:tcPr>
            <w:tcW w:w="1200" w:type="dxa"/>
            <w:vAlign w:val="bottom"/>
          </w:tcPr>
          <w:p>
            <w:pPr>
              <w:jc w:val="right"/>
              <w:spacing w:after="0"/>
              <w:rPr>
                <w:sz w:val="20"/>
                <w:szCs w:val="20"/>
                <w:color w:val="auto"/>
              </w:rPr>
            </w:pPr>
            <w:r>
              <w:rPr>
                <w:rFonts w:ascii="Arial" w:cs="Arial" w:eastAsia="Arial" w:hAnsi="Arial"/>
                <w:sz w:val="13"/>
                <w:szCs w:val="13"/>
                <w:color w:val="auto"/>
              </w:rPr>
              <w:t>701,366</w:t>
            </w:r>
          </w:p>
        </w:tc>
        <w:tc>
          <w:tcPr>
            <w:tcW w:w="80" w:type="dxa"/>
            <w:vAlign w:val="bottom"/>
          </w:tcPr>
          <w:p>
            <w:pPr>
              <w:spacing w:after="0"/>
              <w:rPr>
                <w:sz w:val="15"/>
                <w:szCs w:val="15"/>
                <w:color w:val="auto"/>
              </w:rPr>
            </w:pPr>
          </w:p>
        </w:tc>
        <w:tc>
          <w:tcPr>
            <w:tcW w:w="130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200" w:type="dxa"/>
            <w:vAlign w:val="bottom"/>
          </w:tcPr>
          <w:p>
            <w:pPr>
              <w:jc w:val="right"/>
              <w:spacing w:after="0"/>
              <w:rPr>
                <w:sz w:val="20"/>
                <w:szCs w:val="20"/>
                <w:color w:val="auto"/>
              </w:rPr>
            </w:pPr>
            <w:r>
              <w:rPr>
                <w:rFonts w:ascii="Arial" w:cs="Arial" w:eastAsia="Arial" w:hAnsi="Arial"/>
                <w:sz w:val="13"/>
                <w:szCs w:val="13"/>
                <w:color w:val="auto"/>
              </w:rPr>
              <w:t>—</w:t>
            </w:r>
          </w:p>
        </w:tc>
      </w:tr>
      <w:tr>
        <w:trPr>
          <w:trHeight w:val="25"/>
        </w:trPr>
        <w:tc>
          <w:tcPr>
            <w:tcW w:w="42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185"/>
        </w:trPr>
        <w:tc>
          <w:tcPr>
            <w:tcW w:w="424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3"/>
                <w:szCs w:val="13"/>
                <w:color w:val="auto"/>
              </w:rPr>
              <w:t>Restricted cash – due to customers</w:t>
            </w:r>
          </w:p>
        </w:tc>
        <w:tc>
          <w:tcPr>
            <w:tcW w:w="300" w:type="dxa"/>
            <w:vAlign w:val="bottom"/>
            <w:tcBorders>
              <w:bottom w:val="single" w:sz="8" w:color="CCEEFF"/>
            </w:tcBorders>
            <w:shd w:val="clear" w:color="auto" w:fill="CCEEFF"/>
          </w:tcPr>
          <w:p>
            <w:pPr>
              <w:spacing w:after="0"/>
              <w:rPr>
                <w:sz w:val="16"/>
                <w:szCs w:val="16"/>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369,678</w:t>
            </w:r>
          </w:p>
        </w:tc>
        <w:tc>
          <w:tcPr>
            <w:tcW w:w="100" w:type="dxa"/>
            <w:vAlign w:val="bottom"/>
            <w:tcBorders>
              <w:bottom w:val="single" w:sz="8" w:color="CCEEFF"/>
            </w:tcBorders>
            <w:shd w:val="clear" w:color="auto" w:fill="CCEEFF"/>
          </w:tcPr>
          <w:p>
            <w:pPr>
              <w:spacing w:after="0"/>
              <w:rPr>
                <w:sz w:val="16"/>
                <w:szCs w:val="16"/>
                <w:color w:val="auto"/>
              </w:rPr>
            </w:pP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369,678</w:t>
            </w:r>
          </w:p>
        </w:tc>
        <w:tc>
          <w:tcPr>
            <w:tcW w:w="100" w:type="dxa"/>
            <w:vAlign w:val="bottom"/>
            <w:tcBorders>
              <w:bottom w:val="single" w:sz="8" w:color="CCEEFF"/>
            </w:tcBorders>
            <w:shd w:val="clear" w:color="auto" w:fill="CCEEFF"/>
          </w:tcPr>
          <w:p>
            <w:pPr>
              <w:spacing w:after="0"/>
              <w:rPr>
                <w:sz w:val="16"/>
                <w:szCs w:val="16"/>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369,678</w:t>
            </w:r>
          </w:p>
        </w:tc>
        <w:tc>
          <w:tcPr>
            <w:tcW w:w="80" w:type="dxa"/>
            <w:vAlign w:val="bottom"/>
            <w:tcBorders>
              <w:bottom w:val="single" w:sz="8" w:color="CCEEFF"/>
            </w:tcBorders>
            <w:shd w:val="clear" w:color="auto" w:fill="CCEEFF"/>
          </w:tcPr>
          <w:p>
            <w:pPr>
              <w:spacing w:after="0"/>
              <w:rPr>
                <w:sz w:val="16"/>
                <w:szCs w:val="16"/>
                <w:color w:val="auto"/>
              </w:rPr>
            </w:pPr>
          </w:p>
        </w:tc>
        <w:tc>
          <w:tcPr>
            <w:tcW w:w="130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w:t>
            </w:r>
          </w:p>
        </w:tc>
      </w:tr>
      <w:tr>
        <w:trPr>
          <w:trHeight w:val="180"/>
        </w:trPr>
        <w:tc>
          <w:tcPr>
            <w:tcW w:w="4240" w:type="dxa"/>
            <w:vAlign w:val="bottom"/>
          </w:tcPr>
          <w:p>
            <w:pPr>
              <w:ind w:left="100"/>
              <w:spacing w:after="0"/>
              <w:rPr>
                <w:sz w:val="20"/>
                <w:szCs w:val="20"/>
                <w:color w:val="auto"/>
              </w:rPr>
            </w:pPr>
            <w:r>
              <w:rPr>
                <w:rFonts w:ascii="Arial" w:cs="Arial" w:eastAsia="Arial" w:hAnsi="Arial"/>
                <w:sz w:val="13"/>
                <w:szCs w:val="13"/>
                <w:color w:val="auto"/>
              </w:rPr>
              <w:t>Accrued interest receivable</w:t>
            </w:r>
          </w:p>
        </w:tc>
        <w:tc>
          <w:tcPr>
            <w:tcW w:w="300" w:type="dxa"/>
            <w:vAlign w:val="bottom"/>
          </w:tcPr>
          <w:p>
            <w:pPr>
              <w:spacing w:after="0"/>
              <w:rPr>
                <w:sz w:val="15"/>
                <w:szCs w:val="15"/>
                <w:color w:val="auto"/>
              </w:rPr>
            </w:pPr>
          </w:p>
        </w:tc>
        <w:tc>
          <w:tcPr>
            <w:tcW w:w="1280" w:type="dxa"/>
            <w:vAlign w:val="bottom"/>
          </w:tcPr>
          <w:p>
            <w:pPr>
              <w:jc w:val="right"/>
              <w:spacing w:after="0"/>
              <w:rPr>
                <w:sz w:val="20"/>
                <w:szCs w:val="20"/>
                <w:color w:val="auto"/>
              </w:rPr>
            </w:pPr>
            <w:r>
              <w:rPr>
                <w:rFonts w:ascii="Arial" w:cs="Arial" w:eastAsia="Arial" w:hAnsi="Arial"/>
                <w:sz w:val="13"/>
                <w:szCs w:val="13"/>
                <w:color w:val="auto"/>
              </w:rPr>
              <w:t>679,197</w:t>
            </w:r>
          </w:p>
        </w:tc>
        <w:tc>
          <w:tcPr>
            <w:tcW w:w="100" w:type="dxa"/>
            <w:vAlign w:val="bottom"/>
          </w:tcPr>
          <w:p>
            <w:pPr>
              <w:spacing w:after="0"/>
              <w:rPr>
                <w:sz w:val="15"/>
                <w:szCs w:val="15"/>
                <w:color w:val="auto"/>
              </w:rPr>
            </w:pPr>
          </w:p>
        </w:tc>
        <w:tc>
          <w:tcPr>
            <w:tcW w:w="1600" w:type="dxa"/>
            <w:vAlign w:val="bottom"/>
          </w:tcPr>
          <w:p>
            <w:pPr>
              <w:jc w:val="right"/>
              <w:spacing w:after="0"/>
              <w:rPr>
                <w:sz w:val="20"/>
                <w:szCs w:val="20"/>
                <w:color w:val="auto"/>
              </w:rPr>
            </w:pPr>
            <w:r>
              <w:rPr>
                <w:rFonts w:ascii="Arial" w:cs="Arial" w:eastAsia="Arial" w:hAnsi="Arial"/>
                <w:sz w:val="13"/>
                <w:szCs w:val="13"/>
                <w:color w:val="auto"/>
              </w:rPr>
              <w:t>679,197</w:t>
            </w:r>
          </w:p>
        </w:tc>
        <w:tc>
          <w:tcPr>
            <w:tcW w:w="100" w:type="dxa"/>
            <w:vAlign w:val="bottom"/>
          </w:tcPr>
          <w:p>
            <w:pPr>
              <w:spacing w:after="0"/>
              <w:rPr>
                <w:sz w:val="15"/>
                <w:szCs w:val="15"/>
                <w:color w:val="auto"/>
              </w:rPr>
            </w:pPr>
          </w:p>
        </w:tc>
        <w:tc>
          <w:tcPr>
            <w:tcW w:w="128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200" w:type="dxa"/>
            <w:vAlign w:val="bottom"/>
          </w:tcPr>
          <w:p>
            <w:pPr>
              <w:jc w:val="right"/>
              <w:spacing w:after="0"/>
              <w:rPr>
                <w:sz w:val="20"/>
                <w:szCs w:val="20"/>
                <w:color w:val="auto"/>
              </w:rPr>
            </w:pPr>
            <w:r>
              <w:rPr>
                <w:rFonts w:ascii="Arial" w:cs="Arial" w:eastAsia="Arial" w:hAnsi="Arial"/>
                <w:sz w:val="13"/>
                <w:szCs w:val="13"/>
                <w:color w:val="auto"/>
              </w:rPr>
              <w:t>679,197</w:t>
            </w:r>
          </w:p>
        </w:tc>
        <w:tc>
          <w:tcPr>
            <w:tcW w:w="100" w:type="dxa"/>
            <w:vAlign w:val="bottom"/>
          </w:tcPr>
          <w:p>
            <w:pPr>
              <w:spacing w:after="0"/>
              <w:rPr>
                <w:sz w:val="15"/>
                <w:szCs w:val="15"/>
                <w:color w:val="auto"/>
              </w:rPr>
            </w:pPr>
          </w:p>
        </w:tc>
        <w:tc>
          <w:tcPr>
            <w:tcW w:w="1200" w:type="dxa"/>
            <w:vAlign w:val="bottom"/>
          </w:tcPr>
          <w:p>
            <w:pPr>
              <w:jc w:val="right"/>
              <w:spacing w:after="0"/>
              <w:rPr>
                <w:sz w:val="20"/>
                <w:szCs w:val="20"/>
                <w:color w:val="auto"/>
              </w:rPr>
            </w:pPr>
            <w:r>
              <w:rPr>
                <w:rFonts w:ascii="Arial" w:cs="Arial" w:eastAsia="Arial" w:hAnsi="Arial"/>
                <w:sz w:val="13"/>
                <w:szCs w:val="13"/>
                <w:color w:val="auto"/>
              </w:rPr>
              <w:t>—</w:t>
            </w:r>
          </w:p>
        </w:tc>
      </w:tr>
      <w:tr>
        <w:trPr>
          <w:trHeight w:val="25"/>
        </w:trPr>
        <w:tc>
          <w:tcPr>
            <w:tcW w:w="42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185"/>
        </w:trPr>
        <w:tc>
          <w:tcPr>
            <w:tcW w:w="424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3"/>
                <w:szCs w:val="13"/>
                <w:color w:val="auto"/>
              </w:rPr>
              <w:t>Derivative instruments</w:t>
            </w:r>
          </w:p>
        </w:tc>
        <w:tc>
          <w:tcPr>
            <w:tcW w:w="300" w:type="dxa"/>
            <w:vAlign w:val="bottom"/>
            <w:tcBorders>
              <w:bottom w:val="single" w:sz="8" w:color="CCEEFF"/>
            </w:tcBorders>
            <w:shd w:val="clear" w:color="auto" w:fill="CCEEFF"/>
          </w:tcPr>
          <w:p>
            <w:pPr>
              <w:spacing w:after="0"/>
              <w:rPr>
                <w:sz w:val="16"/>
                <w:szCs w:val="16"/>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1,818</w:t>
            </w:r>
          </w:p>
        </w:tc>
        <w:tc>
          <w:tcPr>
            <w:tcW w:w="100" w:type="dxa"/>
            <w:vAlign w:val="bottom"/>
            <w:tcBorders>
              <w:bottom w:val="single" w:sz="8" w:color="CCEEFF"/>
            </w:tcBorders>
            <w:shd w:val="clear" w:color="auto" w:fill="CCEEFF"/>
          </w:tcPr>
          <w:p>
            <w:pPr>
              <w:spacing w:after="0"/>
              <w:rPr>
                <w:sz w:val="16"/>
                <w:szCs w:val="16"/>
                <w:color w:val="auto"/>
              </w:rPr>
            </w:pP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1,818</w:t>
            </w:r>
          </w:p>
        </w:tc>
        <w:tc>
          <w:tcPr>
            <w:tcW w:w="100" w:type="dxa"/>
            <w:vAlign w:val="bottom"/>
            <w:tcBorders>
              <w:bottom w:val="single" w:sz="8" w:color="CCEEFF"/>
            </w:tcBorders>
            <w:shd w:val="clear" w:color="auto" w:fill="CCEEFF"/>
          </w:tcPr>
          <w:p>
            <w:pPr>
              <w:spacing w:after="0"/>
              <w:rPr>
                <w:sz w:val="16"/>
                <w:szCs w:val="16"/>
                <w:color w:val="auto"/>
              </w:rPr>
            </w:pPr>
          </w:p>
        </w:tc>
        <w:tc>
          <w:tcPr>
            <w:tcW w:w="128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1,818</w:t>
            </w:r>
          </w:p>
        </w:tc>
        <w:tc>
          <w:tcPr>
            <w:tcW w:w="100" w:type="dxa"/>
            <w:vAlign w:val="bottom"/>
            <w:tcBorders>
              <w:bottom w:val="single" w:sz="8" w:color="CCEEFF"/>
            </w:tcBorders>
            <w:shd w:val="clear" w:color="auto" w:fill="CCEEFF"/>
          </w:tcPr>
          <w:p>
            <w:pPr>
              <w:spacing w:after="0"/>
              <w:rPr>
                <w:sz w:val="16"/>
                <w:szCs w:val="16"/>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w:t>
            </w:r>
          </w:p>
        </w:tc>
      </w:tr>
      <w:tr>
        <w:trPr>
          <w:trHeight w:val="180"/>
        </w:trPr>
        <w:tc>
          <w:tcPr>
            <w:tcW w:w="4240" w:type="dxa"/>
            <w:vAlign w:val="bottom"/>
          </w:tcPr>
          <w:p>
            <w:pPr>
              <w:ind w:left="20"/>
              <w:spacing w:after="0"/>
              <w:rPr>
                <w:sz w:val="20"/>
                <w:szCs w:val="20"/>
                <w:color w:val="auto"/>
              </w:rPr>
            </w:pPr>
            <w:r>
              <w:rPr>
                <w:rFonts w:ascii="Arial" w:cs="Arial" w:eastAsia="Arial" w:hAnsi="Arial"/>
                <w:sz w:val="13"/>
                <w:szCs w:val="13"/>
                <w:color w:val="auto"/>
              </w:rPr>
              <w:t>Financial liabilities:</w:t>
            </w:r>
          </w:p>
        </w:tc>
        <w:tc>
          <w:tcPr>
            <w:tcW w:w="30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0" w:type="dxa"/>
            <w:vAlign w:val="bottom"/>
          </w:tcPr>
          <w:p>
            <w:pPr>
              <w:spacing w:after="0"/>
              <w:rPr>
                <w:sz w:val="15"/>
                <w:szCs w:val="15"/>
                <w:color w:val="auto"/>
              </w:rPr>
            </w:pPr>
          </w:p>
        </w:tc>
      </w:tr>
      <w:tr>
        <w:trPr>
          <w:trHeight w:val="25"/>
        </w:trPr>
        <w:tc>
          <w:tcPr>
            <w:tcW w:w="42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185"/>
        </w:trPr>
        <w:tc>
          <w:tcPr>
            <w:tcW w:w="424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3"/>
                <w:szCs w:val="13"/>
                <w:color w:val="auto"/>
              </w:rPr>
              <w:t>Bonds and notes payable</w:t>
            </w:r>
          </w:p>
        </w:tc>
        <w:tc>
          <w:tcPr>
            <w:tcW w:w="300" w:type="dxa"/>
            <w:vAlign w:val="bottom"/>
            <w:tcBorders>
              <w:bottom w:val="single" w:sz="8" w:color="CCEEFF"/>
            </w:tcBorders>
            <w:shd w:val="clear" w:color="auto" w:fill="CCEEFF"/>
          </w:tcPr>
          <w:p>
            <w:pPr>
              <w:spacing w:after="0"/>
              <w:rPr>
                <w:sz w:val="16"/>
                <w:szCs w:val="16"/>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22,270,462</w:t>
            </w:r>
          </w:p>
        </w:tc>
        <w:tc>
          <w:tcPr>
            <w:tcW w:w="100" w:type="dxa"/>
            <w:vAlign w:val="bottom"/>
            <w:tcBorders>
              <w:bottom w:val="single" w:sz="8" w:color="CCEEFF"/>
            </w:tcBorders>
            <w:shd w:val="clear" w:color="auto" w:fill="CCEEFF"/>
          </w:tcPr>
          <w:p>
            <w:pPr>
              <w:spacing w:after="0"/>
              <w:rPr>
                <w:sz w:val="16"/>
                <w:szCs w:val="16"/>
                <w:color w:val="auto"/>
              </w:rPr>
            </w:pP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22,218,740</w:t>
            </w:r>
          </w:p>
        </w:tc>
        <w:tc>
          <w:tcPr>
            <w:tcW w:w="100" w:type="dxa"/>
            <w:vAlign w:val="bottom"/>
            <w:tcBorders>
              <w:bottom w:val="single" w:sz="8" w:color="CCEEFF"/>
            </w:tcBorders>
            <w:shd w:val="clear" w:color="auto" w:fill="CCEEFF"/>
          </w:tcPr>
          <w:p>
            <w:pPr>
              <w:spacing w:after="0"/>
              <w:rPr>
                <w:sz w:val="16"/>
                <w:szCs w:val="16"/>
                <w:color w:val="auto"/>
              </w:rPr>
            </w:pPr>
          </w:p>
        </w:tc>
        <w:tc>
          <w:tcPr>
            <w:tcW w:w="128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22,270,462</w:t>
            </w:r>
          </w:p>
        </w:tc>
        <w:tc>
          <w:tcPr>
            <w:tcW w:w="100" w:type="dxa"/>
            <w:vAlign w:val="bottom"/>
            <w:tcBorders>
              <w:bottom w:val="single" w:sz="8" w:color="CCEEFF"/>
            </w:tcBorders>
            <w:shd w:val="clear" w:color="auto" w:fill="CCEEFF"/>
          </w:tcPr>
          <w:p>
            <w:pPr>
              <w:spacing w:after="0"/>
              <w:rPr>
                <w:sz w:val="16"/>
                <w:szCs w:val="16"/>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w:t>
            </w:r>
          </w:p>
        </w:tc>
      </w:tr>
      <w:tr>
        <w:trPr>
          <w:trHeight w:val="180"/>
        </w:trPr>
        <w:tc>
          <w:tcPr>
            <w:tcW w:w="4240" w:type="dxa"/>
            <w:vAlign w:val="bottom"/>
          </w:tcPr>
          <w:p>
            <w:pPr>
              <w:ind w:left="100"/>
              <w:spacing w:after="0"/>
              <w:rPr>
                <w:sz w:val="20"/>
                <w:szCs w:val="20"/>
                <w:color w:val="auto"/>
              </w:rPr>
            </w:pPr>
            <w:r>
              <w:rPr>
                <w:rFonts w:ascii="Arial" w:cs="Arial" w:eastAsia="Arial" w:hAnsi="Arial"/>
                <w:sz w:val="13"/>
                <w:szCs w:val="13"/>
                <w:color w:val="auto"/>
              </w:rPr>
              <w:t>Accrued interest payable</w:t>
            </w:r>
          </w:p>
        </w:tc>
        <w:tc>
          <w:tcPr>
            <w:tcW w:w="300" w:type="dxa"/>
            <w:vAlign w:val="bottom"/>
          </w:tcPr>
          <w:p>
            <w:pPr>
              <w:spacing w:after="0"/>
              <w:rPr>
                <w:sz w:val="15"/>
                <w:szCs w:val="15"/>
                <w:color w:val="auto"/>
              </w:rPr>
            </w:pPr>
          </w:p>
        </w:tc>
        <w:tc>
          <w:tcPr>
            <w:tcW w:w="1280" w:type="dxa"/>
            <w:vAlign w:val="bottom"/>
          </w:tcPr>
          <w:p>
            <w:pPr>
              <w:jc w:val="right"/>
              <w:spacing w:after="0"/>
              <w:rPr>
                <w:sz w:val="20"/>
                <w:szCs w:val="20"/>
                <w:color w:val="auto"/>
              </w:rPr>
            </w:pPr>
            <w:r>
              <w:rPr>
                <w:rFonts w:ascii="Arial" w:cs="Arial" w:eastAsia="Arial" w:hAnsi="Arial"/>
                <w:sz w:val="13"/>
                <w:szCs w:val="13"/>
                <w:color w:val="auto"/>
              </w:rPr>
              <w:t>61,679</w:t>
            </w:r>
          </w:p>
        </w:tc>
        <w:tc>
          <w:tcPr>
            <w:tcW w:w="100" w:type="dxa"/>
            <w:vAlign w:val="bottom"/>
          </w:tcPr>
          <w:p>
            <w:pPr>
              <w:spacing w:after="0"/>
              <w:rPr>
                <w:sz w:val="15"/>
                <w:szCs w:val="15"/>
                <w:color w:val="auto"/>
              </w:rPr>
            </w:pPr>
          </w:p>
        </w:tc>
        <w:tc>
          <w:tcPr>
            <w:tcW w:w="1600" w:type="dxa"/>
            <w:vAlign w:val="bottom"/>
          </w:tcPr>
          <w:p>
            <w:pPr>
              <w:jc w:val="right"/>
              <w:spacing w:after="0"/>
              <w:rPr>
                <w:sz w:val="20"/>
                <w:szCs w:val="20"/>
                <w:color w:val="auto"/>
              </w:rPr>
            </w:pPr>
            <w:r>
              <w:rPr>
                <w:rFonts w:ascii="Arial" w:cs="Arial" w:eastAsia="Arial" w:hAnsi="Arial"/>
                <w:sz w:val="13"/>
                <w:szCs w:val="13"/>
                <w:color w:val="auto"/>
              </w:rPr>
              <w:t>61,679</w:t>
            </w:r>
          </w:p>
        </w:tc>
        <w:tc>
          <w:tcPr>
            <w:tcW w:w="100" w:type="dxa"/>
            <w:vAlign w:val="bottom"/>
          </w:tcPr>
          <w:p>
            <w:pPr>
              <w:spacing w:after="0"/>
              <w:rPr>
                <w:sz w:val="15"/>
                <w:szCs w:val="15"/>
                <w:color w:val="auto"/>
              </w:rPr>
            </w:pPr>
          </w:p>
        </w:tc>
        <w:tc>
          <w:tcPr>
            <w:tcW w:w="128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200" w:type="dxa"/>
            <w:vAlign w:val="bottom"/>
          </w:tcPr>
          <w:p>
            <w:pPr>
              <w:jc w:val="right"/>
              <w:spacing w:after="0"/>
              <w:rPr>
                <w:sz w:val="20"/>
                <w:szCs w:val="20"/>
                <w:color w:val="auto"/>
              </w:rPr>
            </w:pPr>
            <w:r>
              <w:rPr>
                <w:rFonts w:ascii="Arial" w:cs="Arial" w:eastAsia="Arial" w:hAnsi="Arial"/>
                <w:sz w:val="13"/>
                <w:szCs w:val="13"/>
                <w:color w:val="auto"/>
              </w:rPr>
              <w:t>61,679</w:t>
            </w:r>
          </w:p>
        </w:tc>
        <w:tc>
          <w:tcPr>
            <w:tcW w:w="100" w:type="dxa"/>
            <w:vAlign w:val="bottom"/>
          </w:tcPr>
          <w:p>
            <w:pPr>
              <w:spacing w:after="0"/>
              <w:rPr>
                <w:sz w:val="15"/>
                <w:szCs w:val="15"/>
                <w:color w:val="auto"/>
              </w:rPr>
            </w:pPr>
          </w:p>
        </w:tc>
        <w:tc>
          <w:tcPr>
            <w:tcW w:w="1200" w:type="dxa"/>
            <w:vAlign w:val="bottom"/>
          </w:tcPr>
          <w:p>
            <w:pPr>
              <w:jc w:val="right"/>
              <w:spacing w:after="0"/>
              <w:rPr>
                <w:sz w:val="20"/>
                <w:szCs w:val="20"/>
                <w:color w:val="auto"/>
              </w:rPr>
            </w:pPr>
            <w:r>
              <w:rPr>
                <w:rFonts w:ascii="Arial" w:cs="Arial" w:eastAsia="Arial" w:hAnsi="Arial"/>
                <w:sz w:val="13"/>
                <w:szCs w:val="13"/>
                <w:color w:val="auto"/>
              </w:rPr>
              <w:t>—</w:t>
            </w:r>
          </w:p>
        </w:tc>
      </w:tr>
      <w:tr>
        <w:trPr>
          <w:trHeight w:val="25"/>
        </w:trPr>
        <w:tc>
          <w:tcPr>
            <w:tcW w:w="42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180"/>
        </w:trPr>
        <w:tc>
          <w:tcPr>
            <w:tcW w:w="4240" w:type="dxa"/>
            <w:vAlign w:val="bottom"/>
            <w:shd w:val="clear" w:color="auto" w:fill="CCEEFF"/>
          </w:tcPr>
          <w:p>
            <w:pPr>
              <w:ind w:left="100"/>
              <w:spacing w:after="0"/>
              <w:rPr>
                <w:sz w:val="20"/>
                <w:szCs w:val="20"/>
                <w:color w:val="auto"/>
              </w:rPr>
            </w:pPr>
            <w:r>
              <w:rPr>
                <w:rFonts w:ascii="Arial" w:cs="Arial" w:eastAsia="Arial" w:hAnsi="Arial"/>
                <w:sz w:val="13"/>
                <w:szCs w:val="13"/>
                <w:color w:val="auto"/>
              </w:rPr>
              <w:t>Due to customers</w:t>
            </w:r>
          </w:p>
        </w:tc>
        <w:tc>
          <w:tcPr>
            <w:tcW w:w="300" w:type="dxa"/>
            <w:vAlign w:val="bottom"/>
            <w:shd w:val="clear" w:color="auto" w:fill="CCEEFF"/>
          </w:tcPr>
          <w:p>
            <w:pPr>
              <w:spacing w:after="0"/>
              <w:rPr>
                <w:sz w:val="15"/>
                <w:szCs w:val="15"/>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369,678</w:t>
            </w:r>
          </w:p>
        </w:tc>
        <w:tc>
          <w:tcPr>
            <w:tcW w:w="100" w:type="dxa"/>
            <w:vAlign w:val="bottom"/>
            <w:shd w:val="clear" w:color="auto" w:fill="CCEEFF"/>
          </w:tcPr>
          <w:p>
            <w:pPr>
              <w:spacing w:after="0"/>
              <w:rPr>
                <w:sz w:val="15"/>
                <w:szCs w:val="15"/>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369,678</w:t>
            </w:r>
          </w:p>
        </w:tc>
        <w:tc>
          <w:tcPr>
            <w:tcW w:w="100" w:type="dxa"/>
            <w:vAlign w:val="bottom"/>
            <w:shd w:val="clear" w:color="auto" w:fill="CCEEFF"/>
          </w:tcPr>
          <w:p>
            <w:pPr>
              <w:spacing w:after="0"/>
              <w:rPr>
                <w:sz w:val="15"/>
                <w:szCs w:val="15"/>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369,678</w:t>
            </w:r>
          </w:p>
        </w:tc>
        <w:tc>
          <w:tcPr>
            <w:tcW w:w="80" w:type="dxa"/>
            <w:vAlign w:val="bottom"/>
            <w:shd w:val="clear" w:color="auto" w:fill="CCEEFF"/>
          </w:tcPr>
          <w:p>
            <w:pPr>
              <w:spacing w:after="0"/>
              <w:rPr>
                <w:sz w:val="15"/>
                <w:szCs w:val="15"/>
                <w:color w:val="auto"/>
              </w:rPr>
            </w:pPr>
          </w:p>
        </w:tc>
        <w:tc>
          <w:tcPr>
            <w:tcW w:w="13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r>
      <w:tr>
        <w:trPr>
          <w:trHeight w:val="25"/>
        </w:trPr>
        <w:tc>
          <w:tcPr>
            <w:tcW w:w="4240" w:type="dxa"/>
            <w:vAlign w:val="bottom"/>
            <w:shd w:val="clear" w:color="auto" w:fill="CCEEFF"/>
          </w:tcPr>
          <w:p>
            <w:pPr>
              <w:spacing w:after="0"/>
              <w:rPr>
                <w:sz w:val="2"/>
                <w:szCs w:val="2"/>
                <w:color w:val="auto"/>
              </w:rPr>
            </w:pPr>
          </w:p>
        </w:tc>
        <w:tc>
          <w:tcPr>
            <w:tcW w:w="300" w:type="dxa"/>
            <w:vAlign w:val="bottom"/>
            <w:shd w:val="clear" w:color="auto" w:fill="CCEEFF"/>
          </w:tcPr>
          <w:p>
            <w:pPr>
              <w:spacing w:after="0"/>
              <w:rPr>
                <w:sz w:val="2"/>
                <w:szCs w:val="2"/>
                <w:color w:val="auto"/>
              </w:rPr>
            </w:pPr>
          </w:p>
        </w:tc>
        <w:tc>
          <w:tcPr>
            <w:tcW w:w="12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6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20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12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200" w:type="dxa"/>
            <w:vAlign w:val="bottom"/>
            <w:shd w:val="clear" w:color="auto" w:fill="CCEEFF"/>
          </w:tcPr>
          <w:p>
            <w:pPr>
              <w:spacing w:after="0"/>
              <w:rPr>
                <w:sz w:val="2"/>
                <w:szCs w:val="2"/>
                <w:color w:val="auto"/>
              </w:rPr>
            </w:pPr>
          </w:p>
        </w:tc>
      </w:tr>
    </w:tbl>
    <w:p>
      <w:pPr>
        <w:spacing w:after="0" w:line="119" w:lineRule="exact"/>
        <w:rPr>
          <w:sz w:val="20"/>
          <w:szCs w:val="20"/>
          <w:color w:val="auto"/>
        </w:rPr>
      </w:pPr>
    </w:p>
    <w:p>
      <w:pPr>
        <w:spacing w:after="0"/>
        <w:rPr>
          <w:sz w:val="20"/>
          <w:szCs w:val="20"/>
          <w:color w:val="auto"/>
        </w:rPr>
      </w:pPr>
      <w:r>
        <w:rPr>
          <w:rFonts w:ascii="Arial" w:cs="Arial" w:eastAsia="Arial" w:hAnsi="Arial"/>
          <w:sz w:val="13"/>
          <w:szCs w:val="13"/>
          <w:color w:val="auto"/>
        </w:rPr>
        <w:t>The methodologies for estimating the fair value of financial assets and liabilities are described in note 20 of the notes to consolidated financial statements included in the 2018 Annual Report.</w:t>
      </w:r>
    </w:p>
    <w:p>
      <w:pPr>
        <w:spacing w:after="0" w:line="200" w:lineRule="exact"/>
        <w:rPr>
          <w:sz w:val="20"/>
          <w:szCs w:val="20"/>
          <w:color w:val="auto"/>
        </w:rPr>
      </w:pP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24</w:t>
      </w:r>
    </w:p>
    <w:p>
      <w:pPr>
        <w:sectPr>
          <w:pgSz w:w="11900" w:h="16838" w:orient="portrait"/>
          <w:cols w:equalWidth="0" w:num="1">
            <w:col w:w="11460"/>
          </w:cols>
          <w:pgMar w:left="220" w:top="739" w:right="219" w:bottom="1440" w:gutter="0" w:footer="0" w:header="0"/>
        </w:sectPr>
      </w:pPr>
    </w:p>
    <w:bookmarkStart w:id="25" w:name="page26"/>
    <w:bookmarkEnd w:id="25"/>
    <w:p>
      <w:pPr>
        <w:spacing w:after="0"/>
        <w:rPr>
          <w:sz w:val="20"/>
          <w:szCs w:val="20"/>
          <w:color w:val="auto"/>
        </w:rPr>
      </w:pPr>
      <w:r>
        <w:rPr>
          <w:rFonts w:ascii="Arial" w:cs="Arial" w:eastAsia="Arial" w:hAnsi="Arial"/>
          <w:sz w:val="14"/>
          <w:szCs w:val="14"/>
          <w:b w:val="1"/>
          <w:bCs w:val="1"/>
          <w:color w:val="auto"/>
        </w:rPr>
        <w:t>ITEM 2. MANAGEMENT’S DISCUSSION AND ANALYSIS OF FINANCIAL CONDITION AND RESULTS OF OPERATIONS</w:t>
      </w:r>
    </w:p>
    <w:p>
      <w:pPr>
        <w:spacing w:after="0" w:line="141" w:lineRule="exact"/>
        <w:rPr>
          <w:sz w:val="20"/>
          <w:szCs w:val="20"/>
          <w:color w:val="auto"/>
        </w:rPr>
      </w:pPr>
    </w:p>
    <w:p>
      <w:pPr>
        <w:jc w:val="both"/>
        <w:spacing w:after="0" w:line="294" w:lineRule="auto"/>
        <w:rPr>
          <w:sz w:val="20"/>
          <w:szCs w:val="20"/>
          <w:color w:val="auto"/>
        </w:rPr>
      </w:pPr>
      <w:r>
        <w:rPr>
          <w:rFonts w:ascii="Arial" w:cs="Arial" w:eastAsia="Arial" w:hAnsi="Arial"/>
          <w:sz w:val="14"/>
          <w:szCs w:val="14"/>
          <w:b w:val="1"/>
          <w:bCs w:val="1"/>
          <w:color w:val="auto"/>
        </w:rPr>
        <w:t>(Management’s Discussion and Analysis of Financial Condition and Results of Operations is for the three months ended March 31, 2019 and 2018. All dollars are in thousands, except per share amounts, unless otherwise noted.)</w:t>
      </w:r>
    </w:p>
    <w:p>
      <w:pPr>
        <w:spacing w:after="0" w:line="84" w:lineRule="exact"/>
        <w:rPr>
          <w:sz w:val="20"/>
          <w:szCs w:val="20"/>
          <w:color w:val="auto"/>
        </w:rPr>
      </w:pPr>
    </w:p>
    <w:p>
      <w:pPr>
        <w:jc w:val="both"/>
        <w:spacing w:after="0" w:line="328" w:lineRule="auto"/>
        <w:rPr>
          <w:sz w:val="20"/>
          <w:szCs w:val="20"/>
          <w:color w:val="auto"/>
        </w:rPr>
      </w:pPr>
      <w:r>
        <w:rPr>
          <w:rFonts w:ascii="Arial" w:cs="Arial" w:eastAsia="Arial" w:hAnsi="Arial"/>
          <w:sz w:val="13"/>
          <w:szCs w:val="13"/>
          <w:color w:val="auto"/>
        </w:rPr>
        <w:t>The following discussion and analysis provides information that the Company’s management believes is relevant to an assessment and understanding of the consolidated results of operations and financial condition of the Company. The discussion should be read in conjunction with the Company’s consolidated financial statements included in the 2018 Annual Report.</w:t>
      </w:r>
    </w:p>
    <w:p>
      <w:pPr>
        <w:spacing w:after="0" w:line="62"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Forward-looking and cautionary statements</w:t>
      </w:r>
    </w:p>
    <w:p>
      <w:pPr>
        <w:spacing w:after="0" w:line="145" w:lineRule="exact"/>
        <w:rPr>
          <w:sz w:val="20"/>
          <w:szCs w:val="20"/>
          <w:color w:val="auto"/>
        </w:rPr>
      </w:pPr>
    </w:p>
    <w:p>
      <w:pPr>
        <w:jc w:val="both"/>
        <w:spacing w:after="0" w:line="264" w:lineRule="auto"/>
        <w:rPr>
          <w:sz w:val="20"/>
          <w:szCs w:val="20"/>
          <w:color w:val="auto"/>
        </w:rPr>
      </w:pPr>
      <w:r>
        <w:rPr>
          <w:rFonts w:ascii="Arial" w:cs="Arial" w:eastAsia="Arial" w:hAnsi="Arial"/>
          <w:sz w:val="14"/>
          <w:szCs w:val="14"/>
          <w:color w:val="auto"/>
        </w:rPr>
        <w:t>This report contains forward-looking statements and information that are based on management's current expectations as of the date of this document. Statements that are not historical facts, including statements about the Company's plans and expectations for future financial condition, results of operations or economic performance, or that address management's plans and objectives for future operations, and statements that assume or are dependent upon future events, are forward-looking statements. The words “anticipate,” “assume,” “believe,” “continue,” “could,” “estimate,” “expect,” “forecast,” “future,” “intend,” “may,” “plan,” “potential,” “predict,” “scheduled,” “should,” “will,” “would,” and similar expressions, as well as statements in future tense, are intended to identify forward-looking statements.</w:t>
      </w:r>
    </w:p>
    <w:p>
      <w:pPr>
        <w:spacing w:after="0" w:line="106" w:lineRule="exact"/>
        <w:rPr>
          <w:sz w:val="20"/>
          <w:szCs w:val="20"/>
          <w:color w:val="auto"/>
        </w:rPr>
      </w:pPr>
    </w:p>
    <w:p>
      <w:pPr>
        <w:jc w:val="both"/>
        <w:spacing w:after="0" w:line="325" w:lineRule="auto"/>
        <w:rPr>
          <w:sz w:val="20"/>
          <w:szCs w:val="20"/>
          <w:color w:val="auto"/>
        </w:rPr>
      </w:pPr>
      <w:r>
        <w:rPr>
          <w:rFonts w:ascii="Arial" w:cs="Arial" w:eastAsia="Arial" w:hAnsi="Arial"/>
          <w:sz w:val="12"/>
          <w:szCs w:val="12"/>
          <w:color w:val="auto"/>
        </w:rPr>
        <w:t>The forward-looking statements are based on assumptions and analyses made by management in light of management's experience and its perception of historical trends, current conditions, expected future developments, and other factors that management believes are appropriate under the circumstances. These statements are subject to known and unknown risks, uncertainties, assumptions, and other factors that may cause the actual results and performance to be materially different from any future results or performance expressed or implied by such forward-looking statements. These factors include, among others, the risks and uncertainties set forth in the “Risk Factors” section of the 2018 Annual Report and elsewhere in this report, and include such risks and uncertainties as:</w:t>
      </w:r>
    </w:p>
    <w:p>
      <w:pPr>
        <w:spacing w:after="0" w:line="72" w:lineRule="exact"/>
        <w:rPr>
          <w:sz w:val="20"/>
          <w:szCs w:val="20"/>
          <w:color w:val="auto"/>
        </w:rPr>
      </w:pPr>
    </w:p>
    <w:p>
      <w:pPr>
        <w:jc w:val="both"/>
        <w:ind w:left="260" w:hanging="254"/>
        <w:spacing w:after="0" w:line="294" w:lineRule="auto"/>
        <w:tabs>
          <w:tab w:leader="none" w:pos="256" w:val="left"/>
        </w:tabs>
        <w:numPr>
          <w:ilvl w:val="0"/>
          <w:numId w:val="7"/>
        </w:numPr>
        <w:rPr>
          <w:rFonts w:ascii="Arial" w:cs="Arial" w:eastAsia="Arial" w:hAnsi="Arial"/>
          <w:sz w:val="13"/>
          <w:szCs w:val="13"/>
          <w:color w:val="auto"/>
        </w:rPr>
      </w:pPr>
      <w:r>
        <w:rPr>
          <w:rFonts w:ascii="Arial" w:cs="Arial" w:eastAsia="Arial" w:hAnsi="Arial"/>
          <w:sz w:val="13"/>
          <w:szCs w:val="13"/>
          <w:color w:val="auto"/>
        </w:rPr>
        <w:t>loan portfolio risks such as interest rate basis and repricing risk resulting from the fact that the interest rate characteristics of the student loan assets do not match the interest rate characteristics of the funding for those assets, the risk of loss of floor income on certain student loans originated under the Federal Family Education Loan Program (the "FFEL Program" or "FFELP"), risks related to the use of derivatives to manage exposure to interest rate fluctuations, uncertainties regarding the expected benefits from purchased securitized and unsecuritized FFELP, private education, and consumer loans and initiatives to purchase additional FFELP, private education, and consumer loans, and risks from changes in levels of loan prepayment or default rates;</w:t>
      </w:r>
    </w:p>
    <w:p>
      <w:pPr>
        <w:spacing w:after="0" w:line="86" w:lineRule="exact"/>
        <w:rPr>
          <w:rFonts w:ascii="Arial" w:cs="Arial" w:eastAsia="Arial" w:hAnsi="Arial"/>
          <w:sz w:val="13"/>
          <w:szCs w:val="13"/>
          <w:color w:val="auto"/>
        </w:rPr>
      </w:pPr>
    </w:p>
    <w:p>
      <w:pPr>
        <w:jc w:val="both"/>
        <w:ind w:left="260" w:hanging="254"/>
        <w:spacing w:after="0" w:line="267" w:lineRule="auto"/>
        <w:tabs>
          <w:tab w:leader="none" w:pos="256" w:val="left"/>
        </w:tabs>
        <w:numPr>
          <w:ilvl w:val="0"/>
          <w:numId w:val="7"/>
        </w:numPr>
        <w:rPr>
          <w:rFonts w:ascii="Arial" w:cs="Arial" w:eastAsia="Arial" w:hAnsi="Arial"/>
          <w:sz w:val="14"/>
          <w:szCs w:val="14"/>
          <w:color w:val="auto"/>
        </w:rPr>
      </w:pPr>
      <w:r>
        <w:rPr>
          <w:rFonts w:ascii="Arial" w:cs="Arial" w:eastAsia="Arial" w:hAnsi="Arial"/>
          <w:sz w:val="14"/>
          <w:szCs w:val="14"/>
          <w:color w:val="auto"/>
        </w:rPr>
        <w:t>financing and liquidity risks, including risks of changes in the general interest rate environment, including the availability of any relevant money market index rate such as LIBOR or the relationship between the relevant money market index rate and the rate at which the Company's assets and liabilities are priced, and in the securitization and other financing markets for loans, including adverse changes resulting from unanticipated repayment trends on student loans in FFELP securitization trusts that could accelerate or delay repayment of the associated bonds, which may increase the costs or limit the availability of financings necessary to purchase, refinance, or continue to hold student loans;</w:t>
      </w:r>
    </w:p>
    <w:p>
      <w:pPr>
        <w:spacing w:after="0" w:line="102" w:lineRule="exact"/>
        <w:rPr>
          <w:rFonts w:ascii="Arial" w:cs="Arial" w:eastAsia="Arial" w:hAnsi="Arial"/>
          <w:sz w:val="14"/>
          <w:szCs w:val="14"/>
          <w:color w:val="auto"/>
        </w:rPr>
      </w:pPr>
    </w:p>
    <w:p>
      <w:pPr>
        <w:jc w:val="both"/>
        <w:ind w:left="260" w:hanging="254"/>
        <w:spacing w:after="0" w:line="302" w:lineRule="auto"/>
        <w:tabs>
          <w:tab w:leader="none" w:pos="256" w:val="left"/>
        </w:tabs>
        <w:numPr>
          <w:ilvl w:val="0"/>
          <w:numId w:val="7"/>
        </w:numPr>
        <w:rPr>
          <w:rFonts w:ascii="Arial" w:cs="Arial" w:eastAsia="Arial" w:hAnsi="Arial"/>
          <w:sz w:val="13"/>
          <w:szCs w:val="13"/>
          <w:color w:val="auto"/>
        </w:rPr>
      </w:pPr>
      <w:r>
        <w:rPr>
          <w:rFonts w:ascii="Arial" w:cs="Arial" w:eastAsia="Arial" w:hAnsi="Arial"/>
          <w:sz w:val="13"/>
          <w:szCs w:val="13"/>
          <w:color w:val="auto"/>
        </w:rPr>
        <w:t>risks from changes in the educational credit and services markets resulting from changes in applicable laws, regulations, and government programs and budgets, such as the expected decline over time in FFELP loan interest income and fee-based revenues due to the discontinuation of new FFELP loan originations in 2010 and potential government initiatives or legislative proposals to consolidate existing FFELP loans to the Federal Direct Loan Program or otherwise allow FFELP loans to be refinanced with Federal Direct Loan Program loans;</w:t>
      </w:r>
    </w:p>
    <w:p>
      <w:pPr>
        <w:spacing w:after="0" w:line="82" w:lineRule="exact"/>
        <w:rPr>
          <w:rFonts w:ascii="Arial" w:cs="Arial" w:eastAsia="Arial" w:hAnsi="Arial"/>
          <w:sz w:val="13"/>
          <w:szCs w:val="13"/>
          <w:color w:val="auto"/>
        </w:rPr>
      </w:pPr>
    </w:p>
    <w:p>
      <w:pPr>
        <w:jc w:val="both"/>
        <w:ind w:left="260" w:hanging="254"/>
        <w:spacing w:after="0" w:line="262" w:lineRule="auto"/>
        <w:tabs>
          <w:tab w:leader="none" w:pos="256" w:val="left"/>
        </w:tabs>
        <w:numPr>
          <w:ilvl w:val="0"/>
          <w:numId w:val="7"/>
        </w:numPr>
        <w:rPr>
          <w:rFonts w:ascii="Arial" w:cs="Arial" w:eastAsia="Arial" w:hAnsi="Arial"/>
          <w:sz w:val="14"/>
          <w:szCs w:val="14"/>
          <w:color w:val="auto"/>
        </w:rPr>
      </w:pPr>
      <w:r>
        <w:rPr>
          <w:rFonts w:ascii="Arial" w:cs="Arial" w:eastAsia="Arial" w:hAnsi="Arial"/>
          <w:sz w:val="14"/>
          <w:szCs w:val="14"/>
          <w:color w:val="auto"/>
        </w:rPr>
        <w:t>the uncertain nature of the expected benefits from the acquisition of Great Lakes Educational Loan Services, Inc. ("Great Lakes") on February 7, 2018 and the ability to successfully integrate technology and other activities and successfully maintain and increase allocated volumes of student loans serviced under existing and any future servicing contracts with the U.S. Department of Education (the "Department"), which current contracts accounted for 30 percent of the Company's revenue in 2018 and may be extended from June 16, 2019 to December 15, 2019 (but any such extension is not assured), risks to the Company related to the Department's initiatives to procure new contracts for federal student loan servicing, including the risk that the Company or Company teams may not be successful in obtaining contracts, risks related to the development by the Company of a new student loan servicing platform, including risks as to whether the expected benefits from the new platform will be realized, and risks related to the Company's ability to comply with agreements with third-party customers for the servicing of Federal Direct Loan Program, FFELP, and private education and consumer loans;</w:t>
      </w:r>
    </w:p>
    <w:p>
      <w:pPr>
        <w:spacing w:after="0" w:line="200" w:lineRule="exact"/>
        <w:rPr>
          <w:sz w:val="20"/>
          <w:szCs w:val="20"/>
          <w:color w:val="auto"/>
        </w:rPr>
      </w:pPr>
    </w:p>
    <w:p>
      <w:pPr>
        <w:spacing w:after="0" w:line="348"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25</w:t>
      </w:r>
    </w:p>
    <w:p>
      <w:pPr>
        <w:sectPr>
          <w:pgSz w:w="11900" w:h="16838" w:orient="portrait"/>
          <w:cols w:equalWidth="0" w:num="1">
            <w:col w:w="11460"/>
          </w:cols>
          <w:pgMar w:left="220" w:top="868" w:right="219" w:bottom="1440" w:gutter="0" w:footer="0" w:header="0"/>
        </w:sectPr>
      </w:pPr>
    </w:p>
    <w:bookmarkStart w:id="26" w:name="page27"/>
    <w:bookmarkEnd w:id="26"/>
    <w:p>
      <w:pPr>
        <w:jc w:val="both"/>
        <w:ind w:left="260" w:hanging="254"/>
        <w:spacing w:after="0" w:line="272" w:lineRule="auto"/>
        <w:tabs>
          <w:tab w:leader="none" w:pos="256" w:val="left"/>
        </w:tabs>
        <w:numPr>
          <w:ilvl w:val="0"/>
          <w:numId w:val="8"/>
        </w:numPr>
        <w:rPr>
          <w:rFonts w:ascii="Arial" w:cs="Arial" w:eastAsia="Arial" w:hAnsi="Arial"/>
          <w:sz w:val="14"/>
          <w:szCs w:val="14"/>
          <w:color w:val="auto"/>
        </w:rPr>
      </w:pPr>
      <w:r>
        <w:rPr>
          <w:rFonts w:ascii="Arial" w:cs="Arial" w:eastAsia="Arial" w:hAnsi="Arial"/>
          <w:sz w:val="14"/>
          <w:szCs w:val="14"/>
          <w:color w:val="auto"/>
        </w:rPr>
        <w:t>risks related to a breach of or failure in the Company's operational or information systems or infrastructure, or those of third-party vendors, including cybersecurity risks related to the potential disclosure of confidential student loan borrower and other customer information, the potential disruption of the Company's systems or those of third-party vendors or customers, and/or the potential damage to the Company's reputation resulting from cyber-breaches;</w:t>
      </w:r>
    </w:p>
    <w:p>
      <w:pPr>
        <w:spacing w:after="0" w:line="99" w:lineRule="exact"/>
        <w:rPr>
          <w:rFonts w:ascii="Arial" w:cs="Arial" w:eastAsia="Arial" w:hAnsi="Arial"/>
          <w:sz w:val="14"/>
          <w:szCs w:val="14"/>
          <w:color w:val="auto"/>
        </w:rPr>
      </w:pPr>
    </w:p>
    <w:p>
      <w:pPr>
        <w:ind w:left="260" w:hanging="254"/>
        <w:spacing w:after="0"/>
        <w:tabs>
          <w:tab w:leader="none" w:pos="260" w:val="left"/>
        </w:tabs>
        <w:numPr>
          <w:ilvl w:val="0"/>
          <w:numId w:val="8"/>
        </w:numPr>
        <w:rPr>
          <w:rFonts w:ascii="Arial" w:cs="Arial" w:eastAsia="Arial" w:hAnsi="Arial"/>
          <w:sz w:val="14"/>
          <w:szCs w:val="14"/>
          <w:color w:val="auto"/>
        </w:rPr>
      </w:pPr>
      <w:r>
        <w:rPr>
          <w:rFonts w:ascii="Arial" w:cs="Arial" w:eastAsia="Arial" w:hAnsi="Arial"/>
          <w:sz w:val="14"/>
          <w:szCs w:val="14"/>
          <w:color w:val="auto"/>
        </w:rPr>
        <w:t>uncertainties inherent in forecasting future cash flows from student loan assets and related asset-backed securitizations;</w:t>
      </w:r>
    </w:p>
    <w:p>
      <w:pPr>
        <w:spacing w:after="0" w:line="140" w:lineRule="exact"/>
        <w:rPr>
          <w:rFonts w:ascii="Arial" w:cs="Arial" w:eastAsia="Arial" w:hAnsi="Arial"/>
          <w:sz w:val="14"/>
          <w:szCs w:val="14"/>
          <w:color w:val="auto"/>
        </w:rPr>
      </w:pPr>
    </w:p>
    <w:p>
      <w:pPr>
        <w:ind w:left="260" w:hanging="254"/>
        <w:spacing w:after="0" w:line="288" w:lineRule="auto"/>
        <w:tabs>
          <w:tab w:leader="none" w:pos="256" w:val="left"/>
        </w:tabs>
        <w:numPr>
          <w:ilvl w:val="0"/>
          <w:numId w:val="8"/>
        </w:numPr>
        <w:rPr>
          <w:rFonts w:ascii="Arial" w:cs="Arial" w:eastAsia="Arial" w:hAnsi="Arial"/>
          <w:sz w:val="14"/>
          <w:szCs w:val="14"/>
          <w:color w:val="auto"/>
        </w:rPr>
      </w:pPr>
      <w:r>
        <w:rPr>
          <w:rFonts w:ascii="Arial" w:cs="Arial" w:eastAsia="Arial" w:hAnsi="Arial"/>
          <w:sz w:val="14"/>
          <w:szCs w:val="14"/>
          <w:color w:val="auto"/>
        </w:rPr>
        <w:t>risks and uncertainties related to the ability of ALLO Communications LLC to successfully expand its fiber network and market share in existing service areas and additional communities and manage related construction risks;</w:t>
      </w:r>
    </w:p>
    <w:p>
      <w:pPr>
        <w:spacing w:after="0" w:line="87" w:lineRule="exact"/>
        <w:rPr>
          <w:rFonts w:ascii="Arial" w:cs="Arial" w:eastAsia="Arial" w:hAnsi="Arial"/>
          <w:sz w:val="14"/>
          <w:szCs w:val="14"/>
          <w:color w:val="auto"/>
        </w:rPr>
      </w:pPr>
    </w:p>
    <w:p>
      <w:pPr>
        <w:ind w:left="260" w:hanging="254"/>
        <w:spacing w:after="0" w:line="288" w:lineRule="auto"/>
        <w:tabs>
          <w:tab w:leader="none" w:pos="256" w:val="left"/>
        </w:tabs>
        <w:numPr>
          <w:ilvl w:val="0"/>
          <w:numId w:val="8"/>
        </w:numPr>
        <w:rPr>
          <w:rFonts w:ascii="Arial" w:cs="Arial" w:eastAsia="Arial" w:hAnsi="Arial"/>
          <w:sz w:val="14"/>
          <w:szCs w:val="14"/>
          <w:color w:val="auto"/>
        </w:rPr>
      </w:pPr>
      <w:r>
        <w:rPr>
          <w:rFonts w:ascii="Arial" w:cs="Arial" w:eastAsia="Arial" w:hAnsi="Arial"/>
          <w:sz w:val="14"/>
          <w:szCs w:val="14"/>
          <w:color w:val="auto"/>
        </w:rPr>
        <w:t>risks and uncertainties related to initiatives to pursue additional strategic investments and acquisitions, including investments and acquisitions that are intended to diversify the Company both within and outside of its historical core education-related businesses; and</w:t>
      </w:r>
    </w:p>
    <w:p>
      <w:pPr>
        <w:spacing w:after="0" w:line="87" w:lineRule="exact"/>
        <w:rPr>
          <w:rFonts w:ascii="Arial" w:cs="Arial" w:eastAsia="Arial" w:hAnsi="Arial"/>
          <w:sz w:val="14"/>
          <w:szCs w:val="14"/>
          <w:color w:val="auto"/>
        </w:rPr>
      </w:pPr>
    </w:p>
    <w:p>
      <w:pPr>
        <w:jc w:val="both"/>
        <w:ind w:left="260" w:hanging="254"/>
        <w:spacing w:after="0" w:line="272" w:lineRule="auto"/>
        <w:tabs>
          <w:tab w:leader="none" w:pos="256" w:val="left"/>
        </w:tabs>
        <w:numPr>
          <w:ilvl w:val="0"/>
          <w:numId w:val="8"/>
        </w:numPr>
        <w:rPr>
          <w:rFonts w:ascii="Arial" w:cs="Arial" w:eastAsia="Arial" w:hAnsi="Arial"/>
          <w:sz w:val="14"/>
          <w:szCs w:val="14"/>
          <w:color w:val="auto"/>
        </w:rPr>
      </w:pPr>
      <w:r>
        <w:rPr>
          <w:rFonts w:ascii="Arial" w:cs="Arial" w:eastAsia="Arial" w:hAnsi="Arial"/>
          <w:sz w:val="14"/>
          <w:szCs w:val="14"/>
          <w:color w:val="auto"/>
        </w:rPr>
        <w:t>risks and uncertainties associated with litigation matters and with maintaining compliance with the extensive regulatory requirements applicable to the Company's businesses, reputational and other risks, including the risk of increased regulatory costs, resulting from the politicization of student loan servicing, and uncertainties inherent in the estimates and assumptions about future events that management is required to make in the preparation of the Company's consolidated financial statements.</w:t>
      </w:r>
    </w:p>
    <w:p>
      <w:pPr>
        <w:spacing w:after="0" w:line="99" w:lineRule="exact"/>
        <w:rPr>
          <w:sz w:val="20"/>
          <w:szCs w:val="20"/>
          <w:color w:val="auto"/>
        </w:rPr>
      </w:pPr>
    </w:p>
    <w:p>
      <w:pPr>
        <w:jc w:val="both"/>
        <w:spacing w:after="0" w:line="272" w:lineRule="auto"/>
        <w:rPr>
          <w:sz w:val="20"/>
          <w:szCs w:val="20"/>
          <w:color w:val="auto"/>
        </w:rPr>
      </w:pPr>
      <w:r>
        <w:rPr>
          <w:rFonts w:ascii="Arial" w:cs="Arial" w:eastAsia="Arial" w:hAnsi="Arial"/>
          <w:sz w:val="14"/>
          <w:szCs w:val="14"/>
          <w:color w:val="auto"/>
        </w:rPr>
        <w:t>All forward-looking statements contained in this report are qualified by these cautionary statements and are made only as of the date of this document. Although the Company may from time to time voluntarily update or revise its prior forward-looking statements to reflect actual results or changes in the Company's expectations, the Company disclaims any commitment to do so except as required by securities laws.</w:t>
      </w:r>
    </w:p>
    <w:p>
      <w:pPr>
        <w:spacing w:after="0" w:line="95"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OVERVIEW</w:t>
      </w:r>
    </w:p>
    <w:p>
      <w:pPr>
        <w:spacing w:after="0" w:line="145" w:lineRule="exact"/>
        <w:rPr>
          <w:sz w:val="20"/>
          <w:szCs w:val="20"/>
          <w:color w:val="auto"/>
        </w:rPr>
      </w:pPr>
    </w:p>
    <w:p>
      <w:pPr>
        <w:jc w:val="both"/>
        <w:spacing w:after="0" w:line="267" w:lineRule="auto"/>
        <w:rPr>
          <w:sz w:val="20"/>
          <w:szCs w:val="20"/>
          <w:color w:val="auto"/>
        </w:rPr>
      </w:pPr>
      <w:r>
        <w:rPr>
          <w:rFonts w:ascii="Arial" w:cs="Arial" w:eastAsia="Arial" w:hAnsi="Arial"/>
          <w:sz w:val="14"/>
          <w:szCs w:val="14"/>
          <w:color w:val="auto"/>
        </w:rPr>
        <w:t>The Company is a diverse company with a focus on delivering education-related products and services and loan asset management. The largest operating businesses engage in student loan servicing; education technology, services, and payment processing; and communications. A significant portion of the Company's revenue is net interest income earned on a portfolio of federally insured student loans. The Company also makes investments to further diversify the Company both within and outside of its historical core education-related businesses, including, but not limited to, investments in real estate and early-stage and emerging growth companies.</w:t>
      </w:r>
    </w:p>
    <w:p>
      <w:pPr>
        <w:spacing w:after="0" w:line="103" w:lineRule="exact"/>
        <w:rPr>
          <w:sz w:val="20"/>
          <w:szCs w:val="20"/>
          <w:color w:val="auto"/>
        </w:rPr>
      </w:pPr>
    </w:p>
    <w:p>
      <w:pPr>
        <w:spacing w:after="0"/>
        <w:rPr>
          <w:sz w:val="20"/>
          <w:szCs w:val="20"/>
          <w:color w:val="auto"/>
        </w:rPr>
      </w:pPr>
      <w:r>
        <w:rPr>
          <w:rFonts w:ascii="Arial" w:cs="Arial" w:eastAsia="Arial" w:hAnsi="Arial"/>
          <w:sz w:val="14"/>
          <w:szCs w:val="14"/>
          <w:b w:val="1"/>
          <w:bCs w:val="1"/>
          <w:i w:val="1"/>
          <w:iCs w:val="1"/>
          <w:color w:val="auto"/>
        </w:rPr>
        <w:t>GAAP Net Income and Non-GAAP Net Income, Excluding Adjustments</w:t>
      </w:r>
    </w:p>
    <w:p>
      <w:pPr>
        <w:spacing w:after="0" w:line="141" w:lineRule="exact"/>
        <w:rPr>
          <w:sz w:val="20"/>
          <w:szCs w:val="20"/>
          <w:color w:val="auto"/>
        </w:rPr>
      </w:pPr>
    </w:p>
    <w:p>
      <w:pPr>
        <w:jc w:val="both"/>
        <w:spacing w:after="0" w:line="272" w:lineRule="auto"/>
        <w:rPr>
          <w:sz w:val="20"/>
          <w:szCs w:val="20"/>
          <w:color w:val="auto"/>
        </w:rPr>
      </w:pPr>
      <w:r>
        <w:rPr>
          <w:rFonts w:ascii="Arial" w:cs="Arial" w:eastAsia="Arial" w:hAnsi="Arial"/>
          <w:sz w:val="14"/>
          <w:szCs w:val="14"/>
          <w:color w:val="auto"/>
        </w:rPr>
        <w:t>The Company prepares its financial statements and presents its financial results in accordance with U.S. GAAP. However, it also provides additional non-GAAP financial information related to specific items management believes to be important in the evaluation of its operating results and performance. A reconciliation of the Company's GAAP net income to net income, excluding derivative market value adjustments, and a discussion of why the Company believes providing this additional information is useful to investors, is provided below.</w:t>
      </w:r>
    </w:p>
    <w:p>
      <w:pPr>
        <w:spacing w:after="0" w:line="13" w:lineRule="exact"/>
        <w:rPr>
          <w:sz w:val="20"/>
          <w:szCs w:val="20"/>
          <w:color w:val="auto"/>
        </w:rPr>
      </w:pPr>
    </w:p>
    <w:tbl>
      <w:tblPr>
        <w:tblLayout w:type="fixed"/>
        <w:tblInd w:w="580" w:type="dxa"/>
        <w:tblCellMar>
          <w:top w:w="0" w:type="dxa"/>
          <w:left w:w="0" w:type="dxa"/>
          <w:bottom w:w="0" w:type="dxa"/>
          <w:right w:w="0" w:type="dxa"/>
        </w:tblCellMar>
      </w:tblPr>
      <w:tr>
        <w:trPr>
          <w:trHeight w:val="167"/>
        </w:trPr>
        <w:tc>
          <w:tcPr>
            <w:tcW w:w="7440" w:type="dxa"/>
            <w:vAlign w:val="bottom"/>
          </w:tcPr>
          <w:p>
            <w:pPr>
              <w:spacing w:after="0"/>
              <w:rPr>
                <w:sz w:val="14"/>
                <w:szCs w:val="14"/>
                <w:color w:val="auto"/>
              </w:rPr>
            </w:pPr>
          </w:p>
        </w:tc>
        <w:tc>
          <w:tcPr>
            <w:tcW w:w="2340" w:type="dxa"/>
            <w:vAlign w:val="bottom"/>
            <w:gridSpan w:val="4"/>
          </w:tcPr>
          <w:p>
            <w:pPr>
              <w:jc w:val="right"/>
              <w:ind w:right="40"/>
              <w:spacing w:after="0"/>
              <w:rPr>
                <w:sz w:val="20"/>
                <w:szCs w:val="20"/>
                <w:color w:val="auto"/>
              </w:rPr>
            </w:pPr>
            <w:r>
              <w:rPr>
                <w:rFonts w:ascii="Arial" w:cs="Arial" w:eastAsia="Arial" w:hAnsi="Arial"/>
                <w:sz w:val="13"/>
                <w:szCs w:val="13"/>
                <w:b w:val="1"/>
                <w:bCs w:val="1"/>
                <w:color w:val="auto"/>
              </w:rPr>
              <w:t>Three months ended March 31,</w:t>
            </w:r>
          </w:p>
        </w:tc>
        <w:tc>
          <w:tcPr>
            <w:tcW w:w="5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7"/>
        </w:trPr>
        <w:tc>
          <w:tcPr>
            <w:tcW w:w="7440" w:type="dxa"/>
            <w:vAlign w:val="bottom"/>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gridSpan w:val="3"/>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69"/>
        </w:trPr>
        <w:tc>
          <w:tcPr>
            <w:tcW w:w="7440" w:type="dxa"/>
            <w:vAlign w:val="bottom"/>
          </w:tcPr>
          <w:p>
            <w:pPr>
              <w:spacing w:after="0"/>
              <w:rPr>
                <w:sz w:val="14"/>
                <w:szCs w:val="14"/>
                <w:color w:val="auto"/>
              </w:rPr>
            </w:pPr>
          </w:p>
        </w:tc>
        <w:tc>
          <w:tcPr>
            <w:tcW w:w="900" w:type="dxa"/>
            <w:vAlign w:val="bottom"/>
          </w:tcPr>
          <w:p>
            <w:pPr>
              <w:jc w:val="right"/>
              <w:ind w:right="15"/>
              <w:spacing w:after="0"/>
              <w:rPr>
                <w:sz w:val="20"/>
                <w:szCs w:val="20"/>
                <w:color w:val="auto"/>
              </w:rPr>
            </w:pPr>
            <w:r>
              <w:rPr>
                <w:rFonts w:ascii="Arial" w:cs="Arial" w:eastAsia="Arial" w:hAnsi="Arial"/>
                <w:sz w:val="13"/>
                <w:szCs w:val="13"/>
                <w:b w:val="1"/>
                <w:bCs w:val="1"/>
                <w:color w:val="auto"/>
              </w:rPr>
              <w:t>2019</w:t>
            </w:r>
          </w:p>
        </w:tc>
        <w:tc>
          <w:tcPr>
            <w:tcW w:w="1440" w:type="dxa"/>
            <w:vAlign w:val="bottom"/>
            <w:gridSpan w:val="3"/>
          </w:tcPr>
          <w:p>
            <w:pPr>
              <w:jc w:val="right"/>
              <w:ind w:right="40"/>
              <w:spacing w:after="0"/>
              <w:rPr>
                <w:sz w:val="20"/>
                <w:szCs w:val="20"/>
                <w:color w:val="auto"/>
              </w:rPr>
            </w:pPr>
            <w:r>
              <w:rPr>
                <w:rFonts w:ascii="Arial" w:cs="Arial" w:eastAsia="Arial" w:hAnsi="Arial"/>
                <w:sz w:val="13"/>
                <w:szCs w:val="13"/>
                <w:b w:val="1"/>
                <w:bCs w:val="1"/>
                <w:color w:val="auto"/>
              </w:rPr>
              <w:t>2018</w:t>
            </w:r>
          </w:p>
        </w:tc>
        <w:tc>
          <w:tcPr>
            <w:tcW w:w="5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7"/>
        </w:trPr>
        <w:tc>
          <w:tcPr>
            <w:tcW w:w="7440" w:type="dxa"/>
            <w:vAlign w:val="bottom"/>
            <w:tcBorders>
              <w:bottom w:val="single" w:sz="8" w:color="CCEEFF"/>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6"/>
        </w:trPr>
        <w:tc>
          <w:tcPr>
            <w:tcW w:w="7440" w:type="dxa"/>
            <w:vAlign w:val="bottom"/>
            <w:shd w:val="clear" w:color="auto" w:fill="CCEEFF"/>
          </w:tcPr>
          <w:p>
            <w:pPr>
              <w:ind w:left="20"/>
              <w:spacing w:after="0"/>
              <w:rPr>
                <w:sz w:val="20"/>
                <w:szCs w:val="20"/>
                <w:color w:val="auto"/>
              </w:rPr>
            </w:pPr>
            <w:r>
              <w:rPr>
                <w:rFonts w:ascii="Arial" w:cs="Arial" w:eastAsia="Arial" w:hAnsi="Arial"/>
                <w:sz w:val="13"/>
                <w:szCs w:val="13"/>
                <w:color w:val="auto"/>
              </w:rPr>
              <w:t>GAAP net income attributable to Nelnet, Inc.</w:t>
            </w:r>
          </w:p>
        </w:tc>
        <w:tc>
          <w:tcPr>
            <w:tcW w:w="900" w:type="dxa"/>
            <w:vAlign w:val="bottom"/>
            <w:shd w:val="clear" w:color="auto" w:fill="CCEEFF"/>
          </w:tcPr>
          <w:p>
            <w:pPr>
              <w:jc w:val="right"/>
              <w:ind w:right="755"/>
              <w:spacing w:after="0"/>
              <w:rPr>
                <w:sz w:val="20"/>
                <w:szCs w:val="20"/>
                <w:color w:val="auto"/>
              </w:rPr>
            </w:pPr>
            <w:r>
              <w:rPr>
                <w:rFonts w:ascii="Arial" w:cs="Arial" w:eastAsia="Arial" w:hAnsi="Arial"/>
                <w:sz w:val="13"/>
                <w:szCs w:val="13"/>
                <w:color w:val="auto"/>
                <w:w w:val="82"/>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41,591</w:t>
            </w:r>
          </w:p>
        </w:tc>
        <w:tc>
          <w:tcPr>
            <w:tcW w:w="8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3"/>
                <w:szCs w:val="13"/>
                <w:color w:val="auto"/>
                <w:w w:val="97"/>
              </w:rPr>
              <w:t>113,925</w:t>
            </w:r>
          </w:p>
        </w:tc>
        <w:tc>
          <w:tcPr>
            <w:tcW w:w="0" w:type="dxa"/>
            <w:vAlign w:val="bottom"/>
          </w:tcPr>
          <w:p>
            <w:pPr>
              <w:spacing w:after="0"/>
              <w:rPr>
                <w:sz w:val="1"/>
                <w:szCs w:val="1"/>
                <w:color w:val="auto"/>
              </w:rPr>
            </w:pPr>
          </w:p>
        </w:tc>
      </w:tr>
      <w:tr>
        <w:trPr>
          <w:trHeight w:val="202"/>
        </w:trPr>
        <w:tc>
          <w:tcPr>
            <w:tcW w:w="7440" w:type="dxa"/>
            <w:vAlign w:val="bottom"/>
          </w:tcPr>
          <w:p>
            <w:pPr>
              <w:ind w:left="100"/>
              <w:spacing w:after="0"/>
              <w:rPr>
                <w:sz w:val="20"/>
                <w:szCs w:val="20"/>
                <w:color w:val="auto"/>
              </w:rPr>
            </w:pPr>
            <w:r>
              <w:rPr>
                <w:rFonts w:ascii="Arial" w:cs="Arial" w:eastAsia="Arial" w:hAnsi="Arial"/>
                <w:sz w:val="13"/>
                <w:szCs w:val="13"/>
                <w:color w:val="auto"/>
              </w:rPr>
              <w:t>Realized and unrealized derivative market value adjustments</w:t>
            </w:r>
          </w:p>
        </w:tc>
        <w:tc>
          <w:tcPr>
            <w:tcW w:w="900" w:type="dxa"/>
            <w:vAlign w:val="bottom"/>
          </w:tcPr>
          <w:p>
            <w:pPr>
              <w:spacing w:after="0"/>
              <w:rPr>
                <w:sz w:val="17"/>
                <w:szCs w:val="17"/>
                <w:color w:val="auto"/>
              </w:rPr>
            </w:pPr>
          </w:p>
        </w:tc>
        <w:tc>
          <w:tcPr>
            <w:tcW w:w="480" w:type="dxa"/>
            <w:vAlign w:val="bottom"/>
          </w:tcPr>
          <w:p>
            <w:pPr>
              <w:jc w:val="right"/>
              <w:spacing w:after="0"/>
              <w:rPr>
                <w:sz w:val="20"/>
                <w:szCs w:val="20"/>
                <w:color w:val="auto"/>
              </w:rPr>
            </w:pPr>
            <w:r>
              <w:rPr>
                <w:rFonts w:ascii="Arial" w:cs="Arial" w:eastAsia="Arial" w:hAnsi="Arial"/>
                <w:sz w:val="13"/>
                <w:szCs w:val="13"/>
                <w:color w:val="auto"/>
              </w:rPr>
              <w:t>30,574</w:t>
            </w:r>
          </w:p>
        </w:tc>
        <w:tc>
          <w:tcPr>
            <w:tcW w:w="8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520" w:type="dxa"/>
            <w:vAlign w:val="bottom"/>
          </w:tcPr>
          <w:p>
            <w:pPr>
              <w:jc w:val="right"/>
              <w:spacing w:after="0"/>
              <w:rPr>
                <w:sz w:val="20"/>
                <w:szCs w:val="20"/>
                <w:color w:val="auto"/>
              </w:rPr>
            </w:pPr>
            <w:r>
              <w:rPr>
                <w:rFonts w:ascii="Arial" w:cs="Arial" w:eastAsia="Arial" w:hAnsi="Arial"/>
                <w:sz w:val="13"/>
                <w:szCs w:val="13"/>
                <w:color w:val="auto"/>
                <w:w w:val="99"/>
              </w:rPr>
              <w:t>(60,033)</w:t>
            </w:r>
          </w:p>
        </w:tc>
        <w:tc>
          <w:tcPr>
            <w:tcW w:w="0" w:type="dxa"/>
            <w:vAlign w:val="bottom"/>
          </w:tcPr>
          <w:p>
            <w:pPr>
              <w:spacing w:after="0"/>
              <w:rPr>
                <w:sz w:val="1"/>
                <w:szCs w:val="1"/>
                <w:color w:val="auto"/>
              </w:rPr>
            </w:pPr>
          </w:p>
        </w:tc>
      </w:tr>
      <w:tr>
        <w:trPr>
          <w:trHeight w:val="205"/>
        </w:trPr>
        <w:tc>
          <w:tcPr>
            <w:tcW w:w="7440" w:type="dxa"/>
            <w:vAlign w:val="bottom"/>
            <w:shd w:val="clear" w:color="auto" w:fill="CCEEFF"/>
          </w:tcPr>
          <w:p>
            <w:pPr>
              <w:ind w:left="100"/>
              <w:spacing w:after="0"/>
              <w:rPr>
                <w:sz w:val="20"/>
                <w:szCs w:val="20"/>
                <w:color w:val="auto"/>
              </w:rPr>
            </w:pPr>
            <w:r>
              <w:rPr>
                <w:rFonts w:ascii="Arial" w:cs="Arial" w:eastAsia="Arial" w:hAnsi="Arial"/>
                <w:sz w:val="13"/>
                <w:szCs w:val="13"/>
                <w:color w:val="auto"/>
              </w:rPr>
              <w:t>Net tax effect (a)</w:t>
            </w:r>
          </w:p>
        </w:tc>
        <w:tc>
          <w:tcPr>
            <w:tcW w:w="900" w:type="dxa"/>
            <w:vAlign w:val="bottom"/>
            <w:tcBorders>
              <w:bottom w:val="single" w:sz="8" w:color="auto"/>
            </w:tcBorders>
            <w:shd w:val="clear" w:color="auto" w:fill="CCEEFF"/>
          </w:tcPr>
          <w:p>
            <w:pPr>
              <w:spacing w:after="0"/>
              <w:rPr>
                <w:sz w:val="17"/>
                <w:szCs w:val="17"/>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(7,338)</w:t>
            </w:r>
          </w:p>
        </w:tc>
        <w:tc>
          <w:tcPr>
            <w:tcW w:w="80" w:type="dxa"/>
            <w:vAlign w:val="bottom"/>
            <w:shd w:val="clear" w:color="auto" w:fill="CCEEFF"/>
          </w:tcPr>
          <w:p>
            <w:pPr>
              <w:spacing w:after="0"/>
              <w:rPr>
                <w:sz w:val="17"/>
                <w:szCs w:val="17"/>
                <w:color w:val="auto"/>
              </w:rPr>
            </w:pPr>
          </w:p>
        </w:tc>
        <w:tc>
          <w:tcPr>
            <w:tcW w:w="880" w:type="dxa"/>
            <w:vAlign w:val="bottom"/>
            <w:tcBorders>
              <w:bottom w:val="single" w:sz="8" w:color="auto"/>
            </w:tcBorders>
            <w:shd w:val="clear" w:color="auto" w:fill="CCEEFF"/>
          </w:tcPr>
          <w:p>
            <w:pPr>
              <w:spacing w:after="0"/>
              <w:rPr>
                <w:sz w:val="17"/>
                <w:szCs w:val="17"/>
                <w:color w:val="auto"/>
              </w:rPr>
            </w:pPr>
          </w:p>
        </w:tc>
        <w:tc>
          <w:tcPr>
            <w:tcW w:w="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14,408</w:t>
            </w:r>
          </w:p>
        </w:tc>
        <w:tc>
          <w:tcPr>
            <w:tcW w:w="0" w:type="dxa"/>
            <w:vAlign w:val="bottom"/>
          </w:tcPr>
          <w:p>
            <w:pPr>
              <w:spacing w:after="0"/>
              <w:rPr>
                <w:sz w:val="1"/>
                <w:szCs w:val="1"/>
                <w:color w:val="auto"/>
              </w:rPr>
            </w:pPr>
          </w:p>
        </w:tc>
      </w:tr>
      <w:tr>
        <w:trPr>
          <w:trHeight w:val="171"/>
        </w:trPr>
        <w:tc>
          <w:tcPr>
            <w:tcW w:w="7440" w:type="dxa"/>
            <w:vAlign w:val="bottom"/>
            <w:vMerge w:val="restart"/>
          </w:tcPr>
          <w:p>
            <w:pPr>
              <w:ind w:left="20"/>
              <w:spacing w:after="0"/>
              <w:rPr>
                <w:sz w:val="20"/>
                <w:szCs w:val="20"/>
                <w:color w:val="auto"/>
              </w:rPr>
            </w:pPr>
            <w:r>
              <w:rPr>
                <w:rFonts w:ascii="Arial" w:cs="Arial" w:eastAsia="Arial" w:hAnsi="Arial"/>
                <w:sz w:val="13"/>
                <w:szCs w:val="13"/>
                <w:color w:val="auto"/>
              </w:rPr>
              <w:t>Net income attributable to Nelnet, Inc., excluding derivative market value adjustments (b)</w:t>
            </w:r>
          </w:p>
        </w:tc>
        <w:tc>
          <w:tcPr>
            <w:tcW w:w="900" w:type="dxa"/>
            <w:vAlign w:val="bottom"/>
          </w:tcPr>
          <w:p>
            <w:pPr>
              <w:jc w:val="right"/>
              <w:ind w:right="755"/>
              <w:spacing w:after="0"/>
              <w:rPr>
                <w:sz w:val="20"/>
                <w:szCs w:val="20"/>
                <w:color w:val="auto"/>
              </w:rPr>
            </w:pPr>
            <w:r>
              <w:rPr>
                <w:rFonts w:ascii="Arial" w:cs="Arial" w:eastAsia="Arial" w:hAnsi="Arial"/>
                <w:sz w:val="13"/>
                <w:szCs w:val="13"/>
                <w:color w:val="auto"/>
                <w:w w:val="82"/>
              </w:rPr>
              <w:t>$</w:t>
            </w:r>
          </w:p>
        </w:tc>
        <w:tc>
          <w:tcPr>
            <w:tcW w:w="480" w:type="dxa"/>
            <w:vAlign w:val="bottom"/>
          </w:tcPr>
          <w:p>
            <w:pPr>
              <w:jc w:val="right"/>
              <w:spacing w:after="0"/>
              <w:rPr>
                <w:sz w:val="20"/>
                <w:szCs w:val="20"/>
                <w:color w:val="auto"/>
              </w:rPr>
            </w:pPr>
            <w:r>
              <w:rPr>
                <w:rFonts w:ascii="Arial" w:cs="Arial" w:eastAsia="Arial" w:hAnsi="Arial"/>
                <w:sz w:val="13"/>
                <w:szCs w:val="13"/>
                <w:color w:val="auto"/>
              </w:rPr>
              <w:t>64,827</w:t>
            </w:r>
          </w:p>
        </w:tc>
        <w:tc>
          <w:tcPr>
            <w:tcW w:w="8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520" w:type="dxa"/>
            <w:vAlign w:val="bottom"/>
          </w:tcPr>
          <w:p>
            <w:pPr>
              <w:jc w:val="right"/>
              <w:spacing w:after="0"/>
              <w:rPr>
                <w:sz w:val="20"/>
                <w:szCs w:val="20"/>
                <w:color w:val="auto"/>
              </w:rPr>
            </w:pPr>
            <w:r>
              <w:rPr>
                <w:rFonts w:ascii="Arial" w:cs="Arial" w:eastAsia="Arial" w:hAnsi="Arial"/>
                <w:sz w:val="13"/>
                <w:szCs w:val="13"/>
                <w:color w:val="auto"/>
              </w:rPr>
              <w:t>68,300</w:t>
            </w:r>
          </w:p>
        </w:tc>
        <w:tc>
          <w:tcPr>
            <w:tcW w:w="0" w:type="dxa"/>
            <w:vAlign w:val="bottom"/>
          </w:tcPr>
          <w:p>
            <w:pPr>
              <w:spacing w:after="0"/>
              <w:rPr>
                <w:sz w:val="1"/>
                <w:szCs w:val="1"/>
                <w:color w:val="auto"/>
              </w:rPr>
            </w:pPr>
          </w:p>
        </w:tc>
      </w:tr>
      <w:tr>
        <w:trPr>
          <w:trHeight w:val="27"/>
        </w:trPr>
        <w:tc>
          <w:tcPr>
            <w:tcW w:w="7440" w:type="dxa"/>
            <w:vAlign w:val="bottom"/>
            <w:vMerge w:val="continue"/>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7440" w:type="dxa"/>
            <w:vAlign w:val="bottom"/>
            <w:tcBorders>
              <w:bottom w:val="single" w:sz="8" w:color="CCEEFF"/>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1"/>
        </w:trPr>
        <w:tc>
          <w:tcPr>
            <w:tcW w:w="7440" w:type="dxa"/>
            <w:vAlign w:val="bottom"/>
            <w:shd w:val="clear" w:color="auto" w:fill="CCEEFF"/>
          </w:tcPr>
          <w:p>
            <w:pPr>
              <w:spacing w:after="0"/>
              <w:rPr>
                <w:sz w:val="7"/>
                <w:szCs w:val="7"/>
                <w:color w:val="auto"/>
              </w:rPr>
            </w:pPr>
          </w:p>
        </w:tc>
        <w:tc>
          <w:tcPr>
            <w:tcW w:w="900" w:type="dxa"/>
            <w:vAlign w:val="bottom"/>
            <w:shd w:val="clear" w:color="auto" w:fill="CCEEFF"/>
          </w:tcPr>
          <w:p>
            <w:pPr>
              <w:spacing w:after="0"/>
              <w:rPr>
                <w:sz w:val="7"/>
                <w:szCs w:val="7"/>
                <w:color w:val="auto"/>
              </w:rPr>
            </w:pPr>
          </w:p>
        </w:tc>
        <w:tc>
          <w:tcPr>
            <w:tcW w:w="48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880" w:type="dxa"/>
            <w:vAlign w:val="bottom"/>
            <w:shd w:val="clear" w:color="auto" w:fill="CCEEFF"/>
          </w:tcPr>
          <w:p>
            <w:pPr>
              <w:spacing w:after="0"/>
              <w:rPr>
                <w:sz w:val="7"/>
                <w:szCs w:val="7"/>
                <w:color w:val="auto"/>
              </w:rPr>
            </w:pPr>
          </w:p>
        </w:tc>
        <w:tc>
          <w:tcPr>
            <w:tcW w:w="520" w:type="dxa"/>
            <w:vAlign w:val="bottom"/>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170"/>
        </w:trPr>
        <w:tc>
          <w:tcPr>
            <w:tcW w:w="7440" w:type="dxa"/>
            <w:vAlign w:val="bottom"/>
          </w:tcPr>
          <w:p>
            <w:pPr>
              <w:ind w:left="20"/>
              <w:spacing w:after="0"/>
              <w:rPr>
                <w:sz w:val="20"/>
                <w:szCs w:val="20"/>
                <w:color w:val="auto"/>
              </w:rPr>
            </w:pPr>
            <w:r>
              <w:rPr>
                <w:rFonts w:ascii="Arial" w:cs="Arial" w:eastAsia="Arial" w:hAnsi="Arial"/>
                <w:sz w:val="13"/>
                <w:szCs w:val="13"/>
                <w:color w:val="auto"/>
              </w:rPr>
              <w:t>Earnings per share:</w:t>
            </w:r>
          </w:p>
        </w:tc>
        <w:tc>
          <w:tcPr>
            <w:tcW w:w="9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7"/>
        </w:trPr>
        <w:tc>
          <w:tcPr>
            <w:tcW w:w="7440" w:type="dxa"/>
            <w:vAlign w:val="bottom"/>
            <w:shd w:val="clear" w:color="auto" w:fill="CCEEFF"/>
          </w:tcPr>
          <w:p>
            <w:pPr>
              <w:ind w:left="20"/>
              <w:spacing w:after="0"/>
              <w:rPr>
                <w:sz w:val="20"/>
                <w:szCs w:val="20"/>
                <w:color w:val="auto"/>
              </w:rPr>
            </w:pPr>
            <w:r>
              <w:rPr>
                <w:rFonts w:ascii="Arial" w:cs="Arial" w:eastAsia="Arial" w:hAnsi="Arial"/>
                <w:sz w:val="13"/>
                <w:szCs w:val="13"/>
                <w:color w:val="auto"/>
              </w:rPr>
              <w:t>GAAP net income attributable to Nelnet, Inc.</w:t>
            </w:r>
          </w:p>
        </w:tc>
        <w:tc>
          <w:tcPr>
            <w:tcW w:w="900" w:type="dxa"/>
            <w:vAlign w:val="bottom"/>
            <w:shd w:val="clear" w:color="auto" w:fill="CCEEFF"/>
          </w:tcPr>
          <w:p>
            <w:pPr>
              <w:jc w:val="right"/>
              <w:ind w:right="755"/>
              <w:spacing w:after="0"/>
              <w:rPr>
                <w:sz w:val="20"/>
                <w:szCs w:val="20"/>
                <w:color w:val="auto"/>
              </w:rPr>
            </w:pPr>
            <w:r>
              <w:rPr>
                <w:rFonts w:ascii="Arial" w:cs="Arial" w:eastAsia="Arial" w:hAnsi="Arial"/>
                <w:sz w:val="13"/>
                <w:szCs w:val="13"/>
                <w:color w:val="auto"/>
                <w:w w:val="82"/>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1.03</w:t>
            </w:r>
          </w:p>
        </w:tc>
        <w:tc>
          <w:tcPr>
            <w:tcW w:w="8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2.78</w:t>
            </w:r>
          </w:p>
        </w:tc>
        <w:tc>
          <w:tcPr>
            <w:tcW w:w="0" w:type="dxa"/>
            <w:vAlign w:val="bottom"/>
          </w:tcPr>
          <w:p>
            <w:pPr>
              <w:spacing w:after="0"/>
              <w:rPr>
                <w:sz w:val="1"/>
                <w:szCs w:val="1"/>
                <w:color w:val="auto"/>
              </w:rPr>
            </w:pPr>
          </w:p>
        </w:tc>
      </w:tr>
      <w:tr>
        <w:trPr>
          <w:trHeight w:val="202"/>
        </w:trPr>
        <w:tc>
          <w:tcPr>
            <w:tcW w:w="7440" w:type="dxa"/>
            <w:vAlign w:val="bottom"/>
          </w:tcPr>
          <w:p>
            <w:pPr>
              <w:ind w:left="100"/>
              <w:spacing w:after="0"/>
              <w:rPr>
                <w:sz w:val="20"/>
                <w:szCs w:val="20"/>
                <w:color w:val="auto"/>
              </w:rPr>
            </w:pPr>
            <w:r>
              <w:rPr>
                <w:rFonts w:ascii="Arial" w:cs="Arial" w:eastAsia="Arial" w:hAnsi="Arial"/>
                <w:sz w:val="13"/>
                <w:szCs w:val="13"/>
                <w:color w:val="auto"/>
              </w:rPr>
              <w:t>Realized and unrealized derivative market value adjustments</w:t>
            </w:r>
          </w:p>
        </w:tc>
        <w:tc>
          <w:tcPr>
            <w:tcW w:w="900" w:type="dxa"/>
            <w:vAlign w:val="bottom"/>
          </w:tcPr>
          <w:p>
            <w:pPr>
              <w:spacing w:after="0"/>
              <w:rPr>
                <w:sz w:val="17"/>
                <w:szCs w:val="17"/>
                <w:color w:val="auto"/>
              </w:rPr>
            </w:pPr>
          </w:p>
        </w:tc>
        <w:tc>
          <w:tcPr>
            <w:tcW w:w="480" w:type="dxa"/>
            <w:vAlign w:val="bottom"/>
          </w:tcPr>
          <w:p>
            <w:pPr>
              <w:jc w:val="right"/>
              <w:spacing w:after="0"/>
              <w:rPr>
                <w:sz w:val="20"/>
                <w:szCs w:val="20"/>
                <w:color w:val="auto"/>
              </w:rPr>
            </w:pPr>
            <w:r>
              <w:rPr>
                <w:rFonts w:ascii="Arial" w:cs="Arial" w:eastAsia="Arial" w:hAnsi="Arial"/>
                <w:sz w:val="13"/>
                <w:szCs w:val="13"/>
                <w:color w:val="auto"/>
              </w:rPr>
              <w:t>0.76</w:t>
            </w:r>
          </w:p>
        </w:tc>
        <w:tc>
          <w:tcPr>
            <w:tcW w:w="8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520" w:type="dxa"/>
            <w:vAlign w:val="bottom"/>
          </w:tcPr>
          <w:p>
            <w:pPr>
              <w:jc w:val="right"/>
              <w:spacing w:after="0"/>
              <w:rPr>
                <w:sz w:val="20"/>
                <w:szCs w:val="20"/>
                <w:color w:val="auto"/>
              </w:rPr>
            </w:pPr>
            <w:r>
              <w:rPr>
                <w:rFonts w:ascii="Arial" w:cs="Arial" w:eastAsia="Arial" w:hAnsi="Arial"/>
                <w:sz w:val="13"/>
                <w:szCs w:val="13"/>
                <w:color w:val="auto"/>
              </w:rPr>
              <w:t>(1.46)</w:t>
            </w:r>
          </w:p>
        </w:tc>
        <w:tc>
          <w:tcPr>
            <w:tcW w:w="0" w:type="dxa"/>
            <w:vAlign w:val="bottom"/>
          </w:tcPr>
          <w:p>
            <w:pPr>
              <w:spacing w:after="0"/>
              <w:rPr>
                <w:sz w:val="1"/>
                <w:szCs w:val="1"/>
                <w:color w:val="auto"/>
              </w:rPr>
            </w:pPr>
          </w:p>
        </w:tc>
      </w:tr>
      <w:tr>
        <w:trPr>
          <w:trHeight w:val="205"/>
        </w:trPr>
        <w:tc>
          <w:tcPr>
            <w:tcW w:w="7440" w:type="dxa"/>
            <w:vAlign w:val="bottom"/>
            <w:shd w:val="clear" w:color="auto" w:fill="CCEEFF"/>
          </w:tcPr>
          <w:p>
            <w:pPr>
              <w:ind w:left="100"/>
              <w:spacing w:after="0"/>
              <w:rPr>
                <w:sz w:val="20"/>
                <w:szCs w:val="20"/>
                <w:color w:val="auto"/>
              </w:rPr>
            </w:pPr>
            <w:r>
              <w:rPr>
                <w:rFonts w:ascii="Arial" w:cs="Arial" w:eastAsia="Arial" w:hAnsi="Arial"/>
                <w:sz w:val="13"/>
                <w:szCs w:val="13"/>
                <w:color w:val="auto"/>
              </w:rPr>
              <w:t>Net tax effect (a)</w:t>
            </w:r>
          </w:p>
        </w:tc>
        <w:tc>
          <w:tcPr>
            <w:tcW w:w="900" w:type="dxa"/>
            <w:vAlign w:val="bottom"/>
            <w:tcBorders>
              <w:bottom w:val="single" w:sz="8" w:color="auto"/>
            </w:tcBorders>
            <w:shd w:val="clear" w:color="auto" w:fill="CCEEFF"/>
          </w:tcPr>
          <w:p>
            <w:pPr>
              <w:spacing w:after="0"/>
              <w:rPr>
                <w:sz w:val="17"/>
                <w:szCs w:val="17"/>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(0.18)</w:t>
            </w:r>
          </w:p>
        </w:tc>
        <w:tc>
          <w:tcPr>
            <w:tcW w:w="80" w:type="dxa"/>
            <w:vAlign w:val="bottom"/>
            <w:shd w:val="clear" w:color="auto" w:fill="CCEEFF"/>
          </w:tcPr>
          <w:p>
            <w:pPr>
              <w:spacing w:after="0"/>
              <w:rPr>
                <w:sz w:val="17"/>
                <w:szCs w:val="17"/>
                <w:color w:val="auto"/>
              </w:rPr>
            </w:pPr>
          </w:p>
        </w:tc>
        <w:tc>
          <w:tcPr>
            <w:tcW w:w="880" w:type="dxa"/>
            <w:vAlign w:val="bottom"/>
            <w:tcBorders>
              <w:bottom w:val="single" w:sz="8" w:color="auto"/>
            </w:tcBorders>
            <w:shd w:val="clear" w:color="auto" w:fill="CCEEFF"/>
          </w:tcPr>
          <w:p>
            <w:pPr>
              <w:spacing w:after="0"/>
              <w:rPr>
                <w:sz w:val="17"/>
                <w:szCs w:val="17"/>
                <w:color w:val="auto"/>
              </w:rPr>
            </w:pPr>
          </w:p>
        </w:tc>
        <w:tc>
          <w:tcPr>
            <w:tcW w:w="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0.35</w:t>
            </w:r>
          </w:p>
        </w:tc>
        <w:tc>
          <w:tcPr>
            <w:tcW w:w="0" w:type="dxa"/>
            <w:vAlign w:val="bottom"/>
          </w:tcPr>
          <w:p>
            <w:pPr>
              <w:spacing w:after="0"/>
              <w:rPr>
                <w:sz w:val="1"/>
                <w:szCs w:val="1"/>
                <w:color w:val="auto"/>
              </w:rPr>
            </w:pPr>
          </w:p>
        </w:tc>
      </w:tr>
      <w:tr>
        <w:trPr>
          <w:trHeight w:val="171"/>
        </w:trPr>
        <w:tc>
          <w:tcPr>
            <w:tcW w:w="7440" w:type="dxa"/>
            <w:vAlign w:val="bottom"/>
            <w:vMerge w:val="restart"/>
          </w:tcPr>
          <w:p>
            <w:pPr>
              <w:ind w:left="20"/>
              <w:spacing w:after="0"/>
              <w:rPr>
                <w:sz w:val="20"/>
                <w:szCs w:val="20"/>
                <w:color w:val="auto"/>
              </w:rPr>
            </w:pPr>
            <w:r>
              <w:rPr>
                <w:rFonts w:ascii="Arial" w:cs="Arial" w:eastAsia="Arial" w:hAnsi="Arial"/>
                <w:sz w:val="13"/>
                <w:szCs w:val="13"/>
                <w:color w:val="auto"/>
              </w:rPr>
              <w:t>Net income attributable to Nelnet, Inc., excluding derivative market value adjustments (b)</w:t>
            </w:r>
          </w:p>
        </w:tc>
        <w:tc>
          <w:tcPr>
            <w:tcW w:w="900" w:type="dxa"/>
            <w:vAlign w:val="bottom"/>
          </w:tcPr>
          <w:p>
            <w:pPr>
              <w:jc w:val="right"/>
              <w:ind w:right="755"/>
              <w:spacing w:after="0"/>
              <w:rPr>
                <w:sz w:val="20"/>
                <w:szCs w:val="20"/>
                <w:color w:val="auto"/>
              </w:rPr>
            </w:pPr>
            <w:r>
              <w:rPr>
                <w:rFonts w:ascii="Arial" w:cs="Arial" w:eastAsia="Arial" w:hAnsi="Arial"/>
                <w:sz w:val="13"/>
                <w:szCs w:val="13"/>
                <w:color w:val="auto"/>
                <w:w w:val="82"/>
              </w:rPr>
              <w:t>$</w:t>
            </w:r>
          </w:p>
        </w:tc>
        <w:tc>
          <w:tcPr>
            <w:tcW w:w="480" w:type="dxa"/>
            <w:vAlign w:val="bottom"/>
          </w:tcPr>
          <w:p>
            <w:pPr>
              <w:jc w:val="right"/>
              <w:spacing w:after="0"/>
              <w:rPr>
                <w:sz w:val="20"/>
                <w:szCs w:val="20"/>
                <w:color w:val="auto"/>
              </w:rPr>
            </w:pPr>
            <w:r>
              <w:rPr>
                <w:rFonts w:ascii="Arial" w:cs="Arial" w:eastAsia="Arial" w:hAnsi="Arial"/>
                <w:sz w:val="13"/>
                <w:szCs w:val="13"/>
                <w:color w:val="auto"/>
              </w:rPr>
              <w:t>1.61</w:t>
            </w:r>
          </w:p>
        </w:tc>
        <w:tc>
          <w:tcPr>
            <w:tcW w:w="8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520" w:type="dxa"/>
            <w:vAlign w:val="bottom"/>
          </w:tcPr>
          <w:p>
            <w:pPr>
              <w:jc w:val="right"/>
              <w:spacing w:after="0"/>
              <w:rPr>
                <w:sz w:val="20"/>
                <w:szCs w:val="20"/>
                <w:color w:val="auto"/>
              </w:rPr>
            </w:pPr>
            <w:r>
              <w:rPr>
                <w:rFonts w:ascii="Arial" w:cs="Arial" w:eastAsia="Arial" w:hAnsi="Arial"/>
                <w:sz w:val="13"/>
                <w:szCs w:val="13"/>
                <w:color w:val="auto"/>
              </w:rPr>
              <w:t>1.67</w:t>
            </w:r>
          </w:p>
        </w:tc>
        <w:tc>
          <w:tcPr>
            <w:tcW w:w="0" w:type="dxa"/>
            <w:vAlign w:val="bottom"/>
          </w:tcPr>
          <w:p>
            <w:pPr>
              <w:spacing w:after="0"/>
              <w:rPr>
                <w:sz w:val="1"/>
                <w:szCs w:val="1"/>
                <w:color w:val="auto"/>
              </w:rPr>
            </w:pPr>
          </w:p>
        </w:tc>
      </w:tr>
      <w:tr>
        <w:trPr>
          <w:trHeight w:val="27"/>
        </w:trPr>
        <w:tc>
          <w:tcPr>
            <w:tcW w:w="7440" w:type="dxa"/>
            <w:vAlign w:val="bottom"/>
            <w:vMerge w:val="continue"/>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744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3" w:lineRule="exact"/>
        <w:rPr>
          <w:sz w:val="20"/>
          <w:szCs w:val="20"/>
          <w:color w:val="auto"/>
        </w:rPr>
      </w:pPr>
    </w:p>
    <w:p>
      <w:pPr>
        <w:ind w:left="380" w:hanging="180"/>
        <w:spacing w:after="0"/>
        <w:tabs>
          <w:tab w:leader="none" w:pos="380" w:val="left"/>
        </w:tabs>
        <w:numPr>
          <w:ilvl w:val="0"/>
          <w:numId w:val="9"/>
        </w:numPr>
        <w:rPr>
          <w:rFonts w:ascii="Arial" w:cs="Arial" w:eastAsia="Arial" w:hAnsi="Arial"/>
          <w:sz w:val="11"/>
          <w:szCs w:val="11"/>
          <w:color w:val="auto"/>
        </w:rPr>
      </w:pPr>
      <w:r>
        <w:rPr>
          <w:rFonts w:ascii="Arial" w:cs="Arial" w:eastAsia="Arial" w:hAnsi="Arial"/>
          <w:sz w:val="11"/>
          <w:szCs w:val="11"/>
          <w:color w:val="auto"/>
        </w:rPr>
        <w:t>The tax effects are calculated by multiplying the realized and unrealized derivative market value adjustments by the applicable statutory income tax rate.</w:t>
      </w:r>
    </w:p>
    <w:p>
      <w:pPr>
        <w:spacing w:after="0" w:line="132" w:lineRule="exact"/>
        <w:rPr>
          <w:rFonts w:ascii="Arial" w:cs="Arial" w:eastAsia="Arial" w:hAnsi="Arial"/>
          <w:sz w:val="11"/>
          <w:szCs w:val="11"/>
          <w:color w:val="auto"/>
        </w:rPr>
      </w:pPr>
    </w:p>
    <w:p>
      <w:pPr>
        <w:ind w:left="460" w:hanging="260"/>
        <w:spacing w:after="0" w:line="283" w:lineRule="auto"/>
        <w:tabs>
          <w:tab w:leader="none" w:pos="370" w:val="left"/>
        </w:tabs>
        <w:numPr>
          <w:ilvl w:val="0"/>
          <w:numId w:val="9"/>
        </w:numPr>
        <w:rPr>
          <w:rFonts w:ascii="Arial" w:cs="Arial" w:eastAsia="Arial" w:hAnsi="Arial"/>
          <w:sz w:val="11"/>
          <w:szCs w:val="11"/>
          <w:color w:val="auto"/>
        </w:rPr>
      </w:pPr>
      <w:r>
        <w:rPr>
          <w:rFonts w:ascii="Arial" w:cs="Arial" w:eastAsia="Arial" w:hAnsi="Arial"/>
          <w:sz w:val="11"/>
          <w:szCs w:val="11"/>
          <w:color w:val="auto"/>
        </w:rPr>
        <w:t>"Derivative market value adjustments" includes both the realized portion of gains and losses (corresponding to variation margin received or paid on derivative instruments that are settled daily at a central clearinghouse) and the unrealized portion of gains and losses that are caused by changes in fair values of derivatives which do not qualify for "hedge treatment" under GAAP. "Derivative market value adjustments" does not include "derivative</w:t>
      </w:r>
    </w:p>
    <w:p>
      <w:pPr>
        <w:spacing w:after="0" w:line="200" w:lineRule="exact"/>
        <w:rPr>
          <w:sz w:val="20"/>
          <w:szCs w:val="20"/>
          <w:color w:val="auto"/>
        </w:rPr>
      </w:pPr>
    </w:p>
    <w:p>
      <w:pPr>
        <w:spacing w:after="0" w:line="336"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26</w:t>
      </w:r>
    </w:p>
    <w:p>
      <w:pPr>
        <w:sectPr>
          <w:pgSz w:w="11900" w:h="16838" w:orient="portrait"/>
          <w:cols w:equalWidth="0" w:num="1">
            <w:col w:w="11460"/>
          </w:cols>
          <w:pgMar w:left="220" w:top="743" w:right="219" w:bottom="1440" w:gutter="0" w:footer="0" w:header="0"/>
        </w:sectPr>
      </w:pPr>
    </w:p>
    <w:bookmarkStart w:id="27" w:name="page28"/>
    <w:bookmarkEnd w:id="27"/>
    <w:p>
      <w:pPr>
        <w:ind w:left="460"/>
        <w:spacing w:after="0"/>
        <w:rPr>
          <w:sz w:val="20"/>
          <w:szCs w:val="20"/>
          <w:color w:val="auto"/>
        </w:rPr>
      </w:pPr>
      <w:r>
        <w:rPr>
          <w:rFonts w:ascii="Arial" w:cs="Arial" w:eastAsia="Arial" w:hAnsi="Arial"/>
          <w:sz w:val="11"/>
          <w:szCs w:val="11"/>
          <w:color w:val="auto"/>
        </w:rPr>
        <w:t>settlements" that represent the cash paid or received during the current period to settle with derivative instrument counterparties the economic effect of the Company's derivative instruments based on their contractual terms.</w:t>
      </w:r>
    </w:p>
    <w:p>
      <w:pPr>
        <w:spacing w:after="0" w:line="132" w:lineRule="exact"/>
        <w:rPr>
          <w:sz w:val="20"/>
          <w:szCs w:val="20"/>
          <w:color w:val="auto"/>
        </w:rPr>
      </w:pPr>
    </w:p>
    <w:p>
      <w:pPr>
        <w:jc w:val="both"/>
        <w:ind w:left="460"/>
        <w:spacing w:after="0" w:line="254" w:lineRule="auto"/>
        <w:rPr>
          <w:sz w:val="20"/>
          <w:szCs w:val="20"/>
          <w:color w:val="auto"/>
        </w:rPr>
      </w:pPr>
      <w:r>
        <w:rPr>
          <w:rFonts w:ascii="Arial" w:cs="Arial" w:eastAsia="Arial" w:hAnsi="Arial"/>
          <w:sz w:val="11"/>
          <w:szCs w:val="11"/>
          <w:color w:val="auto"/>
        </w:rPr>
        <w:t>The accounting for derivatives requires that changes in the fair value of derivative instruments be recognized currently in earnings, with no fair value adjustment of the hedged item, unless specific hedge accounting criteria is met. Management has structured all of the Company’s derivative transactions with the intent that each is economically effective; however, the Company’s derivative instruments do not qualify for hedge accounting. As a result, the change in fair value of derivative instruments is reported in current period earnings with no consideration for the corresponding change in fair value of the hedged item. Under GAAP, the cumulative net realized and unrealized gain or loss caused by changes in fair values of derivatives in which the Company plans to hold to maturity will equal zero over the life of the contract. However, the net realized and unrealized gain or loss during any given reporting period fluctuates significantly from period to period.</w:t>
      </w:r>
    </w:p>
    <w:p>
      <w:pPr>
        <w:spacing w:after="0" w:line="107" w:lineRule="exact"/>
        <w:rPr>
          <w:sz w:val="20"/>
          <w:szCs w:val="20"/>
          <w:color w:val="auto"/>
        </w:rPr>
      </w:pPr>
    </w:p>
    <w:p>
      <w:pPr>
        <w:jc w:val="both"/>
        <w:ind w:left="460"/>
        <w:spacing w:after="0" w:line="254" w:lineRule="auto"/>
        <w:rPr>
          <w:sz w:val="20"/>
          <w:szCs w:val="20"/>
          <w:color w:val="auto"/>
        </w:rPr>
      </w:pPr>
      <w:r>
        <w:rPr>
          <w:rFonts w:ascii="Arial" w:cs="Arial" w:eastAsia="Arial" w:hAnsi="Arial"/>
          <w:sz w:val="11"/>
          <w:szCs w:val="11"/>
          <w:color w:val="auto"/>
        </w:rPr>
        <w:t>The Company believes these point-in-time estimates of asset and liability values related to its derivative instruments that are subject to interest rate fluctuations are subject to volatility mostly due to timing and market factors beyond the control of management, and affect the period-to-period comparability of the results of operations. Accordingly, the Company’s management utilizes operating results excluding these items for comparability purposes when making decisions regarding the Company’s performance and in presentations with credit rating agencies, lenders, and investors. Consequently, the Company reports this non-GAAP information because the Company believes that it provides additional information regarding operational and performance indicators that are closely assessed by management. There is no comprehensive, authoritative guidance for the presentation of such non-GAAP information, which is only meant to supplement GAAP results by providing additional information that management utilizes to assess performance.</w:t>
      </w:r>
    </w:p>
    <w:p>
      <w:pPr>
        <w:spacing w:after="0" w:line="111" w:lineRule="exact"/>
        <w:rPr>
          <w:sz w:val="20"/>
          <w:szCs w:val="20"/>
          <w:color w:val="auto"/>
        </w:rPr>
      </w:pPr>
    </w:p>
    <w:p>
      <w:pPr>
        <w:spacing w:after="0"/>
        <w:rPr>
          <w:sz w:val="20"/>
          <w:szCs w:val="20"/>
          <w:color w:val="auto"/>
        </w:rPr>
      </w:pPr>
      <w:r>
        <w:rPr>
          <w:rFonts w:ascii="Arial" w:cs="Arial" w:eastAsia="Arial" w:hAnsi="Arial"/>
          <w:sz w:val="14"/>
          <w:szCs w:val="14"/>
          <w:color w:val="auto"/>
        </w:rPr>
        <w:t>GAAP net income decreased for the three months ended March 31, 2019 compared to the same period in 2018 primarily due to the following factors:</w:t>
      </w:r>
    </w:p>
    <w:p>
      <w:pPr>
        <w:spacing w:after="0" w:line="141" w:lineRule="exact"/>
        <w:rPr>
          <w:sz w:val="20"/>
          <w:szCs w:val="20"/>
          <w:color w:val="auto"/>
        </w:rPr>
      </w:pPr>
    </w:p>
    <w:p>
      <w:pPr>
        <w:ind w:left="520" w:hanging="255"/>
        <w:spacing w:after="0"/>
        <w:tabs>
          <w:tab w:leader="none" w:pos="520" w:val="left"/>
        </w:tabs>
        <w:numPr>
          <w:ilvl w:val="0"/>
          <w:numId w:val="10"/>
        </w:numPr>
        <w:rPr>
          <w:rFonts w:ascii="Arial" w:cs="Arial" w:eastAsia="Arial" w:hAnsi="Arial"/>
          <w:sz w:val="13"/>
          <w:szCs w:val="13"/>
          <w:color w:val="auto"/>
        </w:rPr>
      </w:pPr>
      <w:r>
        <w:rPr>
          <w:rFonts w:ascii="Arial" w:cs="Arial" w:eastAsia="Arial" w:hAnsi="Arial"/>
          <w:sz w:val="13"/>
          <w:szCs w:val="13"/>
          <w:color w:val="auto"/>
        </w:rPr>
        <w:t>The recognition of a net loss during 2019, as compared to a net gain in 2018, related to changes in the fair values of derivative instruments that do not qualify for hedge accounting;</w:t>
      </w:r>
    </w:p>
    <w:p>
      <w:pPr>
        <w:spacing w:after="0" w:line="152" w:lineRule="exact"/>
        <w:rPr>
          <w:rFonts w:ascii="Arial" w:cs="Arial" w:eastAsia="Arial" w:hAnsi="Arial"/>
          <w:sz w:val="13"/>
          <w:szCs w:val="13"/>
          <w:color w:val="auto"/>
        </w:rPr>
      </w:pPr>
    </w:p>
    <w:p>
      <w:pPr>
        <w:ind w:left="520" w:right="60" w:hanging="255"/>
        <w:spacing w:after="0" w:line="288" w:lineRule="auto"/>
        <w:tabs>
          <w:tab w:leader="none" w:pos="516" w:val="left"/>
        </w:tabs>
        <w:numPr>
          <w:ilvl w:val="0"/>
          <w:numId w:val="10"/>
        </w:numPr>
        <w:rPr>
          <w:rFonts w:ascii="Arial" w:cs="Arial" w:eastAsia="Arial" w:hAnsi="Arial"/>
          <w:sz w:val="14"/>
          <w:szCs w:val="14"/>
          <w:color w:val="auto"/>
        </w:rPr>
      </w:pPr>
      <w:r>
        <w:rPr>
          <w:rFonts w:ascii="Arial" w:cs="Arial" w:eastAsia="Arial" w:hAnsi="Arial"/>
          <w:sz w:val="14"/>
          <w:szCs w:val="14"/>
          <w:color w:val="auto"/>
        </w:rPr>
        <w:t>Gains recognized in 2018 from investment activities that are included in "other income" in the consolidated statements of income, primarily attributable to one equity security for which there was an observable price increase, resulting in an upward adjustment in the investment's carrying value;</w:t>
      </w:r>
    </w:p>
    <w:p>
      <w:pPr>
        <w:spacing w:after="0" w:line="87" w:lineRule="exact"/>
        <w:rPr>
          <w:rFonts w:ascii="Arial" w:cs="Arial" w:eastAsia="Arial" w:hAnsi="Arial"/>
          <w:sz w:val="14"/>
          <w:szCs w:val="14"/>
          <w:color w:val="auto"/>
        </w:rPr>
      </w:pPr>
    </w:p>
    <w:p>
      <w:pPr>
        <w:ind w:left="520" w:hanging="255"/>
        <w:spacing w:after="0"/>
        <w:tabs>
          <w:tab w:leader="none" w:pos="520" w:val="left"/>
        </w:tabs>
        <w:numPr>
          <w:ilvl w:val="0"/>
          <w:numId w:val="10"/>
        </w:numPr>
        <w:rPr>
          <w:rFonts w:ascii="Arial" w:cs="Arial" w:eastAsia="Arial" w:hAnsi="Arial"/>
          <w:sz w:val="14"/>
          <w:szCs w:val="14"/>
          <w:color w:val="auto"/>
        </w:rPr>
      </w:pPr>
      <w:r>
        <w:rPr>
          <w:rFonts w:ascii="Arial" w:cs="Arial" w:eastAsia="Arial" w:hAnsi="Arial"/>
          <w:sz w:val="14"/>
          <w:szCs w:val="14"/>
          <w:color w:val="auto"/>
        </w:rPr>
        <w:t>The increase in the provision for loan losses related to the Company's portfolio of consumer loans; and</w:t>
      </w:r>
    </w:p>
    <w:p>
      <w:pPr>
        <w:spacing w:after="0" w:line="140" w:lineRule="exact"/>
        <w:rPr>
          <w:rFonts w:ascii="Arial" w:cs="Arial" w:eastAsia="Arial" w:hAnsi="Arial"/>
          <w:sz w:val="14"/>
          <w:szCs w:val="14"/>
          <w:color w:val="auto"/>
        </w:rPr>
      </w:pPr>
    </w:p>
    <w:p>
      <w:pPr>
        <w:ind w:right="280" w:firstLine="265"/>
        <w:spacing w:after="0" w:line="449" w:lineRule="auto"/>
        <w:tabs>
          <w:tab w:leader="none" w:pos="514" w:val="left"/>
        </w:tabs>
        <w:numPr>
          <w:ilvl w:val="0"/>
          <w:numId w:val="10"/>
        </w:numPr>
        <w:rPr>
          <w:rFonts w:ascii="Arial" w:cs="Arial" w:eastAsia="Arial" w:hAnsi="Arial"/>
          <w:sz w:val="14"/>
          <w:szCs w:val="14"/>
          <w:color w:val="auto"/>
        </w:rPr>
      </w:pPr>
      <w:r>
        <w:rPr>
          <w:rFonts w:ascii="Arial" w:cs="Arial" w:eastAsia="Arial" w:hAnsi="Arial"/>
          <w:sz w:val="14"/>
          <w:szCs w:val="14"/>
          <w:color w:val="auto"/>
        </w:rPr>
        <w:t>An increase in interest expense due to higher interest rates and a larger weighted average outstanding balance under the Company's unsecured line of credit in 2019 as compared to 2018. These factors were partially offset by the following items:</w:t>
      </w:r>
    </w:p>
    <w:p>
      <w:pPr>
        <w:spacing w:after="0" w:line="1" w:lineRule="exact"/>
        <w:rPr>
          <w:rFonts w:ascii="Arial" w:cs="Arial" w:eastAsia="Arial" w:hAnsi="Arial"/>
          <w:sz w:val="14"/>
          <w:szCs w:val="14"/>
          <w:color w:val="auto"/>
        </w:rPr>
      </w:pPr>
    </w:p>
    <w:p>
      <w:pPr>
        <w:ind w:left="520" w:hanging="255"/>
        <w:spacing w:after="0"/>
        <w:tabs>
          <w:tab w:leader="none" w:pos="520" w:val="left"/>
        </w:tabs>
        <w:numPr>
          <w:ilvl w:val="0"/>
          <w:numId w:val="10"/>
        </w:numPr>
        <w:rPr>
          <w:rFonts w:ascii="Arial" w:cs="Arial" w:eastAsia="Arial" w:hAnsi="Arial"/>
          <w:sz w:val="14"/>
          <w:szCs w:val="14"/>
          <w:color w:val="auto"/>
        </w:rPr>
      </w:pPr>
      <w:r>
        <w:rPr>
          <w:rFonts w:ascii="Arial" w:cs="Arial" w:eastAsia="Arial" w:hAnsi="Arial"/>
          <w:sz w:val="14"/>
          <w:szCs w:val="14"/>
          <w:color w:val="auto"/>
        </w:rPr>
        <w:t>The contribution to net income from the acquisitions of Great Lakes;</w:t>
      </w:r>
    </w:p>
    <w:p>
      <w:pPr>
        <w:spacing w:after="0" w:line="140" w:lineRule="exact"/>
        <w:rPr>
          <w:rFonts w:ascii="Arial" w:cs="Arial" w:eastAsia="Arial" w:hAnsi="Arial"/>
          <w:sz w:val="14"/>
          <w:szCs w:val="14"/>
          <w:color w:val="auto"/>
        </w:rPr>
      </w:pPr>
    </w:p>
    <w:p>
      <w:pPr>
        <w:ind w:left="520" w:hanging="255"/>
        <w:spacing w:after="0"/>
        <w:tabs>
          <w:tab w:leader="none" w:pos="520" w:val="left"/>
        </w:tabs>
        <w:numPr>
          <w:ilvl w:val="0"/>
          <w:numId w:val="10"/>
        </w:numPr>
        <w:rPr>
          <w:rFonts w:ascii="Arial" w:cs="Arial" w:eastAsia="Arial" w:hAnsi="Arial"/>
          <w:sz w:val="14"/>
          <w:szCs w:val="14"/>
          <w:color w:val="auto"/>
        </w:rPr>
      </w:pPr>
      <w:r>
        <w:rPr>
          <w:rFonts w:ascii="Arial" w:cs="Arial" w:eastAsia="Arial" w:hAnsi="Arial"/>
          <w:sz w:val="14"/>
          <w:szCs w:val="14"/>
          <w:color w:val="auto"/>
        </w:rPr>
        <w:t>Cost reductions due to the Company's decision in October 2018 to terminate its investment in a proprietary payment processing platform;</w:t>
      </w:r>
    </w:p>
    <w:p>
      <w:pPr>
        <w:spacing w:after="0" w:line="140" w:lineRule="exact"/>
        <w:rPr>
          <w:rFonts w:ascii="Arial" w:cs="Arial" w:eastAsia="Arial" w:hAnsi="Arial"/>
          <w:sz w:val="14"/>
          <w:szCs w:val="14"/>
          <w:color w:val="auto"/>
        </w:rPr>
      </w:pPr>
    </w:p>
    <w:p>
      <w:pPr>
        <w:ind w:left="520" w:hanging="255"/>
        <w:spacing w:after="0"/>
        <w:tabs>
          <w:tab w:leader="none" w:pos="520" w:val="left"/>
        </w:tabs>
        <w:numPr>
          <w:ilvl w:val="0"/>
          <w:numId w:val="10"/>
        </w:numPr>
        <w:rPr>
          <w:rFonts w:ascii="Arial" w:cs="Arial" w:eastAsia="Arial" w:hAnsi="Arial"/>
          <w:sz w:val="14"/>
          <w:szCs w:val="14"/>
          <w:color w:val="auto"/>
        </w:rPr>
      </w:pPr>
      <w:r>
        <w:rPr>
          <w:rFonts w:ascii="Arial" w:cs="Arial" w:eastAsia="Arial" w:hAnsi="Arial"/>
          <w:sz w:val="14"/>
          <w:szCs w:val="14"/>
          <w:color w:val="auto"/>
        </w:rPr>
        <w:t>An increase in net interest income due to an increase in the weighted average balance of loans and an increase in core loan spread; and</w:t>
      </w:r>
    </w:p>
    <w:p>
      <w:pPr>
        <w:spacing w:after="0" w:line="140" w:lineRule="exact"/>
        <w:rPr>
          <w:rFonts w:ascii="Arial" w:cs="Arial" w:eastAsia="Arial" w:hAnsi="Arial"/>
          <w:sz w:val="14"/>
          <w:szCs w:val="14"/>
          <w:color w:val="auto"/>
        </w:rPr>
      </w:pPr>
    </w:p>
    <w:p>
      <w:pPr>
        <w:ind w:left="520" w:hanging="255"/>
        <w:spacing w:after="0"/>
        <w:tabs>
          <w:tab w:leader="none" w:pos="520" w:val="left"/>
        </w:tabs>
        <w:numPr>
          <w:ilvl w:val="0"/>
          <w:numId w:val="10"/>
        </w:numPr>
        <w:rPr>
          <w:rFonts w:ascii="Arial" w:cs="Arial" w:eastAsia="Arial" w:hAnsi="Arial"/>
          <w:sz w:val="14"/>
          <w:szCs w:val="14"/>
          <w:color w:val="auto"/>
        </w:rPr>
      </w:pPr>
      <w:r>
        <w:rPr>
          <w:rFonts w:ascii="Arial" w:cs="Arial" w:eastAsia="Arial" w:hAnsi="Arial"/>
          <w:sz w:val="14"/>
          <w:szCs w:val="14"/>
          <w:color w:val="auto"/>
        </w:rPr>
        <w:t>A decrease in the Company's effective tax rate due to the utilization of certain federal and state tax credits in 2019.</w:t>
      </w:r>
    </w:p>
    <w:p>
      <w:pPr>
        <w:spacing w:after="0" w:line="141" w:lineRule="exact"/>
        <w:rPr>
          <w:sz w:val="20"/>
          <w:szCs w:val="20"/>
          <w:color w:val="auto"/>
        </w:rPr>
      </w:pPr>
    </w:p>
    <w:p>
      <w:pPr>
        <w:spacing w:after="0"/>
        <w:rPr>
          <w:sz w:val="20"/>
          <w:szCs w:val="20"/>
          <w:color w:val="auto"/>
        </w:rPr>
      </w:pPr>
      <w:r>
        <w:rPr>
          <w:rFonts w:ascii="Arial" w:cs="Arial" w:eastAsia="Arial" w:hAnsi="Arial"/>
          <w:sz w:val="14"/>
          <w:szCs w:val="14"/>
          <w:b w:val="1"/>
          <w:bCs w:val="1"/>
          <w:i w:val="1"/>
          <w:iCs w:val="1"/>
          <w:color w:val="auto"/>
        </w:rPr>
        <w:t>Operating Results</w:t>
      </w:r>
    </w:p>
    <w:p>
      <w:pPr>
        <w:spacing w:after="0" w:line="141" w:lineRule="exact"/>
        <w:rPr>
          <w:sz w:val="20"/>
          <w:szCs w:val="20"/>
          <w:color w:val="auto"/>
        </w:rPr>
      </w:pPr>
    </w:p>
    <w:p>
      <w:pPr>
        <w:jc w:val="both"/>
        <w:spacing w:after="0" w:line="262" w:lineRule="auto"/>
        <w:rPr>
          <w:sz w:val="20"/>
          <w:szCs w:val="20"/>
          <w:color w:val="auto"/>
        </w:rPr>
      </w:pPr>
      <w:r>
        <w:rPr>
          <w:rFonts w:ascii="Arial" w:cs="Arial" w:eastAsia="Arial" w:hAnsi="Arial"/>
          <w:sz w:val="14"/>
          <w:szCs w:val="14"/>
          <w:color w:val="auto"/>
        </w:rPr>
        <w:t>The Company earns net interest income on its loan portfolio, consisting primarily of FFELP loans, in its Asset Generation and Management ("AGM") operating segment. This segment is expected to generate a stable net interest margin and significant amounts of cash as the FFELP portfolio amortizes. As of March 31, 2019, the Company had a $21.9 billion loan portfolio that management anticipates will amortize over the next approximately 20 years and has a weighted average remaining life of 8.7 years. The Company actively works to maximize the amount and timing of cash flows generated by its FFELP portfolio and seeks to acquire additional loan assets to leverage its servicing scale and expertise to generate incremental earnings and cash flow. However, due to the continued amortization of the Company’s FFELP loan portfolio, over time, the Company's net income generated by the AGM segment will continue to decrease. The Company currently believes that in the short-term it will most likely not be able to invest the excess cash generated from the FFELP loan portfolio into assets that immediately generate the rates of return historically realized from that portfolio.</w:t>
      </w:r>
    </w:p>
    <w:p>
      <w:pPr>
        <w:spacing w:after="0" w:line="106" w:lineRule="exact"/>
        <w:rPr>
          <w:sz w:val="20"/>
          <w:szCs w:val="20"/>
          <w:color w:val="auto"/>
        </w:rPr>
      </w:pPr>
    </w:p>
    <w:p>
      <w:pPr>
        <w:spacing w:after="0"/>
        <w:rPr>
          <w:sz w:val="20"/>
          <w:szCs w:val="20"/>
          <w:color w:val="auto"/>
        </w:rPr>
      </w:pPr>
      <w:r>
        <w:rPr>
          <w:rFonts w:ascii="Arial" w:cs="Arial" w:eastAsia="Arial" w:hAnsi="Arial"/>
          <w:sz w:val="14"/>
          <w:szCs w:val="14"/>
          <w:color w:val="auto"/>
        </w:rPr>
        <w:t>In addition, the Company earns fee-based revenue through the following reportable operating segments:</w:t>
      </w:r>
    </w:p>
    <w:p>
      <w:pPr>
        <w:spacing w:after="0" w:line="141" w:lineRule="exact"/>
        <w:rPr>
          <w:sz w:val="20"/>
          <w:szCs w:val="20"/>
          <w:color w:val="auto"/>
        </w:rPr>
      </w:pPr>
    </w:p>
    <w:p>
      <w:pPr>
        <w:ind w:left="520" w:hanging="255"/>
        <w:spacing w:after="0"/>
        <w:tabs>
          <w:tab w:leader="none" w:pos="520" w:val="left"/>
        </w:tabs>
        <w:numPr>
          <w:ilvl w:val="0"/>
          <w:numId w:val="11"/>
        </w:numPr>
        <w:rPr>
          <w:rFonts w:ascii="Arial" w:cs="Arial" w:eastAsia="Arial" w:hAnsi="Arial"/>
          <w:sz w:val="14"/>
          <w:szCs w:val="14"/>
          <w:color w:val="auto"/>
        </w:rPr>
      </w:pPr>
      <w:r>
        <w:rPr>
          <w:rFonts w:ascii="Arial" w:cs="Arial" w:eastAsia="Arial" w:hAnsi="Arial"/>
          <w:sz w:val="14"/>
          <w:szCs w:val="14"/>
          <w:color w:val="auto"/>
        </w:rPr>
        <w:t>Loan Servicing and Systems ("LSS") - referred to as Nelnet Diversified Solutions ("NDS")</w:t>
      </w:r>
    </w:p>
    <w:p>
      <w:pPr>
        <w:spacing w:after="0" w:line="21" w:lineRule="exact"/>
        <w:rPr>
          <w:rFonts w:ascii="Arial" w:cs="Arial" w:eastAsia="Arial" w:hAnsi="Arial"/>
          <w:sz w:val="14"/>
          <w:szCs w:val="14"/>
          <w:color w:val="auto"/>
        </w:rPr>
      </w:pPr>
    </w:p>
    <w:p>
      <w:pPr>
        <w:ind w:left="520" w:hanging="255"/>
        <w:spacing w:after="0"/>
        <w:tabs>
          <w:tab w:leader="none" w:pos="520" w:val="left"/>
        </w:tabs>
        <w:numPr>
          <w:ilvl w:val="0"/>
          <w:numId w:val="11"/>
        </w:numPr>
        <w:rPr>
          <w:rFonts w:ascii="Arial" w:cs="Arial" w:eastAsia="Arial" w:hAnsi="Arial"/>
          <w:sz w:val="14"/>
          <w:szCs w:val="14"/>
          <w:color w:val="auto"/>
        </w:rPr>
      </w:pPr>
      <w:r>
        <w:rPr>
          <w:rFonts w:ascii="Arial" w:cs="Arial" w:eastAsia="Arial" w:hAnsi="Arial"/>
          <w:sz w:val="14"/>
          <w:szCs w:val="14"/>
          <w:color w:val="auto"/>
        </w:rPr>
        <w:t>Education Technology, Services, and Payment Processing ("ETS&amp;PP") - referred to as Nelnet Business Solutions ("NBS")</w:t>
      </w:r>
    </w:p>
    <w:p>
      <w:pPr>
        <w:spacing w:after="0" w:line="11" w:lineRule="exact"/>
        <w:rPr>
          <w:rFonts w:ascii="Arial" w:cs="Arial" w:eastAsia="Arial" w:hAnsi="Arial"/>
          <w:sz w:val="14"/>
          <w:szCs w:val="14"/>
          <w:color w:val="auto"/>
        </w:rPr>
      </w:pPr>
    </w:p>
    <w:p>
      <w:pPr>
        <w:ind w:left="520" w:hanging="255"/>
        <w:spacing w:after="0"/>
        <w:tabs>
          <w:tab w:leader="none" w:pos="520" w:val="left"/>
        </w:tabs>
        <w:numPr>
          <w:ilvl w:val="0"/>
          <w:numId w:val="11"/>
        </w:numPr>
        <w:rPr>
          <w:rFonts w:ascii="Arial" w:cs="Arial" w:eastAsia="Arial" w:hAnsi="Arial"/>
          <w:sz w:val="14"/>
          <w:szCs w:val="14"/>
          <w:color w:val="auto"/>
        </w:rPr>
      </w:pPr>
      <w:r>
        <w:rPr>
          <w:rFonts w:ascii="Arial" w:cs="Arial" w:eastAsia="Arial" w:hAnsi="Arial"/>
          <w:sz w:val="14"/>
          <w:szCs w:val="14"/>
          <w:color w:val="auto"/>
        </w:rPr>
        <w:t>Communications - referred to as ALLO Communications ("ALLO")</w:t>
      </w:r>
    </w:p>
    <w:p>
      <w:pPr>
        <w:spacing w:after="0" w:line="200" w:lineRule="exact"/>
        <w:rPr>
          <w:sz w:val="20"/>
          <w:szCs w:val="20"/>
          <w:color w:val="auto"/>
        </w:rPr>
      </w:pP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27</w:t>
      </w:r>
    </w:p>
    <w:p>
      <w:pPr>
        <w:sectPr>
          <w:pgSz w:w="11900" w:h="16838" w:orient="portrait"/>
          <w:cols w:equalWidth="0" w:num="1">
            <w:col w:w="11460"/>
          </w:cols>
          <w:pgMar w:left="220" w:top="738" w:right="219" w:bottom="1440" w:gutter="0" w:footer="0" w:header="0"/>
        </w:sectPr>
      </w:pPr>
    </w:p>
    <w:bookmarkStart w:id="28" w:name="page29"/>
    <w:bookmarkEnd w:id="28"/>
    <w:p>
      <w:pPr>
        <w:spacing w:after="0" w:line="288" w:lineRule="auto"/>
        <w:rPr>
          <w:sz w:val="20"/>
          <w:szCs w:val="20"/>
          <w:color w:val="auto"/>
        </w:rPr>
      </w:pPr>
      <w:r>
        <w:rPr>
          <w:rFonts w:ascii="Arial" w:cs="Arial" w:eastAsia="Arial" w:hAnsi="Arial"/>
          <w:sz w:val="14"/>
          <w:szCs w:val="14"/>
          <w:color w:val="auto"/>
        </w:rPr>
        <w:t>Other business activities and operating segments that are not reportable are combined and included in Corporate and Other Activities ("Corporate"). Corporate and Other Activities also includes income earned on certain investments and interest expense incurred on unsecured debt transactions.</w:t>
      </w:r>
    </w:p>
    <w:p>
      <w:pPr>
        <w:spacing w:after="0" w:line="88" w:lineRule="exact"/>
        <w:rPr>
          <w:sz w:val="20"/>
          <w:szCs w:val="20"/>
          <w:color w:val="auto"/>
        </w:rPr>
      </w:pPr>
    </w:p>
    <w:p>
      <w:pPr>
        <w:ind w:right="420"/>
        <w:spacing w:after="0" w:line="288" w:lineRule="auto"/>
        <w:rPr>
          <w:sz w:val="20"/>
          <w:szCs w:val="20"/>
          <w:color w:val="auto"/>
        </w:rPr>
      </w:pPr>
      <w:r>
        <w:rPr>
          <w:rFonts w:ascii="Arial" w:cs="Arial" w:eastAsia="Arial" w:hAnsi="Arial"/>
          <w:sz w:val="14"/>
          <w:szCs w:val="14"/>
          <w:color w:val="auto"/>
        </w:rPr>
        <w:t>The information below provides the operating results for each reportable operating segment and Corporate and Other Activities for the three months ended March 31, 2019 and 2018 (dollars in millions). See "Results of Operations" for each reportable operating segment under this Item 2 for additional detail.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1304290</wp:posOffset>
            </wp:positionH>
            <wp:positionV relativeFrom="paragraph">
              <wp:posOffset>90170</wp:posOffset>
            </wp:positionV>
            <wp:extent cx="4680585" cy="18751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4680585" cy="18751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420" w:hanging="155"/>
        <w:spacing w:after="0"/>
        <w:tabs>
          <w:tab w:leader="none" w:pos="420" w:val="left"/>
        </w:tabs>
        <w:numPr>
          <w:ilvl w:val="0"/>
          <w:numId w:val="12"/>
        </w:numPr>
        <w:rPr>
          <w:rFonts w:ascii="Arial" w:cs="Arial" w:eastAsia="Arial" w:hAnsi="Arial"/>
          <w:sz w:val="11"/>
          <w:szCs w:val="11"/>
          <w:color w:val="auto"/>
        </w:rPr>
      </w:pPr>
      <w:r>
        <w:rPr>
          <w:rFonts w:ascii="Arial" w:cs="Arial" w:eastAsia="Arial" w:hAnsi="Arial"/>
          <w:sz w:val="11"/>
          <w:szCs w:val="11"/>
          <w:color w:val="auto"/>
        </w:rPr>
        <w:t>Revenue includes intersegment revenue earned by LSS as a result of servicing loans for AGM.</w:t>
      </w:r>
    </w:p>
    <w:p>
      <w:pPr>
        <w:spacing w:after="0" w:line="132" w:lineRule="exact"/>
        <w:rPr>
          <w:rFonts w:ascii="Arial" w:cs="Arial" w:eastAsia="Arial" w:hAnsi="Arial"/>
          <w:sz w:val="11"/>
          <w:szCs w:val="11"/>
          <w:color w:val="auto"/>
        </w:rPr>
      </w:pPr>
    </w:p>
    <w:p>
      <w:pPr>
        <w:ind w:left="780" w:hanging="515"/>
        <w:spacing w:after="0" w:line="283" w:lineRule="auto"/>
        <w:tabs>
          <w:tab w:leader="none" w:pos="433" w:val="left"/>
        </w:tabs>
        <w:numPr>
          <w:ilvl w:val="0"/>
          <w:numId w:val="12"/>
        </w:numPr>
        <w:rPr>
          <w:rFonts w:ascii="Arial" w:cs="Arial" w:eastAsia="Arial" w:hAnsi="Arial"/>
          <w:sz w:val="11"/>
          <w:szCs w:val="11"/>
          <w:color w:val="auto"/>
        </w:rPr>
      </w:pPr>
      <w:r>
        <w:rPr>
          <w:rFonts w:ascii="Arial" w:cs="Arial" w:eastAsia="Arial" w:hAnsi="Arial"/>
          <w:sz w:val="11"/>
          <w:szCs w:val="11"/>
          <w:color w:val="auto"/>
        </w:rPr>
        <w:t>Total revenue includes "net interest income" and "total other income" from the Company's segment statements of income, excluding the impact from changes in fair values of derivatives. Net income excludes changes in fair values of derivatives, net of tax. For information regarding the exclusion of the impact from changes in fair values of derivatives, see "GAAP Net Income and Non-GAAP Net Income, Excluding Adjustments" above.</w:t>
      </w:r>
    </w:p>
    <w:p>
      <w:pPr>
        <w:spacing w:after="0" w:line="137" w:lineRule="exact"/>
        <w:rPr>
          <w:sz w:val="20"/>
          <w:szCs w:val="20"/>
          <w:color w:val="auto"/>
        </w:rPr>
      </w:pPr>
    </w:p>
    <w:p>
      <w:pPr>
        <w:ind w:right="1360"/>
        <w:spacing w:after="0" w:line="449" w:lineRule="auto"/>
        <w:rPr>
          <w:sz w:val="20"/>
          <w:szCs w:val="20"/>
          <w:color w:val="auto"/>
        </w:rPr>
      </w:pPr>
      <w:r>
        <w:rPr>
          <w:rFonts w:ascii="Arial" w:cs="Arial" w:eastAsia="Arial" w:hAnsi="Arial"/>
          <w:sz w:val="14"/>
          <w:szCs w:val="14"/>
          <w:color w:val="auto"/>
        </w:rPr>
        <w:t xml:space="preserve">Certain events and transactions from 2018 and 2019, which have impacted or will impact the operating results of the Company and its operating segments, are discussed below. </w:t>
      </w:r>
      <w:r>
        <w:rPr>
          <w:rFonts w:ascii="Arial" w:cs="Arial" w:eastAsia="Arial" w:hAnsi="Arial"/>
          <w:sz w:val="14"/>
          <w:szCs w:val="14"/>
          <w:b w:val="1"/>
          <w:bCs w:val="1"/>
          <w:i w:val="1"/>
          <w:iCs w:val="1"/>
          <w:color w:val="auto"/>
        </w:rPr>
        <w:t>Loan Servicing and Systems</w:t>
      </w:r>
    </w:p>
    <w:p>
      <w:pPr>
        <w:spacing w:after="0" w:line="1" w:lineRule="exact"/>
        <w:rPr>
          <w:sz w:val="20"/>
          <w:szCs w:val="20"/>
          <w:color w:val="auto"/>
        </w:rPr>
      </w:pPr>
    </w:p>
    <w:p>
      <w:pPr>
        <w:jc w:val="both"/>
        <w:ind w:left="520" w:hanging="255"/>
        <w:spacing w:after="0" w:line="272" w:lineRule="auto"/>
        <w:tabs>
          <w:tab w:leader="none" w:pos="516" w:val="left"/>
        </w:tabs>
        <w:numPr>
          <w:ilvl w:val="0"/>
          <w:numId w:val="13"/>
        </w:numPr>
        <w:rPr>
          <w:rFonts w:ascii="Arial" w:cs="Arial" w:eastAsia="Arial" w:hAnsi="Arial"/>
          <w:sz w:val="14"/>
          <w:szCs w:val="14"/>
          <w:color w:val="auto"/>
        </w:rPr>
      </w:pPr>
      <w:r>
        <w:rPr>
          <w:rFonts w:ascii="Arial" w:cs="Arial" w:eastAsia="Arial" w:hAnsi="Arial"/>
          <w:sz w:val="14"/>
          <w:szCs w:val="14"/>
          <w:color w:val="auto"/>
        </w:rPr>
        <w:t>On February 7, 2018, the Company acquired Great Lakes. The operating results of Great Lakes are reported in the Company's consolidated financial statements from the date of acquisition. Thus, there are three months of Great Lakes' operations included in the three months ended March 31, 2019 as compared to approximately two months of activity in the three months ended March 31, 2018.</w:t>
      </w:r>
    </w:p>
    <w:p>
      <w:pPr>
        <w:spacing w:after="0" w:line="99" w:lineRule="exact"/>
        <w:rPr>
          <w:rFonts w:ascii="Arial" w:cs="Arial" w:eastAsia="Arial" w:hAnsi="Arial"/>
          <w:sz w:val="14"/>
          <w:szCs w:val="14"/>
          <w:color w:val="auto"/>
        </w:rPr>
      </w:pPr>
    </w:p>
    <w:p>
      <w:pPr>
        <w:jc w:val="both"/>
        <w:ind w:left="520" w:hanging="255"/>
        <w:spacing w:after="0" w:line="272" w:lineRule="auto"/>
        <w:tabs>
          <w:tab w:leader="none" w:pos="516" w:val="left"/>
        </w:tabs>
        <w:numPr>
          <w:ilvl w:val="0"/>
          <w:numId w:val="13"/>
        </w:numPr>
        <w:rPr>
          <w:rFonts w:ascii="Arial" w:cs="Arial" w:eastAsia="Arial" w:hAnsi="Arial"/>
          <w:sz w:val="14"/>
          <w:szCs w:val="14"/>
          <w:color w:val="auto"/>
        </w:rPr>
      </w:pPr>
      <w:r>
        <w:rPr>
          <w:rFonts w:ascii="Arial" w:cs="Arial" w:eastAsia="Arial" w:hAnsi="Arial"/>
          <w:sz w:val="14"/>
          <w:szCs w:val="14"/>
          <w:color w:val="auto"/>
        </w:rPr>
        <w:t>Nelnet Servicing, LLC ("Nelnet Servicing") and Great Lakes have student loan servicing contracts awarded by the Department in June 2009 to provide servicing for loans owned by the Department. As of March 31, 2019, Nelnet Servicing was servicing $183.1 billion of student loans for 5.7 million borrowers under its contract, and Great Lakes was servicing $237.1 billion of student loans for 7.4 million borrowers under its contract. These contracts currently provide for expiration on June 16, 2019.</w:t>
      </w:r>
    </w:p>
    <w:p>
      <w:pPr>
        <w:spacing w:after="0" w:line="99" w:lineRule="exact"/>
        <w:rPr>
          <w:rFonts w:ascii="Arial" w:cs="Arial" w:eastAsia="Arial" w:hAnsi="Arial"/>
          <w:sz w:val="14"/>
          <w:szCs w:val="14"/>
          <w:color w:val="auto"/>
        </w:rPr>
      </w:pPr>
    </w:p>
    <w:p>
      <w:pPr>
        <w:jc w:val="both"/>
        <w:ind w:left="520"/>
        <w:spacing w:after="0" w:line="272" w:lineRule="auto"/>
        <w:rPr>
          <w:rFonts w:ascii="Arial" w:cs="Arial" w:eastAsia="Arial" w:hAnsi="Arial"/>
          <w:sz w:val="14"/>
          <w:szCs w:val="14"/>
          <w:color w:val="auto"/>
        </w:rPr>
      </w:pPr>
      <w:r>
        <w:rPr>
          <w:rFonts w:ascii="Arial" w:cs="Arial" w:eastAsia="Arial" w:hAnsi="Arial"/>
          <w:sz w:val="14"/>
          <w:szCs w:val="14"/>
          <w:color w:val="auto"/>
        </w:rPr>
        <w:t>On April 24, 2019, Nelnet Servicing and Great Lakes received correspondence from the Department's Office of Federal Student Aid ("FSA") indicating the FSA's intent to exercise a six-month extension of the current servicing contracts, from June 16, 2019 to December 15, 2019. The correspondence served only as a non-binding notice of intent, and any formal extension of the contracts will occur only upon a signed modification to the contracts.</w:t>
      </w:r>
    </w:p>
    <w:p>
      <w:pPr>
        <w:spacing w:after="0" w:line="99" w:lineRule="exact"/>
        <w:rPr>
          <w:rFonts w:ascii="Arial" w:cs="Arial" w:eastAsia="Arial" w:hAnsi="Arial"/>
          <w:sz w:val="14"/>
          <w:szCs w:val="14"/>
          <w:color w:val="auto"/>
        </w:rPr>
      </w:pPr>
    </w:p>
    <w:p>
      <w:pPr>
        <w:ind w:left="520"/>
        <w:spacing w:after="0"/>
        <w:rPr>
          <w:rFonts w:ascii="Arial" w:cs="Arial" w:eastAsia="Arial" w:hAnsi="Arial"/>
          <w:sz w:val="14"/>
          <w:szCs w:val="14"/>
          <w:color w:val="auto"/>
        </w:rPr>
      </w:pPr>
      <w:r>
        <w:rPr>
          <w:rFonts w:ascii="Arial" w:cs="Arial" w:eastAsia="Arial" w:hAnsi="Arial"/>
          <w:sz w:val="14"/>
          <w:szCs w:val="14"/>
          <w:color w:val="auto"/>
        </w:rPr>
        <w:t>In addition, Nelnet Servicing's current Authority to Operate as a loan servicer for the Department expires on May 31, 2019, and is currently under review for renewal.</w:t>
      </w:r>
    </w:p>
    <w:p>
      <w:pPr>
        <w:spacing w:after="0" w:line="140" w:lineRule="exact"/>
        <w:rPr>
          <w:rFonts w:ascii="Arial" w:cs="Arial" w:eastAsia="Arial" w:hAnsi="Arial"/>
          <w:sz w:val="14"/>
          <w:szCs w:val="14"/>
          <w:color w:val="auto"/>
        </w:rPr>
      </w:pPr>
    </w:p>
    <w:p>
      <w:pPr>
        <w:ind w:left="520"/>
        <w:spacing w:after="0" w:line="288" w:lineRule="auto"/>
        <w:rPr>
          <w:rFonts w:ascii="Arial" w:cs="Arial" w:eastAsia="Arial" w:hAnsi="Arial"/>
          <w:sz w:val="14"/>
          <w:szCs w:val="14"/>
          <w:color w:val="auto"/>
        </w:rPr>
      </w:pPr>
      <w:r>
        <w:rPr>
          <w:rFonts w:ascii="Arial" w:cs="Arial" w:eastAsia="Arial" w:hAnsi="Arial"/>
          <w:sz w:val="14"/>
          <w:szCs w:val="14"/>
          <w:color w:val="auto"/>
        </w:rPr>
        <w:t>FSA is conducting a contract procurement process entitled Next Generation Financial Services Environment (“NextGen”) for a new framework for the servicing of all student loans owned by the Department. On January 15, 2019, FSA issued solicitations for three NextGen components:</w:t>
      </w:r>
    </w:p>
    <w:p>
      <w:pPr>
        <w:spacing w:after="0" w:line="200" w:lineRule="exact"/>
        <w:rPr>
          <w:sz w:val="20"/>
          <w:szCs w:val="20"/>
          <w:color w:val="auto"/>
        </w:rPr>
      </w:pPr>
    </w:p>
    <w:p>
      <w:pPr>
        <w:spacing w:after="0" w:line="330"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28</w:t>
      </w:r>
    </w:p>
    <w:p>
      <w:pPr>
        <w:sectPr>
          <w:pgSz w:w="11900" w:h="16838" w:orient="portrait"/>
          <w:cols w:equalWidth="0" w:num="1">
            <w:col w:w="11460"/>
          </w:cols>
          <w:pgMar w:left="220" w:top="743" w:right="219" w:bottom="1440" w:gutter="0" w:footer="0" w:header="0"/>
        </w:sectPr>
      </w:pPr>
    </w:p>
    <w:bookmarkStart w:id="29" w:name="page30"/>
    <w:bookmarkEnd w:id="29"/>
    <w:p>
      <w:pPr>
        <w:ind w:left="1040" w:hanging="258"/>
        <w:spacing w:after="0"/>
        <w:tabs>
          <w:tab w:leader="none" w:pos="1040" w:val="left"/>
        </w:tabs>
        <w:numPr>
          <w:ilvl w:val="0"/>
          <w:numId w:val="14"/>
        </w:numPr>
        <w:rPr>
          <w:rFonts w:ascii="Arial" w:cs="Arial" w:eastAsia="Arial" w:hAnsi="Arial"/>
          <w:sz w:val="14"/>
          <w:szCs w:val="14"/>
          <w:color w:val="auto"/>
        </w:rPr>
      </w:pPr>
      <w:r>
        <w:rPr>
          <w:rFonts w:ascii="Arial" w:cs="Arial" w:eastAsia="Arial" w:hAnsi="Arial"/>
          <w:sz w:val="14"/>
          <w:szCs w:val="14"/>
          <w:color w:val="auto"/>
        </w:rPr>
        <w:t>NextGen Enhanced Processing Solution ("EPS")</w:t>
      </w:r>
    </w:p>
    <w:p>
      <w:pPr>
        <w:spacing w:after="0" w:line="20" w:lineRule="exact"/>
        <w:rPr>
          <w:rFonts w:ascii="Arial" w:cs="Arial" w:eastAsia="Arial" w:hAnsi="Arial"/>
          <w:sz w:val="14"/>
          <w:szCs w:val="14"/>
          <w:color w:val="auto"/>
        </w:rPr>
      </w:pPr>
    </w:p>
    <w:p>
      <w:pPr>
        <w:ind w:left="1040" w:hanging="258"/>
        <w:spacing w:after="0"/>
        <w:tabs>
          <w:tab w:leader="none" w:pos="1040" w:val="left"/>
        </w:tabs>
        <w:numPr>
          <w:ilvl w:val="0"/>
          <w:numId w:val="14"/>
        </w:numPr>
        <w:rPr>
          <w:rFonts w:ascii="Arial" w:cs="Arial" w:eastAsia="Arial" w:hAnsi="Arial"/>
          <w:sz w:val="14"/>
          <w:szCs w:val="14"/>
          <w:color w:val="auto"/>
        </w:rPr>
      </w:pPr>
      <w:r>
        <w:rPr>
          <w:rFonts w:ascii="Arial" w:cs="Arial" w:eastAsia="Arial" w:hAnsi="Arial"/>
          <w:sz w:val="14"/>
          <w:szCs w:val="14"/>
          <w:color w:val="auto"/>
        </w:rPr>
        <w:t>NextGen Business Process Operations ("BPO")</w:t>
      </w:r>
    </w:p>
    <w:p>
      <w:pPr>
        <w:spacing w:after="0" w:line="11" w:lineRule="exact"/>
        <w:rPr>
          <w:rFonts w:ascii="Arial" w:cs="Arial" w:eastAsia="Arial" w:hAnsi="Arial"/>
          <w:sz w:val="14"/>
          <w:szCs w:val="14"/>
          <w:color w:val="auto"/>
        </w:rPr>
      </w:pPr>
    </w:p>
    <w:p>
      <w:pPr>
        <w:ind w:left="1040" w:hanging="258"/>
        <w:spacing w:after="0"/>
        <w:tabs>
          <w:tab w:leader="none" w:pos="1040" w:val="left"/>
        </w:tabs>
        <w:numPr>
          <w:ilvl w:val="0"/>
          <w:numId w:val="14"/>
        </w:numPr>
        <w:rPr>
          <w:rFonts w:ascii="Arial" w:cs="Arial" w:eastAsia="Arial" w:hAnsi="Arial"/>
          <w:sz w:val="14"/>
          <w:szCs w:val="14"/>
          <w:color w:val="auto"/>
        </w:rPr>
      </w:pPr>
      <w:r>
        <w:rPr>
          <w:rFonts w:ascii="Arial" w:cs="Arial" w:eastAsia="Arial" w:hAnsi="Arial"/>
          <w:sz w:val="14"/>
          <w:szCs w:val="14"/>
          <w:color w:val="auto"/>
        </w:rPr>
        <w:t>NextGen Optimal Processing Solution ("OPS")</w:t>
      </w:r>
    </w:p>
    <w:p>
      <w:pPr>
        <w:spacing w:after="0" w:line="196" w:lineRule="exact"/>
        <w:rPr>
          <w:sz w:val="20"/>
          <w:szCs w:val="20"/>
          <w:color w:val="auto"/>
        </w:rPr>
      </w:pPr>
    </w:p>
    <w:p>
      <w:pPr>
        <w:ind w:left="520"/>
        <w:spacing w:after="0" w:line="288" w:lineRule="auto"/>
        <w:rPr>
          <w:sz w:val="20"/>
          <w:szCs w:val="20"/>
          <w:color w:val="auto"/>
        </w:rPr>
      </w:pPr>
      <w:r>
        <w:rPr>
          <w:rFonts w:ascii="Arial" w:cs="Arial" w:eastAsia="Arial" w:hAnsi="Arial"/>
          <w:sz w:val="14"/>
          <w:szCs w:val="14"/>
          <w:color w:val="auto"/>
        </w:rPr>
        <w:t>On April 1, 2019, the Company responded to the EPS component. In addition, the Company is part of teams that currently intend to respond to the BPO and OPS components. The Company cannot predict the timing, nature, or outcome of these solicitations.</w:t>
      </w:r>
    </w:p>
    <w:p>
      <w:pPr>
        <w:spacing w:after="0" w:line="88" w:lineRule="exact"/>
        <w:rPr>
          <w:sz w:val="20"/>
          <w:szCs w:val="20"/>
          <w:color w:val="auto"/>
        </w:rPr>
      </w:pPr>
    </w:p>
    <w:p>
      <w:pPr>
        <w:jc w:val="both"/>
        <w:ind w:left="520" w:hanging="255"/>
        <w:spacing w:after="0" w:line="294" w:lineRule="auto"/>
        <w:tabs>
          <w:tab w:leader="none" w:pos="516" w:val="left"/>
        </w:tabs>
        <w:numPr>
          <w:ilvl w:val="0"/>
          <w:numId w:val="15"/>
        </w:numPr>
        <w:rPr>
          <w:rFonts w:ascii="Arial" w:cs="Arial" w:eastAsia="Arial" w:hAnsi="Arial"/>
          <w:sz w:val="13"/>
          <w:szCs w:val="13"/>
          <w:color w:val="auto"/>
        </w:rPr>
      </w:pPr>
      <w:r>
        <w:rPr>
          <w:rFonts w:ascii="Arial" w:cs="Arial" w:eastAsia="Arial" w:hAnsi="Arial"/>
          <w:sz w:val="13"/>
          <w:szCs w:val="13"/>
          <w:color w:val="auto"/>
        </w:rPr>
        <w:t>The Company has begun to incur additional costs in 2019 to be responsive to the Department's procurement and develop new private education and consumer loan origination and servicing systems, a multi-year project, which the Company currently expects will decrease future operating margins from recent historical results. For the three months ended March 31, 2019, the before tax and noncontrolling interest operating margin was 17.0 percent, as compared to 18.6 percent in the same period of 2018. The noncontrolling interest represented Great Lakes' 50 percent interest in the GreatNet joint venture, and ceased for financial reporting purposes upon the Company's acquisition of Great Lakes on February 7, 2018.</w:t>
      </w:r>
    </w:p>
    <w:p>
      <w:pPr>
        <w:spacing w:after="0" w:line="87" w:lineRule="exact"/>
        <w:rPr>
          <w:sz w:val="20"/>
          <w:szCs w:val="20"/>
          <w:color w:val="auto"/>
        </w:rPr>
      </w:pPr>
    </w:p>
    <w:p>
      <w:pPr>
        <w:spacing w:after="0"/>
        <w:rPr>
          <w:sz w:val="20"/>
          <w:szCs w:val="20"/>
          <w:color w:val="auto"/>
        </w:rPr>
      </w:pPr>
      <w:r>
        <w:rPr>
          <w:rFonts w:ascii="Arial" w:cs="Arial" w:eastAsia="Arial" w:hAnsi="Arial"/>
          <w:sz w:val="14"/>
          <w:szCs w:val="14"/>
          <w:b w:val="1"/>
          <w:bCs w:val="1"/>
          <w:i w:val="1"/>
          <w:iCs w:val="1"/>
          <w:color w:val="auto"/>
        </w:rPr>
        <w:t>Education Technology, Services, and Payment Processing</w:t>
      </w:r>
    </w:p>
    <w:p>
      <w:pPr>
        <w:spacing w:after="0" w:line="141" w:lineRule="exact"/>
        <w:rPr>
          <w:sz w:val="20"/>
          <w:szCs w:val="20"/>
          <w:color w:val="auto"/>
        </w:rPr>
      </w:pPr>
    </w:p>
    <w:p>
      <w:pPr>
        <w:jc w:val="both"/>
        <w:ind w:left="520" w:hanging="255"/>
        <w:spacing w:after="0" w:line="272" w:lineRule="auto"/>
        <w:tabs>
          <w:tab w:leader="none" w:pos="516" w:val="left"/>
        </w:tabs>
        <w:numPr>
          <w:ilvl w:val="0"/>
          <w:numId w:val="16"/>
        </w:numPr>
        <w:rPr>
          <w:rFonts w:ascii="Arial" w:cs="Arial" w:eastAsia="Arial" w:hAnsi="Arial"/>
          <w:sz w:val="14"/>
          <w:szCs w:val="14"/>
          <w:color w:val="auto"/>
        </w:rPr>
      </w:pPr>
      <w:r>
        <w:rPr>
          <w:rFonts w:ascii="Arial" w:cs="Arial" w:eastAsia="Arial" w:hAnsi="Arial"/>
          <w:sz w:val="14"/>
          <w:szCs w:val="14"/>
          <w:color w:val="auto"/>
        </w:rPr>
        <w:t>On November 20, 2018, the Company acquired Tuition Management Systems ("TMS"), a services company that offers tuition payment plans, billing services, payment technology solutions, and refund management to educational institutions. The TMS acquisition added 380 higher education schools and 170 K-12 schools to the Company’s customer base. The results of TMS’ operations are reported in the Company’s consolidated financial statements from the date of acquisition.</w:t>
      </w:r>
    </w:p>
    <w:p>
      <w:pPr>
        <w:spacing w:after="0" w:line="99" w:lineRule="exact"/>
        <w:rPr>
          <w:rFonts w:ascii="Arial" w:cs="Arial" w:eastAsia="Arial" w:hAnsi="Arial"/>
          <w:sz w:val="14"/>
          <w:szCs w:val="14"/>
          <w:color w:val="auto"/>
        </w:rPr>
      </w:pPr>
    </w:p>
    <w:p>
      <w:pPr>
        <w:ind w:left="520" w:hanging="255"/>
        <w:spacing w:after="0" w:line="288" w:lineRule="auto"/>
        <w:tabs>
          <w:tab w:leader="none" w:pos="516" w:val="left"/>
        </w:tabs>
        <w:numPr>
          <w:ilvl w:val="0"/>
          <w:numId w:val="16"/>
        </w:numPr>
        <w:rPr>
          <w:rFonts w:ascii="Arial" w:cs="Arial" w:eastAsia="Arial" w:hAnsi="Arial"/>
          <w:sz w:val="14"/>
          <w:szCs w:val="14"/>
          <w:color w:val="auto"/>
        </w:rPr>
      </w:pPr>
      <w:r>
        <w:rPr>
          <w:rFonts w:ascii="Arial" w:cs="Arial" w:eastAsia="Arial" w:hAnsi="Arial"/>
          <w:sz w:val="14"/>
          <w:szCs w:val="14"/>
          <w:color w:val="auto"/>
        </w:rPr>
        <w:t>In October 2018, the Company terminated its investment in a proprietary payment processing platform. These expense reductions increased before tax operating margin (income before income taxes divided by net revenue) for the three months ended March 31, 2019 to 43.0 percent, as compared to 37.8 percent in the same period of 2018.</w:t>
      </w:r>
    </w:p>
    <w:p>
      <w:pPr>
        <w:spacing w:after="0" w:line="87" w:lineRule="exact"/>
        <w:rPr>
          <w:rFonts w:ascii="Arial" w:cs="Arial" w:eastAsia="Arial" w:hAnsi="Arial"/>
          <w:sz w:val="14"/>
          <w:szCs w:val="14"/>
          <w:color w:val="auto"/>
        </w:rPr>
      </w:pPr>
    </w:p>
    <w:p>
      <w:pPr>
        <w:ind w:left="520" w:hanging="255"/>
        <w:spacing w:after="0" w:line="288" w:lineRule="auto"/>
        <w:tabs>
          <w:tab w:leader="none" w:pos="516" w:val="left"/>
        </w:tabs>
        <w:numPr>
          <w:ilvl w:val="0"/>
          <w:numId w:val="16"/>
        </w:numPr>
        <w:rPr>
          <w:rFonts w:ascii="Arial" w:cs="Arial" w:eastAsia="Arial" w:hAnsi="Arial"/>
          <w:sz w:val="14"/>
          <w:szCs w:val="14"/>
          <w:color w:val="auto"/>
        </w:rPr>
      </w:pPr>
      <w:r>
        <w:rPr>
          <w:rFonts w:ascii="Arial" w:cs="Arial" w:eastAsia="Arial" w:hAnsi="Arial"/>
          <w:sz w:val="14"/>
          <w:szCs w:val="14"/>
          <w:color w:val="auto"/>
        </w:rPr>
        <w:t>This segment is subject to seasonal fluctuations. Based on the timing of when revenue is recognized and when expenses are incurred, revenue and operating margin are higher in the first quarter as compared to the remainder of the year.</w:t>
      </w:r>
    </w:p>
    <w:p>
      <w:pPr>
        <w:spacing w:after="0" w:line="88" w:lineRule="exact"/>
        <w:rPr>
          <w:sz w:val="20"/>
          <w:szCs w:val="20"/>
          <w:color w:val="auto"/>
        </w:rPr>
      </w:pPr>
    </w:p>
    <w:p>
      <w:pPr>
        <w:spacing w:after="0"/>
        <w:rPr>
          <w:sz w:val="20"/>
          <w:szCs w:val="20"/>
          <w:color w:val="auto"/>
        </w:rPr>
      </w:pPr>
      <w:r>
        <w:rPr>
          <w:rFonts w:ascii="Arial" w:cs="Arial" w:eastAsia="Arial" w:hAnsi="Arial"/>
          <w:sz w:val="14"/>
          <w:szCs w:val="14"/>
          <w:b w:val="1"/>
          <w:bCs w:val="1"/>
          <w:i w:val="1"/>
          <w:iCs w:val="1"/>
          <w:color w:val="auto"/>
        </w:rPr>
        <w:t>Communications</w:t>
      </w:r>
    </w:p>
    <w:p>
      <w:pPr>
        <w:spacing w:after="0" w:line="141" w:lineRule="exact"/>
        <w:rPr>
          <w:sz w:val="20"/>
          <w:szCs w:val="20"/>
          <w:color w:val="auto"/>
        </w:rPr>
      </w:pPr>
    </w:p>
    <w:p>
      <w:pPr>
        <w:jc w:val="both"/>
        <w:ind w:left="520" w:hanging="255"/>
        <w:spacing w:after="0" w:line="267" w:lineRule="auto"/>
        <w:tabs>
          <w:tab w:leader="none" w:pos="516" w:val="left"/>
        </w:tabs>
        <w:numPr>
          <w:ilvl w:val="0"/>
          <w:numId w:val="17"/>
        </w:numPr>
        <w:rPr>
          <w:rFonts w:ascii="Arial" w:cs="Arial" w:eastAsia="Arial" w:hAnsi="Arial"/>
          <w:sz w:val="14"/>
          <w:szCs w:val="14"/>
          <w:color w:val="auto"/>
        </w:rPr>
      </w:pPr>
      <w:r>
        <w:rPr>
          <w:rFonts w:ascii="Arial" w:cs="Arial" w:eastAsia="Arial" w:hAnsi="Arial"/>
          <w:sz w:val="14"/>
          <w:szCs w:val="14"/>
          <w:color w:val="auto"/>
        </w:rPr>
        <w:t>ALLO recognized a loss of $4.8 million for the three months ended March 31, 2019, as compared to a loss of $7.0 million for the same period in 2018. The decrease in ALLO's net loss in 2019, as compared to 2018, was primarily due to a decrease in interest expense. ALLO recognized $2.5 million of interest expense to Nelnet, Inc. (parent company) during the three-month period ended March 31, 2018. Subsequent to October 1, 2018, ALLO will not report interest expense in its income statement related to amounts contributed to ALLO from Nelnet, Inc. due to a recapitalization of ALLO.</w:t>
      </w:r>
    </w:p>
    <w:p>
      <w:pPr>
        <w:spacing w:after="0" w:line="102" w:lineRule="exact"/>
        <w:rPr>
          <w:rFonts w:ascii="Arial" w:cs="Arial" w:eastAsia="Arial" w:hAnsi="Arial"/>
          <w:sz w:val="14"/>
          <w:szCs w:val="14"/>
          <w:color w:val="auto"/>
        </w:rPr>
      </w:pPr>
    </w:p>
    <w:p>
      <w:pPr>
        <w:jc w:val="both"/>
        <w:ind w:left="520" w:hanging="255"/>
        <w:spacing w:after="0" w:line="264" w:lineRule="auto"/>
        <w:tabs>
          <w:tab w:leader="none" w:pos="516" w:val="left"/>
        </w:tabs>
        <w:numPr>
          <w:ilvl w:val="0"/>
          <w:numId w:val="17"/>
        </w:numPr>
        <w:rPr>
          <w:rFonts w:ascii="Arial" w:cs="Arial" w:eastAsia="Arial" w:hAnsi="Arial"/>
          <w:sz w:val="14"/>
          <w:szCs w:val="14"/>
          <w:color w:val="auto"/>
        </w:rPr>
      </w:pPr>
      <w:r>
        <w:rPr>
          <w:rFonts w:ascii="Arial" w:cs="Arial" w:eastAsia="Arial" w:hAnsi="Arial"/>
          <w:sz w:val="14"/>
          <w:szCs w:val="14"/>
          <w:color w:val="auto"/>
        </w:rPr>
        <w:t>ALLO's management uses earnings (loss) before interest, income taxes, depreciation, and amortization ("EBITDA") to eliminate certain non-cash and non-operating items in order to consistently measure performance from period to period. For the first quarter of 2019, ALLO had positive EBITDA of $1.0 million, compared with negative EBITDA of $1.8 million for the same period in 2018. EBITDA is a supplemental non-GAAP performance measure which the Company believes provides useful additional information regarding a key metric used by management to assess ALLO's performance. See "Communications Operating Segment - Results of Operations - Summary and Comparison of Operating Results" below for additional information regarding the computation and use of EBITDA for ALLO.</w:t>
      </w:r>
    </w:p>
    <w:p>
      <w:pPr>
        <w:spacing w:after="0" w:line="105" w:lineRule="exact"/>
        <w:rPr>
          <w:rFonts w:ascii="Arial" w:cs="Arial" w:eastAsia="Arial" w:hAnsi="Arial"/>
          <w:sz w:val="14"/>
          <w:szCs w:val="14"/>
          <w:color w:val="auto"/>
        </w:rPr>
      </w:pPr>
    </w:p>
    <w:p>
      <w:pPr>
        <w:jc w:val="both"/>
        <w:ind w:left="520" w:hanging="255"/>
        <w:spacing w:after="0" w:line="263" w:lineRule="auto"/>
        <w:tabs>
          <w:tab w:leader="none" w:pos="516" w:val="left"/>
        </w:tabs>
        <w:numPr>
          <w:ilvl w:val="0"/>
          <w:numId w:val="17"/>
        </w:numPr>
        <w:rPr>
          <w:rFonts w:ascii="Arial" w:cs="Arial" w:eastAsia="Arial" w:hAnsi="Arial"/>
          <w:sz w:val="14"/>
          <w:szCs w:val="14"/>
          <w:color w:val="auto"/>
        </w:rPr>
      </w:pPr>
      <w:r>
        <w:rPr>
          <w:rFonts w:ascii="Arial" w:cs="Arial" w:eastAsia="Arial" w:hAnsi="Arial"/>
          <w:sz w:val="14"/>
          <w:szCs w:val="14"/>
          <w:color w:val="auto"/>
        </w:rPr>
        <w:t>ALLO has made significant investments in its communications network and currently provides fiber directly to homes and businesses in eight communities in Nebraska and one in Colorado. ALLO plans to continue to increase market share and revenue in its existing markets and is currently evaluating opportunities to expand to other communities in the Midwest. ALLO began providing services in Lincoln, Nebraska in September 2016 as part of a multi-year project to pass substantially all commercial and residential properties in the community. As of the end of the first quarter of 2019, the build-out of the Lincoln community was substantially complete. For the three months ended March 31, 2019, ALLO's capital expenditures were $12.0 million. The Company anticipates total ALLO network capital expenditures for the remainder of 2019 (April 1, 2019 - December 31, 2019) will be approximately $40 million. However, this amount could change based on customer demand for ALLO's services.</w:t>
      </w:r>
    </w:p>
    <w:p>
      <w:pPr>
        <w:spacing w:after="0" w:line="200" w:lineRule="exact"/>
        <w:rPr>
          <w:sz w:val="20"/>
          <w:szCs w:val="20"/>
          <w:color w:val="auto"/>
        </w:rPr>
      </w:pPr>
    </w:p>
    <w:p>
      <w:pPr>
        <w:spacing w:after="0" w:line="347"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29</w:t>
      </w:r>
    </w:p>
    <w:p>
      <w:pPr>
        <w:sectPr>
          <w:pgSz w:w="11900" w:h="16838" w:orient="portrait"/>
          <w:cols w:equalWidth="0" w:num="1">
            <w:col w:w="11460"/>
          </w:cols>
          <w:pgMar w:left="220" w:top="743" w:right="219" w:bottom="1440" w:gutter="0" w:footer="0" w:header="0"/>
        </w:sectPr>
      </w:pPr>
    </w:p>
    <w:bookmarkStart w:id="30" w:name="page31"/>
    <w:bookmarkEnd w:id="30"/>
    <w:p>
      <w:pPr>
        <w:ind w:left="520" w:hanging="255"/>
        <w:spacing w:after="0" w:line="288" w:lineRule="auto"/>
        <w:tabs>
          <w:tab w:leader="none" w:pos="516" w:val="left"/>
        </w:tabs>
        <w:numPr>
          <w:ilvl w:val="0"/>
          <w:numId w:val="18"/>
        </w:numPr>
        <w:rPr>
          <w:rFonts w:ascii="Arial" w:cs="Arial" w:eastAsia="Arial" w:hAnsi="Arial"/>
          <w:sz w:val="14"/>
          <w:szCs w:val="14"/>
          <w:color w:val="auto"/>
        </w:rPr>
      </w:pPr>
      <w:r>
        <w:rPr>
          <w:rFonts w:ascii="Arial" w:cs="Arial" w:eastAsia="Arial" w:hAnsi="Arial"/>
          <w:sz w:val="14"/>
          <w:szCs w:val="14"/>
          <w:color w:val="auto"/>
        </w:rPr>
        <w:t>The Company currently anticipates ALLO's operating results will be dilutive to the Company's consolidated earnings as it continues to build and add customers to its network in Lincoln, Nebraska and other communities, due to large upfront capital expenditures and associated depreciation and upfront customer acquisition costs.</w:t>
      </w:r>
    </w:p>
    <w:p>
      <w:pPr>
        <w:spacing w:after="0" w:line="88" w:lineRule="exact"/>
        <w:rPr>
          <w:sz w:val="20"/>
          <w:szCs w:val="20"/>
          <w:color w:val="auto"/>
        </w:rPr>
      </w:pPr>
    </w:p>
    <w:p>
      <w:pPr>
        <w:spacing w:after="0"/>
        <w:rPr>
          <w:sz w:val="20"/>
          <w:szCs w:val="20"/>
          <w:color w:val="auto"/>
        </w:rPr>
      </w:pPr>
      <w:r>
        <w:rPr>
          <w:rFonts w:ascii="Arial" w:cs="Arial" w:eastAsia="Arial" w:hAnsi="Arial"/>
          <w:sz w:val="14"/>
          <w:szCs w:val="14"/>
          <w:b w:val="1"/>
          <w:bCs w:val="1"/>
          <w:i w:val="1"/>
          <w:iCs w:val="1"/>
          <w:color w:val="auto"/>
        </w:rPr>
        <w:t>Asset Generation and Management</w:t>
      </w:r>
    </w:p>
    <w:p>
      <w:pPr>
        <w:spacing w:after="0" w:line="141" w:lineRule="exact"/>
        <w:rPr>
          <w:sz w:val="20"/>
          <w:szCs w:val="20"/>
          <w:color w:val="auto"/>
        </w:rPr>
      </w:pPr>
    </w:p>
    <w:p>
      <w:pPr>
        <w:jc w:val="both"/>
        <w:ind w:left="520" w:hanging="255"/>
        <w:spacing w:after="0" w:line="289" w:lineRule="auto"/>
        <w:tabs>
          <w:tab w:leader="none" w:pos="516" w:val="left"/>
        </w:tabs>
        <w:numPr>
          <w:ilvl w:val="0"/>
          <w:numId w:val="19"/>
        </w:numPr>
        <w:rPr>
          <w:rFonts w:ascii="Arial" w:cs="Arial" w:eastAsia="Arial" w:hAnsi="Arial"/>
          <w:sz w:val="13"/>
          <w:szCs w:val="13"/>
          <w:color w:val="auto"/>
        </w:rPr>
      </w:pPr>
      <w:r>
        <w:rPr>
          <w:rFonts w:ascii="Arial" w:cs="Arial" w:eastAsia="Arial" w:hAnsi="Arial"/>
          <w:sz w:val="13"/>
          <w:szCs w:val="13"/>
          <w:color w:val="auto"/>
        </w:rPr>
        <w:t>The Company's average balance of loans increased to $22.3 billion for the first quarter of 2019, compared with $21.9 billion for the same period in 2018. Core loan spread increased to 1.30% for the quarter ended March 31, 2019, compared with 1.29% for the same period in 2018. Core loan spread, a non-GAAP measure, is computed as set forth in "Asset Generation and Management Operating Segment - Results of Operations - Loan Spread Analysis" below. Management believes core loan spread is a useful supplemental non-GAAP measure that reflects adjustments for derivative settlements related to net interest income (loan spread). However, there is no comprehensive authoritative guidance for the presentation of this measure, which is only meant to supplement GAAP results by providing additional information that management utilizes to assess performance.</w:t>
      </w:r>
    </w:p>
    <w:p>
      <w:pPr>
        <w:spacing w:after="0" w:line="91" w:lineRule="exact"/>
        <w:rPr>
          <w:rFonts w:ascii="Arial" w:cs="Arial" w:eastAsia="Arial" w:hAnsi="Arial"/>
          <w:sz w:val="13"/>
          <w:szCs w:val="13"/>
          <w:color w:val="auto"/>
        </w:rPr>
      </w:pPr>
    </w:p>
    <w:p>
      <w:pPr>
        <w:jc w:val="both"/>
        <w:ind w:left="520"/>
        <w:spacing w:after="0" w:line="272" w:lineRule="auto"/>
        <w:rPr>
          <w:rFonts w:ascii="Arial" w:cs="Arial" w:eastAsia="Arial" w:hAnsi="Arial"/>
          <w:sz w:val="13"/>
          <w:szCs w:val="13"/>
          <w:color w:val="auto"/>
        </w:rPr>
      </w:pPr>
      <w:r>
        <w:rPr>
          <w:rFonts w:ascii="Arial" w:cs="Arial" w:eastAsia="Arial" w:hAnsi="Arial"/>
          <w:sz w:val="14"/>
          <w:szCs w:val="14"/>
          <w:color w:val="auto"/>
        </w:rPr>
        <w:t>Other than consumer loans funded in the Company's consumer loan warehouse facility that closed on January 11, 2019, consumer loans were and continue to be funded by the Company using operating cash, until they can be funded in a secured financing transaction. As such, these loans do not have a cost of funds (debt) associated with them. Core loan spread, excluding consumer loans, would have been 1.22% and 1.25% for the three months ended March 31, 2019 and 2018, respectively.</w:t>
      </w:r>
    </w:p>
    <w:p>
      <w:pPr>
        <w:spacing w:after="0" w:line="99" w:lineRule="exact"/>
        <w:rPr>
          <w:rFonts w:ascii="Arial" w:cs="Arial" w:eastAsia="Arial" w:hAnsi="Arial"/>
          <w:sz w:val="13"/>
          <w:szCs w:val="13"/>
          <w:color w:val="auto"/>
        </w:rPr>
      </w:pPr>
    </w:p>
    <w:p>
      <w:pPr>
        <w:jc w:val="both"/>
        <w:ind w:left="520"/>
        <w:spacing w:after="0" w:line="272" w:lineRule="auto"/>
        <w:rPr>
          <w:rFonts w:ascii="Arial" w:cs="Arial" w:eastAsia="Arial" w:hAnsi="Arial"/>
          <w:sz w:val="13"/>
          <w:szCs w:val="13"/>
          <w:color w:val="auto"/>
        </w:rPr>
      </w:pPr>
      <w:r>
        <w:rPr>
          <w:rFonts w:ascii="Arial" w:cs="Arial" w:eastAsia="Arial" w:hAnsi="Arial"/>
          <w:sz w:val="14"/>
          <w:szCs w:val="14"/>
          <w:color w:val="auto"/>
        </w:rPr>
        <w:t>The Company recognized $27.1 million and $25.8 million in fixed rate floor income during the three months ended March 31, 2019 and 2018, respectively (which includes $16.7 million and $8.6 million of settlement payments received on derivatives used to hedge student loans earning fixed rate floor income). Fixed rate floor income contributed 50 basis points and 48 basis points of core loan spread for the three months ended March 31, 2019 and 2018, respectively.</w:t>
      </w:r>
    </w:p>
    <w:p>
      <w:pPr>
        <w:spacing w:after="0" w:line="99" w:lineRule="exact"/>
        <w:rPr>
          <w:rFonts w:ascii="Arial" w:cs="Arial" w:eastAsia="Arial" w:hAnsi="Arial"/>
          <w:sz w:val="13"/>
          <w:szCs w:val="13"/>
          <w:color w:val="auto"/>
        </w:rPr>
      </w:pPr>
    </w:p>
    <w:p>
      <w:pPr>
        <w:ind w:left="520" w:right="3400" w:hanging="255"/>
        <w:spacing w:after="0" w:line="484" w:lineRule="auto"/>
        <w:tabs>
          <w:tab w:leader="none" w:pos="516" w:val="left"/>
        </w:tabs>
        <w:numPr>
          <w:ilvl w:val="0"/>
          <w:numId w:val="19"/>
        </w:numPr>
        <w:rPr>
          <w:rFonts w:ascii="Arial" w:cs="Arial" w:eastAsia="Arial" w:hAnsi="Arial"/>
          <w:sz w:val="13"/>
          <w:szCs w:val="13"/>
          <w:color w:val="auto"/>
        </w:rPr>
      </w:pPr>
      <w:r>
        <w:rPr>
          <w:rFonts w:ascii="Arial" w:cs="Arial" w:eastAsia="Arial" w:hAnsi="Arial"/>
          <w:sz w:val="13"/>
          <w:szCs w:val="13"/>
          <w:color w:val="auto"/>
        </w:rPr>
        <w:t>Provision for loan losses was $7.0 million and $4.0 million for the three months ended March 31, 2019 and 2018, respectively. Provision for loan losses for federally insured loans was $2.0 million for each of the three months ended March 31, 2019 and 2018.</w:t>
      </w:r>
    </w:p>
    <w:p>
      <w:pPr>
        <w:ind w:left="520"/>
        <w:spacing w:after="0" w:line="288" w:lineRule="auto"/>
        <w:rPr>
          <w:rFonts w:ascii="Arial" w:cs="Arial" w:eastAsia="Arial" w:hAnsi="Arial"/>
          <w:sz w:val="13"/>
          <w:szCs w:val="13"/>
          <w:color w:val="auto"/>
        </w:rPr>
      </w:pPr>
      <w:r>
        <w:rPr>
          <w:rFonts w:ascii="Arial" w:cs="Arial" w:eastAsia="Arial" w:hAnsi="Arial"/>
          <w:sz w:val="14"/>
          <w:szCs w:val="14"/>
          <w:color w:val="auto"/>
        </w:rPr>
        <w:t>Provision for loan losses for consumer loans was $5.0 million and $2.0 million for the three months ended March 31, 2019 and 2018, respectively. The increase in provision was a result of the increased amount of consumer loan purchases during the 2019 period.</w:t>
      </w:r>
    </w:p>
    <w:p>
      <w:pPr>
        <w:spacing w:after="0" w:line="88" w:lineRule="exact"/>
        <w:rPr>
          <w:sz w:val="20"/>
          <w:szCs w:val="20"/>
          <w:color w:val="auto"/>
        </w:rPr>
      </w:pPr>
    </w:p>
    <w:p>
      <w:pPr>
        <w:spacing w:after="0"/>
        <w:rPr>
          <w:sz w:val="20"/>
          <w:szCs w:val="20"/>
          <w:color w:val="auto"/>
        </w:rPr>
      </w:pPr>
      <w:r>
        <w:rPr>
          <w:rFonts w:ascii="Arial" w:cs="Arial" w:eastAsia="Arial" w:hAnsi="Arial"/>
          <w:sz w:val="14"/>
          <w:szCs w:val="14"/>
          <w:b w:val="1"/>
          <w:bCs w:val="1"/>
          <w:i w:val="1"/>
          <w:iCs w:val="1"/>
          <w:color w:val="auto"/>
        </w:rPr>
        <w:t>Corporate and Other Activities</w:t>
      </w:r>
    </w:p>
    <w:p>
      <w:pPr>
        <w:spacing w:after="0" w:line="141" w:lineRule="exact"/>
        <w:rPr>
          <w:sz w:val="20"/>
          <w:szCs w:val="20"/>
          <w:color w:val="auto"/>
        </w:rPr>
      </w:pPr>
    </w:p>
    <w:p>
      <w:pPr>
        <w:jc w:val="both"/>
        <w:ind w:left="520" w:hanging="255"/>
        <w:spacing w:after="0" w:line="267" w:lineRule="auto"/>
        <w:tabs>
          <w:tab w:leader="none" w:pos="516" w:val="left"/>
        </w:tabs>
        <w:numPr>
          <w:ilvl w:val="0"/>
          <w:numId w:val="20"/>
        </w:numPr>
        <w:rPr>
          <w:rFonts w:ascii="Arial" w:cs="Arial" w:eastAsia="Arial" w:hAnsi="Arial"/>
          <w:sz w:val="14"/>
          <w:szCs w:val="14"/>
          <w:b w:val="1"/>
          <w:bCs w:val="1"/>
          <w:i w:val="1"/>
          <w:iCs w:val="1"/>
          <w:color w:val="auto"/>
        </w:rPr>
      </w:pPr>
      <w:r>
        <w:rPr>
          <w:rFonts w:ascii="Arial" w:cs="Arial" w:eastAsia="Arial" w:hAnsi="Arial"/>
          <w:sz w:val="14"/>
          <w:szCs w:val="14"/>
          <w:color w:val="auto"/>
        </w:rPr>
        <w:t>The Company adopted a new lease accounting standard effective January 1, 2019. The most significant impact of the standard to the Company relates to (1) the recognition of new right-of-use ("ROU") assets and lease liabilities on its balance sheet primarily for office, data center, and dark fiber operating leases; (2) the deconsolidation of assets and liabilities for certain sale-leaseback transactions arising from build-to-suit lease arrangements for which construction was completed and the Company is leasing the constructed assets that did not qualify for sale accounting prior to the adoption of the new standard; and (3) significant new disclosures about the Company’s leasing activities.</w:t>
      </w:r>
    </w:p>
    <w:p>
      <w:pPr>
        <w:spacing w:after="0" w:line="102" w:lineRule="exact"/>
        <w:rPr>
          <w:rFonts w:ascii="Arial" w:cs="Arial" w:eastAsia="Arial" w:hAnsi="Arial"/>
          <w:sz w:val="14"/>
          <w:szCs w:val="14"/>
          <w:b w:val="1"/>
          <w:bCs w:val="1"/>
          <w:i w:val="1"/>
          <w:iCs w:val="1"/>
          <w:color w:val="auto"/>
        </w:rPr>
      </w:pPr>
    </w:p>
    <w:p>
      <w:pPr>
        <w:jc w:val="both"/>
        <w:ind w:left="520"/>
        <w:spacing w:after="0" w:line="267" w:lineRule="auto"/>
        <w:rPr>
          <w:rFonts w:ascii="Arial" w:cs="Arial" w:eastAsia="Arial" w:hAnsi="Arial"/>
          <w:sz w:val="14"/>
          <w:szCs w:val="14"/>
          <w:b w:val="1"/>
          <w:bCs w:val="1"/>
          <w:i w:val="1"/>
          <w:iCs w:val="1"/>
          <w:color w:val="auto"/>
        </w:rPr>
      </w:pPr>
      <w:r>
        <w:rPr>
          <w:rFonts w:ascii="Arial" w:cs="Arial" w:eastAsia="Arial" w:hAnsi="Arial"/>
          <w:sz w:val="14"/>
          <w:szCs w:val="14"/>
          <w:color w:val="auto"/>
        </w:rPr>
        <w:t>Adoption of the new standard resulted in recognizing lease liabilities of $33.7 million based on the present value of the remaining minimum rental payments. In addition the Company recognized ROU assets of $32.8 million, which corresponds to the lease liabilities reduced by deferred rent expense as of the effective date. The Company also deconsolidated total assets of $43.8 million and total liabilities of $34.8 million for entities that had been consolidated due to sale-leaseback transactions that failed to qualify for recognition as sales under the prior guidance. Deconsolidation of these entities reduced noncontrolling interests by $6.1 million.</w:t>
      </w:r>
    </w:p>
    <w:p>
      <w:pPr>
        <w:spacing w:after="0" w:line="103" w:lineRule="exact"/>
        <w:rPr>
          <w:sz w:val="20"/>
          <w:szCs w:val="20"/>
          <w:color w:val="auto"/>
        </w:rPr>
      </w:pPr>
    </w:p>
    <w:p>
      <w:pPr>
        <w:spacing w:after="0"/>
        <w:rPr>
          <w:sz w:val="20"/>
          <w:szCs w:val="20"/>
          <w:color w:val="auto"/>
        </w:rPr>
      </w:pPr>
      <w:r>
        <w:rPr>
          <w:rFonts w:ascii="Arial" w:cs="Arial" w:eastAsia="Arial" w:hAnsi="Arial"/>
          <w:sz w:val="14"/>
          <w:szCs w:val="14"/>
          <w:b w:val="1"/>
          <w:bCs w:val="1"/>
          <w:i w:val="1"/>
          <w:iCs w:val="1"/>
          <w:color w:val="auto"/>
        </w:rPr>
        <w:t>Liquidity and Capital Resources</w:t>
      </w:r>
    </w:p>
    <w:p>
      <w:pPr>
        <w:spacing w:after="0" w:line="141" w:lineRule="exact"/>
        <w:rPr>
          <w:sz w:val="20"/>
          <w:szCs w:val="20"/>
          <w:color w:val="auto"/>
        </w:rPr>
      </w:pPr>
    </w:p>
    <w:p>
      <w:pPr>
        <w:ind w:left="520" w:hanging="255"/>
        <w:spacing w:after="0" w:line="288" w:lineRule="auto"/>
        <w:tabs>
          <w:tab w:leader="none" w:pos="516" w:val="left"/>
        </w:tabs>
        <w:numPr>
          <w:ilvl w:val="0"/>
          <w:numId w:val="21"/>
        </w:numPr>
        <w:rPr>
          <w:rFonts w:ascii="Arial" w:cs="Arial" w:eastAsia="Arial" w:hAnsi="Arial"/>
          <w:sz w:val="14"/>
          <w:szCs w:val="14"/>
          <w:color w:val="auto"/>
        </w:rPr>
      </w:pPr>
      <w:r>
        <w:rPr>
          <w:rFonts w:ascii="Arial" w:cs="Arial" w:eastAsia="Arial" w:hAnsi="Arial"/>
          <w:sz w:val="14"/>
          <w:szCs w:val="14"/>
          <w:color w:val="auto"/>
        </w:rPr>
        <w:t>As of March 31, 2019, the Company had cash and cash equivalents of $74.9 million. In addition, the Company had a portfolio of available-for-sale investments, consisting primarily of student loan asset-backed securities, with a fair value of $52.7 million as of March 31, 2019.</w:t>
      </w:r>
    </w:p>
    <w:p>
      <w:pPr>
        <w:spacing w:after="0" w:line="87" w:lineRule="exact"/>
        <w:rPr>
          <w:rFonts w:ascii="Arial" w:cs="Arial" w:eastAsia="Arial" w:hAnsi="Arial"/>
          <w:sz w:val="14"/>
          <w:szCs w:val="14"/>
          <w:color w:val="auto"/>
        </w:rPr>
      </w:pPr>
    </w:p>
    <w:p>
      <w:pPr>
        <w:ind w:left="520" w:hanging="255"/>
        <w:spacing w:after="0"/>
        <w:tabs>
          <w:tab w:leader="none" w:pos="520" w:val="left"/>
        </w:tabs>
        <w:numPr>
          <w:ilvl w:val="0"/>
          <w:numId w:val="21"/>
        </w:numPr>
        <w:rPr>
          <w:rFonts w:ascii="Arial" w:cs="Arial" w:eastAsia="Arial" w:hAnsi="Arial"/>
          <w:sz w:val="14"/>
          <w:szCs w:val="14"/>
          <w:color w:val="auto"/>
        </w:rPr>
      </w:pPr>
      <w:r>
        <w:rPr>
          <w:rFonts w:ascii="Arial" w:cs="Arial" w:eastAsia="Arial" w:hAnsi="Arial"/>
          <w:sz w:val="14"/>
          <w:szCs w:val="14"/>
          <w:color w:val="auto"/>
        </w:rPr>
        <w:t>As of March 31, 2019, the Company's $382.5 million unsecured line of credit had $320.0 million outstanding and $62.5 million was available for future use.</w:t>
      </w:r>
    </w:p>
    <w:p>
      <w:pPr>
        <w:spacing w:after="0" w:line="200" w:lineRule="exact"/>
        <w:rPr>
          <w:sz w:val="20"/>
          <w:szCs w:val="20"/>
          <w:color w:val="auto"/>
        </w:rPr>
      </w:pP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30</w:t>
      </w:r>
    </w:p>
    <w:p>
      <w:pPr>
        <w:sectPr>
          <w:pgSz w:w="11900" w:h="16838" w:orient="portrait"/>
          <w:cols w:equalWidth="0" w:num="1">
            <w:col w:w="11460"/>
          </w:cols>
          <w:pgMar w:left="220" w:top="743" w:right="219" w:bottom="1440" w:gutter="0" w:footer="0" w:header="0"/>
        </w:sectPr>
      </w:pPr>
    </w:p>
    <w:bookmarkStart w:id="31" w:name="page32"/>
    <w:bookmarkEnd w:id="31"/>
    <w:p>
      <w:pPr>
        <w:jc w:val="both"/>
        <w:ind w:left="260" w:hanging="255"/>
        <w:spacing w:after="0" w:line="294" w:lineRule="auto"/>
        <w:tabs>
          <w:tab w:leader="none" w:pos="256" w:val="left"/>
        </w:tabs>
        <w:numPr>
          <w:ilvl w:val="0"/>
          <w:numId w:val="22"/>
        </w:numPr>
        <w:rPr>
          <w:rFonts w:ascii="Arial" w:cs="Arial" w:eastAsia="Arial" w:hAnsi="Arial"/>
          <w:sz w:val="13"/>
          <w:szCs w:val="13"/>
          <w:color w:val="auto"/>
        </w:rPr>
      </w:pPr>
      <w:r>
        <w:rPr>
          <w:rFonts w:ascii="Arial" w:cs="Arial" w:eastAsia="Arial" w:hAnsi="Arial"/>
          <w:sz w:val="13"/>
          <w:szCs w:val="13"/>
          <w:color w:val="auto"/>
        </w:rPr>
        <w:t>The Company has repurchased certain of its own asset-backed securities (bonds and notes payable) in the secondary market. For accounting purposes, these notes are eliminated in consolidation and are not included in the Company's consolidated financial statements. However, these securities remain legally outstanding at the trust level and the Company could sell these notes to third parties or redeem the notes at par as cash is generated by the trust estate. Upon a sale of these notes to third parties, the Company would obtain cash proceeds equal to the market value of the notes on the date of such sale. As of March 31, 2019, the Company holds $15.0 million (par value) of its own asset-backed securities.</w:t>
      </w:r>
    </w:p>
    <w:p>
      <w:pPr>
        <w:spacing w:after="0" w:line="86" w:lineRule="exact"/>
        <w:rPr>
          <w:rFonts w:ascii="Arial" w:cs="Arial" w:eastAsia="Arial" w:hAnsi="Arial"/>
          <w:sz w:val="13"/>
          <w:szCs w:val="13"/>
          <w:color w:val="auto"/>
        </w:rPr>
      </w:pPr>
    </w:p>
    <w:p>
      <w:pPr>
        <w:ind w:left="260" w:hanging="255"/>
        <w:spacing w:after="0" w:line="288" w:lineRule="auto"/>
        <w:tabs>
          <w:tab w:leader="none" w:pos="256" w:val="left"/>
        </w:tabs>
        <w:numPr>
          <w:ilvl w:val="0"/>
          <w:numId w:val="22"/>
        </w:numPr>
        <w:rPr>
          <w:rFonts w:ascii="Arial" w:cs="Arial" w:eastAsia="Arial" w:hAnsi="Arial"/>
          <w:sz w:val="14"/>
          <w:szCs w:val="14"/>
          <w:color w:val="auto"/>
        </w:rPr>
      </w:pPr>
      <w:r>
        <w:rPr>
          <w:rFonts w:ascii="Arial" w:cs="Arial" w:eastAsia="Arial" w:hAnsi="Arial"/>
          <w:sz w:val="14"/>
          <w:szCs w:val="14"/>
          <w:color w:val="auto"/>
        </w:rPr>
        <w:t>The Company has historically generated positive cash flow from operations. However, during the three months ended March 31, 2019, the Company used $139.7 million in operating activities. Items that negatively impacted cash from operating activities for the three months ended March 31, 2019 included:</w:t>
      </w:r>
    </w:p>
    <w:p>
      <w:pPr>
        <w:spacing w:after="0" w:line="87" w:lineRule="exact"/>
        <w:rPr>
          <w:rFonts w:ascii="Arial" w:cs="Arial" w:eastAsia="Arial" w:hAnsi="Arial"/>
          <w:sz w:val="14"/>
          <w:szCs w:val="14"/>
          <w:color w:val="auto"/>
        </w:rPr>
      </w:pPr>
    </w:p>
    <w:p>
      <w:pPr>
        <w:ind w:left="780" w:hanging="258"/>
        <w:spacing w:after="0"/>
        <w:tabs>
          <w:tab w:leader="none" w:pos="780" w:val="left"/>
        </w:tabs>
        <w:numPr>
          <w:ilvl w:val="1"/>
          <w:numId w:val="22"/>
        </w:numPr>
        <w:rPr>
          <w:rFonts w:ascii="Arial" w:cs="Arial" w:eastAsia="Arial" w:hAnsi="Arial"/>
          <w:sz w:val="14"/>
          <w:szCs w:val="14"/>
          <w:color w:val="auto"/>
        </w:rPr>
      </w:pPr>
      <w:r>
        <w:rPr>
          <w:rFonts w:ascii="Arial" w:cs="Arial" w:eastAsia="Arial" w:hAnsi="Arial"/>
          <w:sz w:val="14"/>
          <w:szCs w:val="14"/>
          <w:color w:val="auto"/>
        </w:rPr>
        <w:t>Net payments to the clearinghouse due to a decrease in the fair value of the Company's derivative portfolio during the period;</w:t>
      </w:r>
    </w:p>
    <w:p>
      <w:pPr>
        <w:spacing w:after="0" w:line="140" w:lineRule="exact"/>
        <w:rPr>
          <w:rFonts w:ascii="Arial" w:cs="Arial" w:eastAsia="Arial" w:hAnsi="Arial"/>
          <w:sz w:val="14"/>
          <w:szCs w:val="14"/>
          <w:color w:val="auto"/>
        </w:rPr>
      </w:pPr>
    </w:p>
    <w:p>
      <w:pPr>
        <w:ind w:left="780" w:hanging="258"/>
        <w:spacing w:after="0"/>
        <w:tabs>
          <w:tab w:leader="none" w:pos="780" w:val="left"/>
        </w:tabs>
        <w:numPr>
          <w:ilvl w:val="1"/>
          <w:numId w:val="22"/>
        </w:numPr>
        <w:rPr>
          <w:rFonts w:ascii="Arial" w:cs="Arial" w:eastAsia="Arial" w:hAnsi="Arial"/>
          <w:sz w:val="14"/>
          <w:szCs w:val="14"/>
          <w:color w:val="auto"/>
        </w:rPr>
      </w:pPr>
      <w:r>
        <w:rPr>
          <w:rFonts w:ascii="Arial" w:cs="Arial" w:eastAsia="Arial" w:hAnsi="Arial"/>
          <w:sz w:val="14"/>
          <w:szCs w:val="14"/>
          <w:color w:val="auto"/>
        </w:rPr>
        <w:t>An increase in accrued interest receivable during the period due to the number of borrowers utilizing income-based repayment plans;</w:t>
      </w:r>
    </w:p>
    <w:p>
      <w:pPr>
        <w:spacing w:after="0" w:line="140" w:lineRule="exact"/>
        <w:rPr>
          <w:rFonts w:ascii="Arial" w:cs="Arial" w:eastAsia="Arial" w:hAnsi="Arial"/>
          <w:sz w:val="14"/>
          <w:szCs w:val="14"/>
          <w:color w:val="auto"/>
        </w:rPr>
      </w:pPr>
    </w:p>
    <w:p>
      <w:pPr>
        <w:ind w:left="780" w:hanging="258"/>
        <w:spacing w:after="0"/>
        <w:tabs>
          <w:tab w:leader="none" w:pos="780" w:val="left"/>
        </w:tabs>
        <w:numPr>
          <w:ilvl w:val="1"/>
          <w:numId w:val="22"/>
        </w:numPr>
        <w:rPr>
          <w:rFonts w:ascii="Arial" w:cs="Arial" w:eastAsia="Arial" w:hAnsi="Arial"/>
          <w:sz w:val="14"/>
          <w:szCs w:val="14"/>
          <w:color w:val="auto"/>
        </w:rPr>
      </w:pPr>
      <w:r>
        <w:rPr>
          <w:rFonts w:ascii="Arial" w:cs="Arial" w:eastAsia="Arial" w:hAnsi="Arial"/>
          <w:sz w:val="14"/>
          <w:szCs w:val="14"/>
          <w:color w:val="auto"/>
        </w:rPr>
        <w:t>An increase in accounts receivable during the period due to the timing of collection from customers;</w:t>
      </w:r>
    </w:p>
    <w:p>
      <w:pPr>
        <w:spacing w:after="0" w:line="140" w:lineRule="exact"/>
        <w:rPr>
          <w:rFonts w:ascii="Arial" w:cs="Arial" w:eastAsia="Arial" w:hAnsi="Arial"/>
          <w:sz w:val="14"/>
          <w:szCs w:val="14"/>
          <w:color w:val="auto"/>
        </w:rPr>
      </w:pPr>
    </w:p>
    <w:p>
      <w:pPr>
        <w:ind w:left="780" w:hanging="258"/>
        <w:spacing w:after="0"/>
        <w:tabs>
          <w:tab w:leader="none" w:pos="780" w:val="left"/>
        </w:tabs>
        <w:numPr>
          <w:ilvl w:val="1"/>
          <w:numId w:val="22"/>
        </w:numPr>
        <w:rPr>
          <w:rFonts w:ascii="Arial" w:cs="Arial" w:eastAsia="Arial" w:hAnsi="Arial"/>
          <w:sz w:val="14"/>
          <w:szCs w:val="14"/>
          <w:color w:val="auto"/>
        </w:rPr>
      </w:pPr>
      <w:r>
        <w:rPr>
          <w:rFonts w:ascii="Arial" w:cs="Arial" w:eastAsia="Arial" w:hAnsi="Arial"/>
          <w:sz w:val="14"/>
          <w:szCs w:val="14"/>
          <w:color w:val="auto"/>
        </w:rPr>
        <w:t>An increase in other assets during the period due to an increase in current income taxes receivable and the qualification and recognition of certain tax incentives; and</w:t>
      </w:r>
    </w:p>
    <w:p>
      <w:pPr>
        <w:spacing w:after="0" w:line="140" w:lineRule="exact"/>
        <w:rPr>
          <w:rFonts w:ascii="Arial" w:cs="Arial" w:eastAsia="Arial" w:hAnsi="Arial"/>
          <w:sz w:val="14"/>
          <w:szCs w:val="14"/>
          <w:color w:val="auto"/>
        </w:rPr>
      </w:pPr>
    </w:p>
    <w:p>
      <w:pPr>
        <w:ind w:left="780" w:hanging="258"/>
        <w:spacing w:after="0" w:line="288" w:lineRule="auto"/>
        <w:tabs>
          <w:tab w:leader="none" w:pos="776" w:val="left"/>
        </w:tabs>
        <w:numPr>
          <w:ilvl w:val="1"/>
          <w:numId w:val="22"/>
        </w:numPr>
        <w:rPr>
          <w:rFonts w:ascii="Arial" w:cs="Arial" w:eastAsia="Arial" w:hAnsi="Arial"/>
          <w:sz w:val="14"/>
          <w:szCs w:val="14"/>
          <w:color w:val="auto"/>
        </w:rPr>
      </w:pPr>
      <w:r>
        <w:rPr>
          <w:rFonts w:ascii="Arial" w:cs="Arial" w:eastAsia="Arial" w:hAnsi="Arial"/>
          <w:sz w:val="14"/>
          <w:szCs w:val="14"/>
          <w:color w:val="auto"/>
        </w:rPr>
        <w:t>A decrease in “due to customers” (liability) during the period. See “Liquidity and Capital Resources – Cash Flows” below for additional information regarding the decrease in this liability account during the period.</w:t>
      </w:r>
    </w:p>
    <w:p>
      <w:pPr>
        <w:spacing w:after="0" w:line="87" w:lineRule="exact"/>
        <w:rPr>
          <w:rFonts w:ascii="Arial" w:cs="Arial" w:eastAsia="Arial" w:hAnsi="Arial"/>
          <w:sz w:val="14"/>
          <w:szCs w:val="14"/>
          <w:color w:val="auto"/>
        </w:rPr>
      </w:pPr>
    </w:p>
    <w:p>
      <w:pPr>
        <w:jc w:val="both"/>
        <w:ind w:left="260" w:hanging="255"/>
        <w:spacing w:after="0" w:line="272" w:lineRule="auto"/>
        <w:tabs>
          <w:tab w:leader="none" w:pos="256" w:val="left"/>
        </w:tabs>
        <w:numPr>
          <w:ilvl w:val="0"/>
          <w:numId w:val="22"/>
        </w:numPr>
        <w:rPr>
          <w:rFonts w:ascii="Arial" w:cs="Arial" w:eastAsia="Arial" w:hAnsi="Arial"/>
          <w:sz w:val="14"/>
          <w:szCs w:val="14"/>
          <w:color w:val="auto"/>
        </w:rPr>
      </w:pPr>
      <w:r>
        <w:rPr>
          <w:rFonts w:ascii="Arial" w:cs="Arial" w:eastAsia="Arial" w:hAnsi="Arial"/>
          <w:sz w:val="14"/>
          <w:szCs w:val="14"/>
          <w:color w:val="auto"/>
        </w:rPr>
        <w:t>The majority of the Company’s portfolio of student loans is funded in asset-backed securitizations that will generate significant earnings and cash flow over the life of these transactions. As of March 31, 2019, the Company currently expects future undiscounted cash flows from its securitization portfolio to be approximately $2.16 billion, of which approximately $1.14 billion is expected to be generated over the next approximately five years (April 1, 2019 through December 31, 2023).</w:t>
      </w:r>
    </w:p>
    <w:p>
      <w:pPr>
        <w:spacing w:after="0" w:line="99" w:lineRule="exact"/>
        <w:rPr>
          <w:rFonts w:ascii="Arial" w:cs="Arial" w:eastAsia="Arial" w:hAnsi="Arial"/>
          <w:sz w:val="14"/>
          <w:szCs w:val="14"/>
          <w:color w:val="auto"/>
        </w:rPr>
      </w:pPr>
    </w:p>
    <w:p>
      <w:pPr>
        <w:jc w:val="both"/>
        <w:ind w:left="260"/>
        <w:spacing w:after="0" w:line="289" w:lineRule="auto"/>
        <w:rPr>
          <w:rFonts w:ascii="Arial" w:cs="Arial" w:eastAsia="Arial" w:hAnsi="Arial"/>
          <w:sz w:val="14"/>
          <w:szCs w:val="14"/>
          <w:color w:val="auto"/>
        </w:rPr>
      </w:pPr>
      <w:r>
        <w:rPr>
          <w:rFonts w:ascii="Arial" w:cs="Arial" w:eastAsia="Arial" w:hAnsi="Arial"/>
          <w:sz w:val="13"/>
          <w:szCs w:val="13"/>
          <w:color w:val="auto"/>
        </w:rPr>
        <w:t>The estimated forecasted cash flow as of March 31, 2019 ($2.16 billion) increased $0.06 billion from the Company's estimated forecasted cash flow as of December 31, 2018 ($2.10 billion). This increase was due to additional estimated cash flows from the completion of an asset-backed securitization during the first quarter of 2019; a change in call mechanic assumptions regarding the Turbo Transactions that resulted in the estimated release of unencumbered assets from these transactions being deferred to later periods, resulting in additional estimated cash flows from assets included in these transactions; and a decrease in the forward yield curve, which increased the amount of expected fixed rate floor income to be earned on loans in the asset-backed securitizations. These amounts were partially offset by the amount of cash released from the asset-backed securitizations during the first quarter of 2019.</w:t>
      </w:r>
    </w:p>
    <w:p>
      <w:pPr>
        <w:spacing w:after="0" w:line="91" w:lineRule="exact"/>
        <w:rPr>
          <w:rFonts w:ascii="Arial" w:cs="Arial" w:eastAsia="Arial" w:hAnsi="Arial"/>
          <w:sz w:val="14"/>
          <w:szCs w:val="14"/>
          <w:color w:val="auto"/>
        </w:rPr>
      </w:pPr>
    </w:p>
    <w:p>
      <w:pPr>
        <w:jc w:val="both"/>
        <w:ind w:left="260" w:hanging="255"/>
        <w:spacing w:after="0" w:line="267" w:lineRule="auto"/>
        <w:tabs>
          <w:tab w:leader="none" w:pos="256" w:val="left"/>
        </w:tabs>
        <w:numPr>
          <w:ilvl w:val="0"/>
          <w:numId w:val="22"/>
        </w:numPr>
        <w:rPr>
          <w:rFonts w:ascii="Arial" w:cs="Arial" w:eastAsia="Arial" w:hAnsi="Arial"/>
          <w:sz w:val="14"/>
          <w:szCs w:val="14"/>
          <w:color w:val="auto"/>
        </w:rPr>
      </w:pPr>
      <w:r>
        <w:rPr>
          <w:rFonts w:ascii="Arial" w:cs="Arial" w:eastAsia="Arial" w:hAnsi="Arial"/>
          <w:sz w:val="14"/>
          <w:szCs w:val="14"/>
          <w:color w:val="auto"/>
        </w:rPr>
        <w:t>During the three months ended March 31, 2019, the Company repurchased a total of 301,327 shares of Class A common stock for $16.4 million ($54.29 per share). As of March 31, 2019, 2.0 million shares remained authorized for repurchase under the Company's stock repurchase program. On May 8, 2019, the Board of Directors authorized a new stock repurchase program to repurchase up to a total of five million shares of the Company's Class A common stock during the three-year period ending May 7, 2022. The five million shares authorized under the new program include the remaining unrepurchased shares from the prior program, which the new program replaces.</w:t>
      </w:r>
    </w:p>
    <w:p>
      <w:pPr>
        <w:spacing w:after="0" w:line="102" w:lineRule="exact"/>
        <w:rPr>
          <w:rFonts w:ascii="Arial" w:cs="Arial" w:eastAsia="Arial" w:hAnsi="Arial"/>
          <w:sz w:val="14"/>
          <w:szCs w:val="14"/>
          <w:color w:val="auto"/>
        </w:rPr>
      </w:pPr>
    </w:p>
    <w:p>
      <w:pPr>
        <w:jc w:val="both"/>
        <w:ind w:left="260" w:hanging="255"/>
        <w:spacing w:after="0" w:line="272" w:lineRule="auto"/>
        <w:tabs>
          <w:tab w:leader="none" w:pos="256" w:val="left"/>
        </w:tabs>
        <w:numPr>
          <w:ilvl w:val="0"/>
          <w:numId w:val="22"/>
        </w:numPr>
        <w:rPr>
          <w:rFonts w:ascii="Arial" w:cs="Arial" w:eastAsia="Arial" w:hAnsi="Arial"/>
          <w:sz w:val="14"/>
          <w:szCs w:val="14"/>
          <w:color w:val="auto"/>
        </w:rPr>
      </w:pPr>
      <w:r>
        <w:rPr>
          <w:rFonts w:ascii="Arial" w:cs="Arial" w:eastAsia="Arial" w:hAnsi="Arial"/>
          <w:sz w:val="14"/>
          <w:szCs w:val="14"/>
          <w:color w:val="auto"/>
        </w:rPr>
        <w:t>During the three months ended March 31, 2019, the Company paid cash dividends of $7.2 million ($0.18 per share). In addition, the Company's Board of Directors has declared a second quarter 2019 cash dividend on the Company's outstanding shares of Class A and Class B common stock of $0.18 per share. The second quarter cash dividend will be paid on June 14, 2019 to shareholders of record at the close of business on May 31, 2019.</w:t>
      </w:r>
    </w:p>
    <w:p>
      <w:pPr>
        <w:spacing w:after="0" w:line="99" w:lineRule="exact"/>
        <w:rPr>
          <w:rFonts w:ascii="Arial" w:cs="Arial" w:eastAsia="Arial" w:hAnsi="Arial"/>
          <w:sz w:val="14"/>
          <w:szCs w:val="14"/>
          <w:color w:val="auto"/>
        </w:rPr>
      </w:pPr>
    </w:p>
    <w:p>
      <w:pPr>
        <w:jc w:val="both"/>
        <w:ind w:left="260" w:hanging="255"/>
        <w:spacing w:after="0" w:line="272" w:lineRule="auto"/>
        <w:tabs>
          <w:tab w:leader="none" w:pos="256" w:val="left"/>
        </w:tabs>
        <w:numPr>
          <w:ilvl w:val="0"/>
          <w:numId w:val="22"/>
        </w:numPr>
        <w:rPr>
          <w:rFonts w:ascii="Arial" w:cs="Arial" w:eastAsia="Arial" w:hAnsi="Arial"/>
          <w:sz w:val="14"/>
          <w:szCs w:val="14"/>
          <w:color w:val="auto"/>
        </w:rPr>
      </w:pPr>
      <w:r>
        <w:rPr>
          <w:rFonts w:ascii="Arial" w:cs="Arial" w:eastAsia="Arial" w:hAnsi="Arial"/>
          <w:sz w:val="14"/>
          <w:szCs w:val="14"/>
          <w:color w:val="auto"/>
        </w:rPr>
        <w:t>The Company intends to use its liquidity position to capitalize on market opportunities, including FFELP, private education, and consumer loan acquisitions; strategic acquisitions and investments; expansion of ALLO’s telecommunications network; and capital management initiatives, including stock repurchases, debt repurchases, and dividend distributions. The timing and size of these opportunities will vary and will have a direct impact on the Company’s cash and investment balances.</w:t>
      </w:r>
    </w:p>
    <w:p>
      <w:pPr>
        <w:spacing w:after="0" w:line="200" w:lineRule="exact"/>
        <w:rPr>
          <w:sz w:val="20"/>
          <w:szCs w:val="20"/>
          <w:color w:val="auto"/>
        </w:rPr>
      </w:pPr>
    </w:p>
    <w:p>
      <w:pPr>
        <w:spacing w:after="0" w:line="341" w:lineRule="exact"/>
        <w:rPr>
          <w:sz w:val="20"/>
          <w:szCs w:val="20"/>
          <w:color w:val="auto"/>
        </w:rPr>
      </w:pPr>
    </w:p>
    <w:p>
      <w:pPr>
        <w:jc w:val="center"/>
        <w:ind w:right="260"/>
        <w:spacing w:after="0"/>
        <w:rPr>
          <w:sz w:val="20"/>
          <w:szCs w:val="20"/>
          <w:color w:val="auto"/>
        </w:rPr>
      </w:pPr>
      <w:r>
        <w:rPr>
          <w:rFonts w:ascii="Arial" w:cs="Arial" w:eastAsia="Arial" w:hAnsi="Arial"/>
          <w:sz w:val="14"/>
          <w:szCs w:val="14"/>
          <w:color w:val="auto"/>
        </w:rPr>
        <w:t>31</w:t>
      </w:r>
    </w:p>
    <w:p>
      <w:pPr>
        <w:sectPr>
          <w:pgSz w:w="11900" w:h="16838" w:orient="portrait"/>
          <w:cols w:equalWidth="0" w:num="1">
            <w:col w:w="11200"/>
          </w:cols>
          <w:pgMar w:left="480" w:top="743" w:right="219" w:bottom="1440" w:gutter="0" w:footer="0" w:header="0"/>
        </w:sectPr>
      </w:pPr>
    </w:p>
    <w:bookmarkStart w:id="32" w:name="page33"/>
    <w:bookmarkEnd w:id="32"/>
    <w:p>
      <w:pPr>
        <w:spacing w:after="0"/>
        <w:rPr>
          <w:sz w:val="20"/>
          <w:szCs w:val="20"/>
          <w:color w:val="auto"/>
        </w:rPr>
      </w:pPr>
      <w:r>
        <w:rPr>
          <w:rFonts w:ascii="Arial" w:cs="Arial" w:eastAsia="Arial" w:hAnsi="Arial"/>
          <w:sz w:val="14"/>
          <w:szCs w:val="14"/>
          <w:b w:val="1"/>
          <w:bCs w:val="1"/>
          <w:color w:val="auto"/>
        </w:rPr>
        <w:t>CONSOLIDATED RESULTS OF OPERATIONS</w:t>
      </w:r>
    </w:p>
    <w:p>
      <w:pPr>
        <w:spacing w:after="0" w:line="145" w:lineRule="exact"/>
        <w:rPr>
          <w:sz w:val="20"/>
          <w:szCs w:val="20"/>
          <w:color w:val="auto"/>
        </w:rPr>
      </w:pPr>
    </w:p>
    <w:p>
      <w:pPr>
        <w:spacing w:after="0"/>
        <w:rPr>
          <w:sz w:val="20"/>
          <w:szCs w:val="20"/>
          <w:color w:val="auto"/>
        </w:rPr>
      </w:pPr>
      <w:r>
        <w:rPr>
          <w:rFonts w:ascii="Arial" w:cs="Arial" w:eastAsia="Arial" w:hAnsi="Arial"/>
          <w:sz w:val="14"/>
          <w:szCs w:val="14"/>
          <w:color w:val="auto"/>
        </w:rPr>
        <w:t>An analysis of the Company's operating results for the three months ended March 31, 2019 compared to the same period in 2018 is provided below.</w:t>
      </w:r>
    </w:p>
    <w:p>
      <w:pPr>
        <w:spacing w:after="0" w:line="141" w:lineRule="exact"/>
        <w:rPr>
          <w:sz w:val="20"/>
          <w:szCs w:val="20"/>
          <w:color w:val="auto"/>
        </w:rPr>
      </w:pPr>
    </w:p>
    <w:p>
      <w:pPr>
        <w:jc w:val="both"/>
        <w:spacing w:after="0" w:line="272" w:lineRule="auto"/>
        <w:rPr>
          <w:sz w:val="20"/>
          <w:szCs w:val="20"/>
          <w:color w:val="auto"/>
        </w:rPr>
      </w:pPr>
      <w:r>
        <w:rPr>
          <w:rFonts w:ascii="Arial" w:cs="Arial" w:eastAsia="Arial" w:hAnsi="Arial"/>
          <w:sz w:val="14"/>
          <w:szCs w:val="14"/>
          <w:color w:val="auto"/>
        </w:rPr>
        <w:t>The Company’s operating results are primarily driven by the performance of its existing portfolio and the revenues generated by its fee-based businesses and the costs to provide such services. The performance of the Company’s portfolio is driven by net interest income (which includes financing costs) and losses related to credit quality of the assets, along with the cost to administer and service the assets and related debt.</w:t>
      </w:r>
    </w:p>
    <w:p>
      <w:pPr>
        <w:spacing w:after="0" w:line="99" w:lineRule="exact"/>
        <w:rPr>
          <w:sz w:val="20"/>
          <w:szCs w:val="20"/>
          <w:color w:val="auto"/>
        </w:rPr>
      </w:pPr>
    </w:p>
    <w:p>
      <w:pPr>
        <w:jc w:val="both"/>
        <w:spacing w:after="0" w:line="272" w:lineRule="auto"/>
        <w:rPr>
          <w:sz w:val="20"/>
          <w:szCs w:val="20"/>
          <w:color w:val="auto"/>
        </w:rPr>
      </w:pPr>
      <w:r>
        <w:rPr>
          <w:rFonts w:ascii="Arial" w:cs="Arial" w:eastAsia="Arial" w:hAnsi="Arial"/>
          <w:sz w:val="14"/>
          <w:szCs w:val="14"/>
          <w:color w:val="auto"/>
        </w:rPr>
        <w:t>The Company operates as distinct reportable operating segments as described above. For a reconciliation of the reportable segment operating results to the consolidated results of operations, see note 10 of the notes to consolidated financial statements included under Part I, Item 1 of this report. Since the Company monitors and assesses its operations and results based on these segments, the discussion following the consolidated results of operations is presented on a reportable segment basis.</w:t>
      </w: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32</w:t>
      </w:r>
    </w:p>
    <w:p>
      <w:pPr>
        <w:sectPr>
          <w:pgSz w:w="11900" w:h="16838" w:orient="portrait"/>
          <w:cols w:equalWidth="0" w:num="1">
            <w:col w:w="11460"/>
          </w:cols>
          <w:pgMar w:left="220" w:top="868" w:right="219" w:bottom="1440" w:gutter="0" w:footer="0" w:header="0"/>
        </w:sectPr>
      </w:pPr>
    </w:p>
    <w:bookmarkStart w:id="33" w:name="page34"/>
    <w:bookmarkEnd w:id="33"/>
    <w:tbl>
      <w:tblPr>
        <w:tblLayout w:type="fixed"/>
        <w:tblInd w:w="0" w:type="dxa"/>
        <w:tblCellMar>
          <w:top w:w="0" w:type="dxa"/>
          <w:left w:w="0" w:type="dxa"/>
          <w:bottom w:w="0" w:type="dxa"/>
          <w:right w:w="0" w:type="dxa"/>
        </w:tblCellMar>
      </w:tblPr>
      <w:tr>
        <w:trPr>
          <w:trHeight w:val="159"/>
        </w:trPr>
        <w:tc>
          <w:tcPr>
            <w:tcW w:w="42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620" w:type="dxa"/>
            <w:vAlign w:val="bottom"/>
            <w:gridSpan w:val="4"/>
          </w:tcPr>
          <w:p>
            <w:pPr>
              <w:jc w:val="center"/>
              <w:ind w:right="149"/>
              <w:spacing w:after="0"/>
              <w:rPr>
                <w:sz w:val="20"/>
                <w:szCs w:val="20"/>
                <w:color w:val="auto"/>
              </w:rPr>
            </w:pPr>
            <w:r>
              <w:rPr>
                <w:rFonts w:ascii="Arial" w:cs="Arial" w:eastAsia="Arial" w:hAnsi="Arial"/>
                <w:sz w:val="12"/>
                <w:szCs w:val="12"/>
                <w:b w:val="1"/>
                <w:bCs w:val="1"/>
                <w:color w:val="auto"/>
                <w:w w:val="89"/>
              </w:rPr>
              <w:t>Three months ended</w:t>
            </w:r>
          </w:p>
        </w:tc>
        <w:tc>
          <w:tcPr>
            <w:tcW w:w="100" w:type="dxa"/>
            <w:vAlign w:val="bottom"/>
          </w:tcPr>
          <w:p>
            <w:pPr>
              <w:spacing w:after="0"/>
              <w:rPr>
                <w:sz w:val="13"/>
                <w:szCs w:val="13"/>
                <w:color w:val="auto"/>
              </w:rPr>
            </w:pPr>
          </w:p>
        </w:tc>
        <w:tc>
          <w:tcPr>
            <w:tcW w:w="52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6"/>
        </w:trPr>
        <w:tc>
          <w:tcPr>
            <w:tcW w:w="426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gridSpan w:val="3"/>
          </w:tcPr>
          <w:p>
            <w:pPr>
              <w:jc w:val="center"/>
              <w:ind w:left="349"/>
              <w:spacing w:after="0"/>
              <w:rPr>
                <w:sz w:val="20"/>
                <w:szCs w:val="20"/>
                <w:color w:val="auto"/>
              </w:rPr>
            </w:pPr>
            <w:r>
              <w:rPr>
                <w:rFonts w:ascii="Arial" w:cs="Arial" w:eastAsia="Arial" w:hAnsi="Arial"/>
                <w:sz w:val="12"/>
                <w:szCs w:val="12"/>
                <w:b w:val="1"/>
                <w:bCs w:val="1"/>
                <w:color w:val="auto"/>
                <w:w w:val="97"/>
              </w:rPr>
              <w:t>March 31,</w:t>
            </w:r>
          </w:p>
        </w:tc>
        <w:tc>
          <w:tcPr>
            <w:tcW w:w="60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5280" w:type="dxa"/>
            <w:vAlign w:val="bottom"/>
            <w:tcBorders>
              <w:bottom w:val="single" w:sz="8" w:color="auto"/>
            </w:tcBorders>
          </w:tcPr>
          <w:p>
            <w:pPr>
              <w:ind w:left="2020"/>
              <w:spacing w:after="0"/>
              <w:rPr>
                <w:sz w:val="20"/>
                <w:szCs w:val="20"/>
                <w:color w:val="auto"/>
              </w:rPr>
            </w:pPr>
            <w:r>
              <w:rPr>
                <w:rFonts w:ascii="Arial" w:cs="Arial" w:eastAsia="Arial" w:hAnsi="Arial"/>
                <w:sz w:val="12"/>
                <w:szCs w:val="12"/>
                <w:b w:val="1"/>
                <w:bCs w:val="1"/>
                <w:color w:val="auto"/>
              </w:rPr>
              <w:t>Additional information</w:t>
            </w:r>
          </w:p>
        </w:tc>
        <w:tc>
          <w:tcPr>
            <w:tcW w:w="0" w:type="dxa"/>
            <w:vAlign w:val="bottom"/>
          </w:tcPr>
          <w:p>
            <w:pPr>
              <w:spacing w:after="0"/>
              <w:rPr>
                <w:sz w:val="1"/>
                <w:szCs w:val="1"/>
                <w:color w:val="auto"/>
              </w:rPr>
            </w:pPr>
          </w:p>
        </w:tc>
      </w:tr>
      <w:tr>
        <w:trPr>
          <w:trHeight w:val="163"/>
        </w:trPr>
        <w:tc>
          <w:tcPr>
            <w:tcW w:w="426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right"/>
              <w:ind w:right="249"/>
              <w:spacing w:after="0"/>
              <w:rPr>
                <w:sz w:val="20"/>
                <w:szCs w:val="20"/>
                <w:color w:val="auto"/>
              </w:rPr>
            </w:pPr>
            <w:r>
              <w:rPr>
                <w:rFonts w:ascii="Arial" w:cs="Arial" w:eastAsia="Arial" w:hAnsi="Arial"/>
                <w:sz w:val="12"/>
                <w:szCs w:val="12"/>
                <w:b w:val="1"/>
                <w:bCs w:val="1"/>
                <w:color w:val="auto"/>
              </w:rPr>
              <w:t>2019</w:t>
            </w:r>
          </w:p>
        </w:tc>
        <w:tc>
          <w:tcPr>
            <w:tcW w:w="100" w:type="dxa"/>
            <w:vAlign w:val="bottom"/>
            <w:tcBorders>
              <w:bottom w:val="single" w:sz="8" w:color="CCEEFF"/>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ind w:right="269"/>
              <w:spacing w:after="0"/>
              <w:rPr>
                <w:sz w:val="20"/>
                <w:szCs w:val="20"/>
                <w:color w:val="auto"/>
              </w:rPr>
            </w:pPr>
            <w:r>
              <w:rPr>
                <w:rFonts w:ascii="Arial" w:cs="Arial" w:eastAsia="Arial" w:hAnsi="Arial"/>
                <w:sz w:val="12"/>
                <w:szCs w:val="12"/>
                <w:b w:val="1"/>
                <w:bCs w:val="1"/>
                <w:color w:val="auto"/>
                <w:w w:val="97"/>
              </w:rPr>
              <w:t>2018</w:t>
            </w:r>
          </w:p>
        </w:tc>
        <w:tc>
          <w:tcPr>
            <w:tcW w:w="100" w:type="dxa"/>
            <w:vAlign w:val="bottom"/>
            <w:tcBorders>
              <w:bottom w:val="single" w:sz="8" w:color="CCEEFF"/>
            </w:tcBorders>
          </w:tcPr>
          <w:p>
            <w:pPr>
              <w:spacing w:after="0"/>
              <w:rPr>
                <w:sz w:val="14"/>
                <w:szCs w:val="14"/>
                <w:color w:val="auto"/>
              </w:rPr>
            </w:pPr>
          </w:p>
        </w:tc>
        <w:tc>
          <w:tcPr>
            <w:tcW w:w="528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101"/>
        </w:trPr>
        <w:tc>
          <w:tcPr>
            <w:tcW w:w="4260" w:type="dxa"/>
            <w:vAlign w:val="bottom"/>
            <w:shd w:val="clear" w:color="auto" w:fill="CCEEFF"/>
          </w:tcPr>
          <w:p>
            <w:pPr>
              <w:spacing w:after="0"/>
              <w:rPr>
                <w:sz w:val="8"/>
                <w:szCs w:val="8"/>
                <w:color w:val="auto"/>
              </w:rPr>
            </w:pPr>
          </w:p>
        </w:tc>
        <w:tc>
          <w:tcPr>
            <w:tcW w:w="180" w:type="dxa"/>
            <w:vAlign w:val="bottom"/>
            <w:shd w:val="clear" w:color="auto" w:fill="CCEEFF"/>
          </w:tcPr>
          <w:p>
            <w:pPr>
              <w:spacing w:after="0"/>
              <w:rPr>
                <w:sz w:val="8"/>
                <w:szCs w:val="8"/>
                <w:color w:val="auto"/>
              </w:rPr>
            </w:pPr>
          </w:p>
        </w:tc>
        <w:tc>
          <w:tcPr>
            <w:tcW w:w="66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260" w:type="dxa"/>
            <w:vAlign w:val="bottom"/>
            <w:shd w:val="clear" w:color="auto" w:fill="CCEEFF"/>
          </w:tcPr>
          <w:p>
            <w:pPr>
              <w:spacing w:after="0"/>
              <w:rPr>
                <w:sz w:val="8"/>
                <w:szCs w:val="8"/>
                <w:color w:val="auto"/>
              </w:rPr>
            </w:pPr>
          </w:p>
        </w:tc>
        <w:tc>
          <w:tcPr>
            <w:tcW w:w="60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5280" w:type="dxa"/>
            <w:vAlign w:val="bottom"/>
            <w:shd w:val="clear" w:color="auto" w:fill="CCEEFF"/>
          </w:tcPr>
          <w:p>
            <w:pPr>
              <w:spacing w:after="0" w:line="102" w:lineRule="exact"/>
              <w:rPr>
                <w:sz w:val="20"/>
                <w:szCs w:val="20"/>
                <w:color w:val="auto"/>
              </w:rPr>
            </w:pPr>
            <w:r>
              <w:rPr>
                <w:rFonts w:ascii="Arial" w:cs="Arial" w:eastAsia="Arial" w:hAnsi="Arial"/>
                <w:sz w:val="10"/>
                <w:szCs w:val="10"/>
                <w:color w:val="auto"/>
                <w:w w:val="94"/>
              </w:rPr>
              <w:t>Increase was due primarily to an increase in the gross yield earned on loans and an increase in the average balance of loans,</w:t>
            </w:r>
          </w:p>
        </w:tc>
        <w:tc>
          <w:tcPr>
            <w:tcW w:w="0" w:type="dxa"/>
            <w:vAlign w:val="bottom"/>
          </w:tcPr>
          <w:p>
            <w:pPr>
              <w:spacing w:after="0"/>
              <w:rPr>
                <w:sz w:val="1"/>
                <w:szCs w:val="1"/>
                <w:color w:val="auto"/>
              </w:rPr>
            </w:pPr>
          </w:p>
        </w:tc>
      </w:tr>
      <w:tr>
        <w:trPr>
          <w:trHeight w:val="141"/>
        </w:trPr>
        <w:tc>
          <w:tcPr>
            <w:tcW w:w="4260" w:type="dxa"/>
            <w:vAlign w:val="bottom"/>
            <w:shd w:val="clear" w:color="auto" w:fill="CCEEFF"/>
          </w:tcPr>
          <w:p>
            <w:pPr>
              <w:ind w:left="80"/>
              <w:spacing w:after="0"/>
              <w:rPr>
                <w:sz w:val="20"/>
                <w:szCs w:val="20"/>
                <w:color w:val="auto"/>
              </w:rPr>
            </w:pPr>
            <w:r>
              <w:rPr>
                <w:rFonts w:ascii="Arial" w:cs="Arial" w:eastAsia="Arial" w:hAnsi="Arial"/>
                <w:sz w:val="10"/>
                <w:szCs w:val="10"/>
                <w:color w:val="auto"/>
              </w:rPr>
              <w:t>Loan interest</w:t>
            </w:r>
          </w:p>
        </w:tc>
        <w:tc>
          <w:tcPr>
            <w:tcW w:w="180" w:type="dxa"/>
            <w:vAlign w:val="bottom"/>
            <w:shd w:val="clear" w:color="auto" w:fill="CCEEFF"/>
          </w:tcPr>
          <w:p>
            <w:pPr>
              <w:jc w:val="right"/>
              <w:ind w:right="70"/>
              <w:spacing w:after="0"/>
              <w:rPr>
                <w:sz w:val="20"/>
                <w:szCs w:val="20"/>
                <w:color w:val="auto"/>
              </w:rPr>
            </w:pPr>
            <w:r>
              <w:rPr>
                <w:rFonts w:ascii="Arial" w:cs="Arial" w:eastAsia="Arial" w:hAnsi="Arial"/>
                <w:sz w:val="10"/>
                <w:szCs w:val="10"/>
                <w:color w:val="auto"/>
                <w:w w:val="71"/>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0"/>
                <w:szCs w:val="10"/>
                <w:color w:val="auto"/>
              </w:rPr>
              <w:t>242,333</w:t>
            </w:r>
          </w:p>
        </w:tc>
        <w:tc>
          <w:tcPr>
            <w:tcW w:w="10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600" w:type="dxa"/>
            <w:vAlign w:val="bottom"/>
            <w:shd w:val="clear" w:color="auto" w:fill="CCEEFF"/>
          </w:tcPr>
          <w:p>
            <w:pPr>
              <w:jc w:val="right"/>
              <w:ind w:right="9"/>
              <w:spacing w:after="0"/>
              <w:rPr>
                <w:sz w:val="20"/>
                <w:szCs w:val="20"/>
                <w:color w:val="auto"/>
              </w:rPr>
            </w:pPr>
            <w:r>
              <w:rPr>
                <w:rFonts w:ascii="Arial" w:cs="Arial" w:eastAsia="Arial" w:hAnsi="Arial"/>
                <w:sz w:val="10"/>
                <w:szCs w:val="10"/>
                <w:color w:val="auto"/>
              </w:rPr>
              <w:t>197,723</w:t>
            </w:r>
          </w:p>
        </w:tc>
        <w:tc>
          <w:tcPr>
            <w:tcW w:w="100" w:type="dxa"/>
            <w:vAlign w:val="bottom"/>
            <w:shd w:val="clear" w:color="auto" w:fill="CCEEFF"/>
          </w:tcPr>
          <w:p>
            <w:pPr>
              <w:spacing w:after="0"/>
              <w:rPr>
                <w:sz w:val="12"/>
                <w:szCs w:val="12"/>
                <w:color w:val="auto"/>
              </w:rPr>
            </w:pPr>
          </w:p>
        </w:tc>
        <w:tc>
          <w:tcPr>
            <w:tcW w:w="5280" w:type="dxa"/>
            <w:vAlign w:val="bottom"/>
            <w:shd w:val="clear" w:color="auto" w:fill="CCEEFF"/>
          </w:tcPr>
          <w:p>
            <w:pPr>
              <w:spacing w:after="0"/>
              <w:rPr>
                <w:sz w:val="20"/>
                <w:szCs w:val="20"/>
                <w:color w:val="auto"/>
              </w:rPr>
            </w:pPr>
            <w:r>
              <w:rPr>
                <w:rFonts w:ascii="Arial" w:cs="Arial" w:eastAsia="Arial" w:hAnsi="Arial"/>
                <w:sz w:val="10"/>
                <w:szCs w:val="10"/>
                <w:color w:val="auto"/>
              </w:rPr>
              <w:t>partially offset by a decrease in fixed rate floor income due to higher interest rates in 2019 as compared to 2018.</w:t>
            </w:r>
          </w:p>
        </w:tc>
        <w:tc>
          <w:tcPr>
            <w:tcW w:w="0" w:type="dxa"/>
            <w:vAlign w:val="bottom"/>
          </w:tcPr>
          <w:p>
            <w:pPr>
              <w:spacing w:after="0"/>
              <w:rPr>
                <w:sz w:val="1"/>
                <w:szCs w:val="1"/>
                <w:color w:val="auto"/>
              </w:rPr>
            </w:pPr>
          </w:p>
        </w:tc>
      </w:tr>
      <w:tr>
        <w:trPr>
          <w:trHeight w:val="118"/>
        </w:trPr>
        <w:tc>
          <w:tcPr>
            <w:tcW w:w="42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280" w:type="dxa"/>
            <w:vAlign w:val="bottom"/>
          </w:tcPr>
          <w:p>
            <w:pPr>
              <w:spacing w:after="0"/>
              <w:rPr>
                <w:sz w:val="20"/>
                <w:szCs w:val="20"/>
                <w:color w:val="auto"/>
              </w:rPr>
            </w:pPr>
            <w:r>
              <w:rPr>
                <w:rFonts w:ascii="Arial" w:cs="Arial" w:eastAsia="Arial" w:hAnsi="Arial"/>
                <w:sz w:val="10"/>
                <w:szCs w:val="10"/>
                <w:color w:val="auto"/>
                <w:w w:val="92"/>
              </w:rPr>
              <w:t>Includes income from unrestricted interest-earning deposits and investments and funds in asset-backed securitizations. Increase</w:t>
            </w:r>
          </w:p>
        </w:tc>
        <w:tc>
          <w:tcPr>
            <w:tcW w:w="0" w:type="dxa"/>
            <w:vAlign w:val="bottom"/>
          </w:tcPr>
          <w:p>
            <w:pPr>
              <w:spacing w:after="0"/>
              <w:rPr>
                <w:sz w:val="1"/>
                <w:szCs w:val="1"/>
                <w:color w:val="auto"/>
              </w:rPr>
            </w:pPr>
          </w:p>
        </w:tc>
      </w:tr>
      <w:tr>
        <w:trPr>
          <w:trHeight w:val="134"/>
        </w:trPr>
        <w:tc>
          <w:tcPr>
            <w:tcW w:w="4260" w:type="dxa"/>
            <w:vAlign w:val="bottom"/>
            <w:tcBorders>
              <w:bottom w:val="single" w:sz="8" w:color="CCEEFF"/>
            </w:tcBorders>
          </w:tcPr>
          <w:p>
            <w:pPr>
              <w:ind w:left="80"/>
              <w:spacing w:after="0"/>
              <w:rPr>
                <w:sz w:val="20"/>
                <w:szCs w:val="20"/>
                <w:color w:val="auto"/>
              </w:rPr>
            </w:pPr>
            <w:r>
              <w:rPr>
                <w:rFonts w:ascii="Arial" w:cs="Arial" w:eastAsia="Arial" w:hAnsi="Arial"/>
                <w:sz w:val="10"/>
                <w:szCs w:val="10"/>
                <w:color w:val="auto"/>
              </w:rPr>
              <w:t>Investment interest</w:t>
            </w:r>
          </w:p>
        </w:tc>
        <w:tc>
          <w:tcPr>
            <w:tcW w:w="180" w:type="dxa"/>
            <w:vAlign w:val="bottom"/>
            <w:tcBorders>
              <w:bottom w:val="single" w:sz="8" w:color="auto"/>
            </w:tcBorders>
          </w:tcPr>
          <w:p>
            <w:pPr>
              <w:spacing w:after="0"/>
              <w:rPr>
                <w:sz w:val="11"/>
                <w:szCs w:val="11"/>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8,253</w:t>
            </w:r>
          </w:p>
        </w:tc>
        <w:tc>
          <w:tcPr>
            <w:tcW w:w="100" w:type="dxa"/>
            <w:vAlign w:val="bottom"/>
            <w:tcBorders>
              <w:bottom w:val="single" w:sz="8" w:color="CCEEFF"/>
            </w:tcBorders>
          </w:tcPr>
          <w:p>
            <w:pPr>
              <w:spacing w:after="0"/>
              <w:rPr>
                <w:sz w:val="11"/>
                <w:szCs w:val="11"/>
                <w:color w:val="auto"/>
              </w:rPr>
            </w:pPr>
          </w:p>
        </w:tc>
        <w:tc>
          <w:tcPr>
            <w:tcW w:w="260" w:type="dxa"/>
            <w:vAlign w:val="bottom"/>
            <w:tcBorders>
              <w:bottom w:val="single" w:sz="8" w:color="auto"/>
            </w:tcBorders>
          </w:tcPr>
          <w:p>
            <w:pPr>
              <w:spacing w:after="0"/>
              <w:rPr>
                <w:sz w:val="11"/>
                <w:szCs w:val="11"/>
                <w:color w:val="auto"/>
              </w:rPr>
            </w:pPr>
          </w:p>
        </w:tc>
        <w:tc>
          <w:tcPr>
            <w:tcW w:w="600" w:type="dxa"/>
            <w:vAlign w:val="bottom"/>
            <w:tcBorders>
              <w:bottom w:val="single" w:sz="8" w:color="auto"/>
            </w:tcBorders>
          </w:tcPr>
          <w:p>
            <w:pPr>
              <w:jc w:val="right"/>
              <w:ind w:right="9"/>
              <w:spacing w:after="0"/>
              <w:rPr>
                <w:sz w:val="20"/>
                <w:szCs w:val="20"/>
                <w:color w:val="auto"/>
              </w:rPr>
            </w:pPr>
            <w:r>
              <w:rPr>
                <w:rFonts w:ascii="Arial" w:cs="Arial" w:eastAsia="Arial" w:hAnsi="Arial"/>
                <w:sz w:val="10"/>
                <w:szCs w:val="10"/>
                <w:color w:val="auto"/>
              </w:rPr>
              <w:t>5,134</w:t>
            </w:r>
          </w:p>
        </w:tc>
        <w:tc>
          <w:tcPr>
            <w:tcW w:w="100" w:type="dxa"/>
            <w:vAlign w:val="bottom"/>
            <w:tcBorders>
              <w:bottom w:val="single" w:sz="8" w:color="CCEEFF"/>
            </w:tcBorders>
          </w:tcPr>
          <w:p>
            <w:pPr>
              <w:spacing w:after="0"/>
              <w:rPr>
                <w:sz w:val="11"/>
                <w:szCs w:val="11"/>
                <w:color w:val="auto"/>
              </w:rPr>
            </w:pPr>
          </w:p>
        </w:tc>
        <w:tc>
          <w:tcPr>
            <w:tcW w:w="5280" w:type="dxa"/>
            <w:vAlign w:val="bottom"/>
            <w:tcBorders>
              <w:bottom w:val="single" w:sz="8" w:color="CCEEFF"/>
            </w:tcBorders>
          </w:tcPr>
          <w:p>
            <w:pPr>
              <w:spacing w:after="0"/>
              <w:rPr>
                <w:sz w:val="20"/>
                <w:szCs w:val="20"/>
                <w:color w:val="auto"/>
              </w:rPr>
            </w:pPr>
            <w:r>
              <w:rPr>
                <w:rFonts w:ascii="Arial" w:cs="Arial" w:eastAsia="Arial" w:hAnsi="Arial"/>
                <w:sz w:val="10"/>
                <w:szCs w:val="10"/>
                <w:color w:val="auto"/>
              </w:rPr>
              <w:t>was due to increases in interest-earning investments and interest rates.</w:t>
            </w:r>
          </w:p>
        </w:tc>
        <w:tc>
          <w:tcPr>
            <w:tcW w:w="0" w:type="dxa"/>
            <w:vAlign w:val="bottom"/>
          </w:tcPr>
          <w:p>
            <w:pPr>
              <w:spacing w:after="0"/>
              <w:rPr>
                <w:sz w:val="1"/>
                <w:szCs w:val="1"/>
                <w:color w:val="auto"/>
              </w:rPr>
            </w:pPr>
          </w:p>
        </w:tc>
      </w:tr>
      <w:tr>
        <w:trPr>
          <w:trHeight w:val="148"/>
        </w:trPr>
        <w:tc>
          <w:tcPr>
            <w:tcW w:w="4260" w:type="dxa"/>
            <w:vAlign w:val="bottom"/>
            <w:shd w:val="clear" w:color="auto" w:fill="CCEEFF"/>
          </w:tcPr>
          <w:p>
            <w:pPr>
              <w:ind w:left="160"/>
              <w:spacing w:after="0"/>
              <w:rPr>
                <w:sz w:val="20"/>
                <w:szCs w:val="20"/>
                <w:color w:val="auto"/>
              </w:rPr>
            </w:pPr>
            <w:r>
              <w:rPr>
                <w:rFonts w:ascii="Arial" w:cs="Arial" w:eastAsia="Arial" w:hAnsi="Arial"/>
                <w:sz w:val="10"/>
                <w:szCs w:val="10"/>
                <w:color w:val="auto"/>
              </w:rPr>
              <w:t>Total interest income</w:t>
            </w:r>
          </w:p>
        </w:tc>
        <w:tc>
          <w:tcPr>
            <w:tcW w:w="18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0"/>
                <w:szCs w:val="10"/>
                <w:color w:val="auto"/>
              </w:rPr>
              <w:t>250,586</w:t>
            </w:r>
          </w:p>
        </w:tc>
        <w:tc>
          <w:tcPr>
            <w:tcW w:w="10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600" w:type="dxa"/>
            <w:vAlign w:val="bottom"/>
            <w:shd w:val="clear" w:color="auto" w:fill="CCEEFF"/>
          </w:tcPr>
          <w:p>
            <w:pPr>
              <w:jc w:val="right"/>
              <w:ind w:right="9"/>
              <w:spacing w:after="0"/>
              <w:rPr>
                <w:sz w:val="20"/>
                <w:szCs w:val="20"/>
                <w:color w:val="auto"/>
              </w:rPr>
            </w:pPr>
            <w:r>
              <w:rPr>
                <w:rFonts w:ascii="Arial" w:cs="Arial" w:eastAsia="Arial" w:hAnsi="Arial"/>
                <w:sz w:val="10"/>
                <w:szCs w:val="10"/>
                <w:color w:val="auto"/>
              </w:rPr>
              <w:t>202,857</w:t>
            </w:r>
          </w:p>
        </w:tc>
        <w:tc>
          <w:tcPr>
            <w:tcW w:w="100" w:type="dxa"/>
            <w:vAlign w:val="bottom"/>
            <w:shd w:val="clear" w:color="auto" w:fill="CCEEFF"/>
          </w:tcPr>
          <w:p>
            <w:pPr>
              <w:spacing w:after="0"/>
              <w:rPr>
                <w:sz w:val="12"/>
                <w:szCs w:val="12"/>
                <w:color w:val="auto"/>
              </w:rPr>
            </w:pPr>
          </w:p>
        </w:tc>
        <w:tc>
          <w:tcPr>
            <w:tcW w:w="52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4260" w:type="dxa"/>
            <w:vAlign w:val="bottom"/>
            <w:tcBorders>
              <w:bottom w:val="single" w:sz="8" w:color="CCEEFF"/>
            </w:tcBorders>
          </w:tcPr>
          <w:p>
            <w:pPr>
              <w:ind w:left="80"/>
              <w:spacing w:after="0"/>
              <w:rPr>
                <w:sz w:val="20"/>
                <w:szCs w:val="20"/>
                <w:color w:val="auto"/>
              </w:rPr>
            </w:pPr>
            <w:r>
              <w:rPr>
                <w:rFonts w:ascii="Arial" w:cs="Arial" w:eastAsia="Arial" w:hAnsi="Arial"/>
                <w:sz w:val="10"/>
                <w:szCs w:val="10"/>
                <w:color w:val="auto"/>
              </w:rPr>
              <w:t>Interest expense</w:t>
            </w:r>
          </w:p>
        </w:tc>
        <w:tc>
          <w:tcPr>
            <w:tcW w:w="18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191,770</w:t>
            </w:r>
          </w:p>
        </w:tc>
        <w:tc>
          <w:tcPr>
            <w:tcW w:w="100" w:type="dxa"/>
            <w:vAlign w:val="bottom"/>
            <w:tcBorders>
              <w:bottom w:val="single" w:sz="8" w:color="CCEEFF"/>
            </w:tcBorders>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jc w:val="right"/>
              <w:ind w:right="9"/>
              <w:spacing w:after="0"/>
              <w:rPr>
                <w:sz w:val="20"/>
                <w:szCs w:val="20"/>
                <w:color w:val="auto"/>
              </w:rPr>
            </w:pPr>
            <w:r>
              <w:rPr>
                <w:rFonts w:ascii="Arial" w:cs="Arial" w:eastAsia="Arial" w:hAnsi="Arial"/>
                <w:sz w:val="10"/>
                <w:szCs w:val="10"/>
                <w:color w:val="auto"/>
              </w:rPr>
              <w:t>135,550</w:t>
            </w:r>
          </w:p>
        </w:tc>
        <w:tc>
          <w:tcPr>
            <w:tcW w:w="100" w:type="dxa"/>
            <w:vAlign w:val="bottom"/>
            <w:tcBorders>
              <w:bottom w:val="single" w:sz="8" w:color="CCEEFF"/>
            </w:tcBorders>
          </w:tcPr>
          <w:p>
            <w:pPr>
              <w:spacing w:after="0"/>
              <w:rPr>
                <w:sz w:val="12"/>
                <w:szCs w:val="12"/>
                <w:color w:val="auto"/>
              </w:rPr>
            </w:pPr>
          </w:p>
        </w:tc>
        <w:tc>
          <w:tcPr>
            <w:tcW w:w="5280" w:type="dxa"/>
            <w:vAlign w:val="bottom"/>
            <w:tcBorders>
              <w:bottom w:val="single" w:sz="8" w:color="CCEEFF"/>
            </w:tcBorders>
          </w:tcPr>
          <w:p>
            <w:pPr>
              <w:spacing w:after="0"/>
              <w:rPr>
                <w:sz w:val="20"/>
                <w:szCs w:val="20"/>
                <w:color w:val="auto"/>
              </w:rPr>
            </w:pPr>
            <w:r>
              <w:rPr>
                <w:rFonts w:ascii="Arial" w:cs="Arial" w:eastAsia="Arial" w:hAnsi="Arial"/>
                <w:sz w:val="10"/>
                <w:szCs w:val="10"/>
                <w:color w:val="auto"/>
              </w:rPr>
              <w:t>Increase was due primarily to an increase in cost of funds and an increase in the average balance of debt outstanding.</w:t>
            </w:r>
          </w:p>
        </w:tc>
        <w:tc>
          <w:tcPr>
            <w:tcW w:w="0" w:type="dxa"/>
            <w:vAlign w:val="bottom"/>
          </w:tcPr>
          <w:p>
            <w:pPr>
              <w:spacing w:after="0"/>
              <w:rPr>
                <w:sz w:val="1"/>
                <w:szCs w:val="1"/>
                <w:color w:val="auto"/>
              </w:rPr>
            </w:pPr>
          </w:p>
        </w:tc>
      </w:tr>
      <w:tr>
        <w:trPr>
          <w:trHeight w:val="148"/>
        </w:trPr>
        <w:tc>
          <w:tcPr>
            <w:tcW w:w="4260" w:type="dxa"/>
            <w:vAlign w:val="bottom"/>
            <w:shd w:val="clear" w:color="auto" w:fill="CCEEFF"/>
          </w:tcPr>
          <w:p>
            <w:pPr>
              <w:ind w:left="160"/>
              <w:spacing w:after="0"/>
              <w:rPr>
                <w:sz w:val="20"/>
                <w:szCs w:val="20"/>
                <w:color w:val="auto"/>
              </w:rPr>
            </w:pPr>
            <w:r>
              <w:rPr>
                <w:rFonts w:ascii="Arial" w:cs="Arial" w:eastAsia="Arial" w:hAnsi="Arial"/>
                <w:sz w:val="10"/>
                <w:szCs w:val="10"/>
                <w:color w:val="auto"/>
              </w:rPr>
              <w:t>Net interest income</w:t>
            </w:r>
          </w:p>
        </w:tc>
        <w:tc>
          <w:tcPr>
            <w:tcW w:w="18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0"/>
                <w:szCs w:val="10"/>
                <w:color w:val="auto"/>
              </w:rPr>
              <w:t>58,816</w:t>
            </w:r>
          </w:p>
        </w:tc>
        <w:tc>
          <w:tcPr>
            <w:tcW w:w="10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600" w:type="dxa"/>
            <w:vAlign w:val="bottom"/>
            <w:shd w:val="clear" w:color="auto" w:fill="CCEEFF"/>
          </w:tcPr>
          <w:p>
            <w:pPr>
              <w:jc w:val="right"/>
              <w:ind w:right="9"/>
              <w:spacing w:after="0"/>
              <w:rPr>
                <w:sz w:val="20"/>
                <w:szCs w:val="20"/>
                <w:color w:val="auto"/>
              </w:rPr>
            </w:pPr>
            <w:r>
              <w:rPr>
                <w:rFonts w:ascii="Arial" w:cs="Arial" w:eastAsia="Arial" w:hAnsi="Arial"/>
                <w:sz w:val="10"/>
                <w:szCs w:val="10"/>
                <w:color w:val="auto"/>
              </w:rPr>
              <w:t>67,307</w:t>
            </w:r>
          </w:p>
        </w:tc>
        <w:tc>
          <w:tcPr>
            <w:tcW w:w="100" w:type="dxa"/>
            <w:vAlign w:val="bottom"/>
            <w:shd w:val="clear" w:color="auto" w:fill="CCEEFF"/>
          </w:tcPr>
          <w:p>
            <w:pPr>
              <w:spacing w:after="0"/>
              <w:rPr>
                <w:sz w:val="12"/>
                <w:szCs w:val="12"/>
                <w:color w:val="auto"/>
              </w:rPr>
            </w:pPr>
          </w:p>
        </w:tc>
        <w:tc>
          <w:tcPr>
            <w:tcW w:w="5280" w:type="dxa"/>
            <w:vAlign w:val="bottom"/>
            <w:shd w:val="clear" w:color="auto" w:fill="CCEEFF"/>
          </w:tcPr>
          <w:p>
            <w:pPr>
              <w:spacing w:after="0"/>
              <w:rPr>
                <w:sz w:val="20"/>
                <w:szCs w:val="20"/>
                <w:color w:val="auto"/>
              </w:rPr>
            </w:pPr>
            <w:r>
              <w:rPr>
                <w:rFonts w:ascii="Arial" w:cs="Arial" w:eastAsia="Arial" w:hAnsi="Arial"/>
                <w:sz w:val="10"/>
                <w:szCs w:val="10"/>
                <w:color w:val="auto"/>
              </w:rPr>
              <w:t>See table below for additional analysis.</w:t>
            </w:r>
          </w:p>
        </w:tc>
        <w:tc>
          <w:tcPr>
            <w:tcW w:w="0" w:type="dxa"/>
            <w:vAlign w:val="bottom"/>
          </w:tcPr>
          <w:p>
            <w:pPr>
              <w:spacing w:after="0"/>
              <w:rPr>
                <w:sz w:val="1"/>
                <w:szCs w:val="1"/>
                <w:color w:val="auto"/>
              </w:rPr>
            </w:pPr>
          </w:p>
        </w:tc>
      </w:tr>
      <w:tr>
        <w:trPr>
          <w:trHeight w:val="118"/>
        </w:trPr>
        <w:tc>
          <w:tcPr>
            <w:tcW w:w="42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280" w:type="dxa"/>
            <w:vAlign w:val="bottom"/>
          </w:tcPr>
          <w:p>
            <w:pPr>
              <w:spacing w:after="0"/>
              <w:rPr>
                <w:sz w:val="20"/>
                <w:szCs w:val="20"/>
                <w:color w:val="auto"/>
              </w:rPr>
            </w:pPr>
            <w:r>
              <w:rPr>
                <w:rFonts w:ascii="Arial" w:cs="Arial" w:eastAsia="Arial" w:hAnsi="Arial"/>
                <w:sz w:val="10"/>
                <w:szCs w:val="10"/>
                <w:color w:val="auto"/>
                <w:w w:val="92"/>
              </w:rPr>
              <w:t>Represents the periodic expense of maintaining an allowance appropriate to absorb losses inherent in the portfolio of loans. See</w:t>
            </w:r>
          </w:p>
        </w:tc>
        <w:tc>
          <w:tcPr>
            <w:tcW w:w="0" w:type="dxa"/>
            <w:vAlign w:val="bottom"/>
          </w:tcPr>
          <w:p>
            <w:pPr>
              <w:spacing w:after="0"/>
              <w:rPr>
                <w:sz w:val="1"/>
                <w:szCs w:val="1"/>
                <w:color w:val="auto"/>
              </w:rPr>
            </w:pPr>
          </w:p>
        </w:tc>
      </w:tr>
      <w:tr>
        <w:trPr>
          <w:trHeight w:val="134"/>
        </w:trPr>
        <w:tc>
          <w:tcPr>
            <w:tcW w:w="4260" w:type="dxa"/>
            <w:vAlign w:val="bottom"/>
            <w:tcBorders>
              <w:bottom w:val="single" w:sz="8" w:color="CCEEFF"/>
            </w:tcBorders>
          </w:tcPr>
          <w:p>
            <w:pPr>
              <w:ind w:left="80"/>
              <w:spacing w:after="0"/>
              <w:rPr>
                <w:sz w:val="20"/>
                <w:szCs w:val="20"/>
                <w:color w:val="auto"/>
              </w:rPr>
            </w:pPr>
            <w:r>
              <w:rPr>
                <w:rFonts w:ascii="Arial" w:cs="Arial" w:eastAsia="Arial" w:hAnsi="Arial"/>
                <w:sz w:val="10"/>
                <w:szCs w:val="10"/>
                <w:color w:val="auto"/>
              </w:rPr>
              <w:t>Less provision for loan losses</w:t>
            </w:r>
          </w:p>
        </w:tc>
        <w:tc>
          <w:tcPr>
            <w:tcW w:w="180" w:type="dxa"/>
            <w:vAlign w:val="bottom"/>
            <w:tcBorders>
              <w:bottom w:val="single" w:sz="8" w:color="auto"/>
            </w:tcBorders>
          </w:tcPr>
          <w:p>
            <w:pPr>
              <w:spacing w:after="0"/>
              <w:rPr>
                <w:sz w:val="11"/>
                <w:szCs w:val="11"/>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7,000</w:t>
            </w:r>
          </w:p>
        </w:tc>
        <w:tc>
          <w:tcPr>
            <w:tcW w:w="100" w:type="dxa"/>
            <w:vAlign w:val="bottom"/>
            <w:tcBorders>
              <w:bottom w:val="single" w:sz="8" w:color="CCEEFF"/>
            </w:tcBorders>
          </w:tcPr>
          <w:p>
            <w:pPr>
              <w:spacing w:after="0"/>
              <w:rPr>
                <w:sz w:val="11"/>
                <w:szCs w:val="11"/>
                <w:color w:val="auto"/>
              </w:rPr>
            </w:pPr>
          </w:p>
        </w:tc>
        <w:tc>
          <w:tcPr>
            <w:tcW w:w="260" w:type="dxa"/>
            <w:vAlign w:val="bottom"/>
            <w:tcBorders>
              <w:bottom w:val="single" w:sz="8" w:color="auto"/>
            </w:tcBorders>
          </w:tcPr>
          <w:p>
            <w:pPr>
              <w:spacing w:after="0"/>
              <w:rPr>
                <w:sz w:val="11"/>
                <w:szCs w:val="11"/>
                <w:color w:val="auto"/>
              </w:rPr>
            </w:pPr>
          </w:p>
        </w:tc>
        <w:tc>
          <w:tcPr>
            <w:tcW w:w="600" w:type="dxa"/>
            <w:vAlign w:val="bottom"/>
            <w:tcBorders>
              <w:bottom w:val="single" w:sz="8" w:color="auto"/>
            </w:tcBorders>
          </w:tcPr>
          <w:p>
            <w:pPr>
              <w:jc w:val="right"/>
              <w:ind w:right="9"/>
              <w:spacing w:after="0"/>
              <w:rPr>
                <w:sz w:val="20"/>
                <w:szCs w:val="20"/>
                <w:color w:val="auto"/>
              </w:rPr>
            </w:pPr>
            <w:r>
              <w:rPr>
                <w:rFonts w:ascii="Arial" w:cs="Arial" w:eastAsia="Arial" w:hAnsi="Arial"/>
                <w:sz w:val="10"/>
                <w:szCs w:val="10"/>
                <w:color w:val="auto"/>
              </w:rPr>
              <w:t>4,000</w:t>
            </w:r>
          </w:p>
        </w:tc>
        <w:tc>
          <w:tcPr>
            <w:tcW w:w="100" w:type="dxa"/>
            <w:vAlign w:val="bottom"/>
            <w:tcBorders>
              <w:bottom w:val="single" w:sz="8" w:color="CCEEFF"/>
            </w:tcBorders>
          </w:tcPr>
          <w:p>
            <w:pPr>
              <w:spacing w:after="0"/>
              <w:rPr>
                <w:sz w:val="11"/>
                <w:szCs w:val="11"/>
                <w:color w:val="auto"/>
              </w:rPr>
            </w:pPr>
          </w:p>
        </w:tc>
        <w:tc>
          <w:tcPr>
            <w:tcW w:w="5280" w:type="dxa"/>
            <w:vAlign w:val="bottom"/>
            <w:tcBorders>
              <w:bottom w:val="single" w:sz="8" w:color="CCEEFF"/>
            </w:tcBorders>
          </w:tcPr>
          <w:p>
            <w:pPr>
              <w:spacing w:after="0"/>
              <w:rPr>
                <w:sz w:val="20"/>
                <w:szCs w:val="20"/>
                <w:color w:val="auto"/>
              </w:rPr>
            </w:pPr>
            <w:r>
              <w:rPr>
                <w:rFonts w:ascii="Arial" w:cs="Arial" w:eastAsia="Arial" w:hAnsi="Arial"/>
                <w:sz w:val="10"/>
                <w:szCs w:val="10"/>
                <w:color w:val="auto"/>
              </w:rPr>
              <w:t>AGM operating segment - results of operations.</w:t>
            </w:r>
          </w:p>
        </w:tc>
        <w:tc>
          <w:tcPr>
            <w:tcW w:w="0" w:type="dxa"/>
            <w:vAlign w:val="bottom"/>
          </w:tcPr>
          <w:p>
            <w:pPr>
              <w:spacing w:after="0"/>
              <w:rPr>
                <w:sz w:val="1"/>
                <w:szCs w:val="1"/>
                <w:color w:val="auto"/>
              </w:rPr>
            </w:pPr>
          </w:p>
        </w:tc>
      </w:tr>
      <w:tr>
        <w:trPr>
          <w:trHeight w:val="148"/>
        </w:trPr>
        <w:tc>
          <w:tcPr>
            <w:tcW w:w="4260" w:type="dxa"/>
            <w:vAlign w:val="bottom"/>
            <w:shd w:val="clear" w:color="auto" w:fill="CCEEFF"/>
          </w:tcPr>
          <w:p>
            <w:pPr>
              <w:ind w:left="180"/>
              <w:spacing w:after="0"/>
              <w:rPr>
                <w:sz w:val="20"/>
                <w:szCs w:val="20"/>
                <w:color w:val="auto"/>
              </w:rPr>
            </w:pPr>
            <w:r>
              <w:rPr>
                <w:rFonts w:ascii="Arial" w:cs="Arial" w:eastAsia="Arial" w:hAnsi="Arial"/>
                <w:sz w:val="10"/>
                <w:szCs w:val="10"/>
                <w:color w:val="auto"/>
              </w:rPr>
              <w:t>Net interest income after provision for loan losses</w:t>
            </w:r>
          </w:p>
        </w:tc>
        <w:tc>
          <w:tcPr>
            <w:tcW w:w="180" w:type="dxa"/>
            <w:vAlign w:val="bottom"/>
            <w:tcBorders>
              <w:bottom w:val="single" w:sz="8" w:color="auto"/>
            </w:tcBorders>
            <w:shd w:val="clear" w:color="auto" w:fill="CCEEFF"/>
          </w:tcPr>
          <w:p>
            <w:pPr>
              <w:spacing w:after="0"/>
              <w:rPr>
                <w:sz w:val="12"/>
                <w:szCs w:val="12"/>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51,816</w:t>
            </w:r>
          </w:p>
        </w:tc>
        <w:tc>
          <w:tcPr>
            <w:tcW w:w="100" w:type="dxa"/>
            <w:vAlign w:val="bottom"/>
            <w:shd w:val="clear" w:color="auto" w:fill="CCEEFF"/>
          </w:tcPr>
          <w:p>
            <w:pPr>
              <w:spacing w:after="0"/>
              <w:rPr>
                <w:sz w:val="12"/>
                <w:szCs w:val="12"/>
                <w:color w:val="auto"/>
              </w:rPr>
            </w:pPr>
          </w:p>
        </w:tc>
        <w:tc>
          <w:tcPr>
            <w:tcW w:w="260" w:type="dxa"/>
            <w:vAlign w:val="bottom"/>
            <w:tcBorders>
              <w:bottom w:val="single" w:sz="8" w:color="auto"/>
            </w:tcBorders>
            <w:shd w:val="clear" w:color="auto" w:fill="CCEEFF"/>
          </w:tcPr>
          <w:p>
            <w:pPr>
              <w:spacing w:after="0"/>
              <w:rPr>
                <w:sz w:val="12"/>
                <w:szCs w:val="12"/>
                <w:color w:val="auto"/>
              </w:rPr>
            </w:pPr>
          </w:p>
        </w:tc>
        <w:tc>
          <w:tcPr>
            <w:tcW w:w="60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0"/>
                <w:szCs w:val="10"/>
                <w:color w:val="auto"/>
              </w:rPr>
              <w:t>63,307</w:t>
            </w:r>
          </w:p>
        </w:tc>
        <w:tc>
          <w:tcPr>
            <w:tcW w:w="100" w:type="dxa"/>
            <w:vAlign w:val="bottom"/>
            <w:shd w:val="clear" w:color="auto" w:fill="CCEEFF"/>
          </w:tcPr>
          <w:p>
            <w:pPr>
              <w:spacing w:after="0"/>
              <w:rPr>
                <w:sz w:val="12"/>
                <w:szCs w:val="12"/>
                <w:color w:val="auto"/>
              </w:rPr>
            </w:pPr>
          </w:p>
        </w:tc>
        <w:tc>
          <w:tcPr>
            <w:tcW w:w="52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4260" w:type="dxa"/>
            <w:vAlign w:val="bottom"/>
          </w:tcPr>
          <w:p>
            <w:pPr>
              <w:spacing w:after="0"/>
              <w:rPr>
                <w:sz w:val="20"/>
                <w:szCs w:val="20"/>
                <w:color w:val="auto"/>
              </w:rPr>
            </w:pPr>
            <w:r>
              <w:rPr>
                <w:rFonts w:ascii="Arial" w:cs="Arial" w:eastAsia="Arial" w:hAnsi="Arial"/>
                <w:sz w:val="10"/>
                <w:szCs w:val="10"/>
                <w:color w:val="auto"/>
              </w:rPr>
              <w:t>Other income:</w:t>
            </w:r>
          </w:p>
        </w:tc>
        <w:tc>
          <w:tcPr>
            <w:tcW w:w="1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7"/>
        </w:trPr>
        <w:tc>
          <w:tcPr>
            <w:tcW w:w="4260" w:type="dxa"/>
            <w:vAlign w:val="bottom"/>
            <w:shd w:val="clear" w:color="auto" w:fill="CCEEFF"/>
          </w:tcPr>
          <w:p>
            <w:pPr>
              <w:ind w:left="80"/>
              <w:spacing w:after="0"/>
              <w:rPr>
                <w:sz w:val="20"/>
                <w:szCs w:val="20"/>
                <w:color w:val="auto"/>
              </w:rPr>
            </w:pPr>
            <w:r>
              <w:rPr>
                <w:rFonts w:ascii="Arial" w:cs="Arial" w:eastAsia="Arial" w:hAnsi="Arial"/>
                <w:sz w:val="10"/>
                <w:szCs w:val="10"/>
                <w:color w:val="auto"/>
              </w:rPr>
              <w:t>LSS revenue</w:t>
            </w:r>
          </w:p>
        </w:tc>
        <w:tc>
          <w:tcPr>
            <w:tcW w:w="180" w:type="dxa"/>
            <w:vAlign w:val="bottom"/>
            <w:shd w:val="clear" w:color="auto" w:fill="CCEEFF"/>
          </w:tcPr>
          <w:p>
            <w:pPr>
              <w:spacing w:after="0"/>
              <w:rPr>
                <w:sz w:val="13"/>
                <w:szCs w:val="13"/>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0"/>
                <w:szCs w:val="10"/>
                <w:color w:val="auto"/>
              </w:rPr>
              <w:t>114,898</w:t>
            </w: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600" w:type="dxa"/>
            <w:vAlign w:val="bottom"/>
            <w:shd w:val="clear" w:color="auto" w:fill="CCEEFF"/>
          </w:tcPr>
          <w:p>
            <w:pPr>
              <w:jc w:val="right"/>
              <w:ind w:right="9"/>
              <w:spacing w:after="0"/>
              <w:rPr>
                <w:sz w:val="20"/>
                <w:szCs w:val="20"/>
                <w:color w:val="auto"/>
              </w:rPr>
            </w:pPr>
            <w:r>
              <w:rPr>
                <w:rFonts w:ascii="Arial" w:cs="Arial" w:eastAsia="Arial" w:hAnsi="Arial"/>
                <w:sz w:val="10"/>
                <w:szCs w:val="10"/>
                <w:color w:val="auto"/>
              </w:rPr>
              <w:t>100,141</w:t>
            </w:r>
          </w:p>
        </w:tc>
        <w:tc>
          <w:tcPr>
            <w:tcW w:w="100" w:type="dxa"/>
            <w:vAlign w:val="bottom"/>
            <w:shd w:val="clear" w:color="auto" w:fill="CCEEFF"/>
          </w:tcPr>
          <w:p>
            <w:pPr>
              <w:spacing w:after="0"/>
              <w:rPr>
                <w:sz w:val="13"/>
                <w:szCs w:val="13"/>
                <w:color w:val="auto"/>
              </w:rPr>
            </w:pPr>
          </w:p>
        </w:tc>
        <w:tc>
          <w:tcPr>
            <w:tcW w:w="5280" w:type="dxa"/>
            <w:vAlign w:val="bottom"/>
            <w:shd w:val="clear" w:color="auto" w:fill="CCEEFF"/>
          </w:tcPr>
          <w:p>
            <w:pPr>
              <w:spacing w:after="0"/>
              <w:rPr>
                <w:sz w:val="20"/>
                <w:szCs w:val="20"/>
                <w:color w:val="auto"/>
              </w:rPr>
            </w:pPr>
            <w:r>
              <w:rPr>
                <w:rFonts w:ascii="Arial" w:cs="Arial" w:eastAsia="Arial" w:hAnsi="Arial"/>
                <w:sz w:val="10"/>
                <w:szCs w:val="10"/>
                <w:color w:val="auto"/>
              </w:rPr>
              <w:t>See LSS operating segment - results of operations.</w:t>
            </w:r>
          </w:p>
        </w:tc>
        <w:tc>
          <w:tcPr>
            <w:tcW w:w="0" w:type="dxa"/>
            <w:vAlign w:val="bottom"/>
          </w:tcPr>
          <w:p>
            <w:pPr>
              <w:spacing w:after="0"/>
              <w:rPr>
                <w:sz w:val="1"/>
                <w:szCs w:val="1"/>
                <w:color w:val="auto"/>
              </w:rPr>
            </w:pPr>
          </w:p>
        </w:tc>
      </w:tr>
      <w:tr>
        <w:trPr>
          <w:trHeight w:val="144"/>
        </w:trPr>
        <w:tc>
          <w:tcPr>
            <w:tcW w:w="4260" w:type="dxa"/>
            <w:vAlign w:val="bottom"/>
          </w:tcPr>
          <w:p>
            <w:pPr>
              <w:ind w:left="80"/>
              <w:spacing w:after="0"/>
              <w:rPr>
                <w:sz w:val="20"/>
                <w:szCs w:val="20"/>
                <w:color w:val="auto"/>
              </w:rPr>
            </w:pPr>
            <w:r>
              <w:rPr>
                <w:rFonts w:ascii="Arial" w:cs="Arial" w:eastAsia="Arial" w:hAnsi="Arial"/>
                <w:sz w:val="10"/>
                <w:szCs w:val="10"/>
                <w:color w:val="auto"/>
              </w:rPr>
              <w:t>ETS&amp;PP revenue</w:t>
            </w:r>
          </w:p>
        </w:tc>
        <w:tc>
          <w:tcPr>
            <w:tcW w:w="180" w:type="dxa"/>
            <w:vAlign w:val="bottom"/>
          </w:tcPr>
          <w:p>
            <w:pPr>
              <w:spacing w:after="0"/>
              <w:rPr>
                <w:sz w:val="12"/>
                <w:szCs w:val="12"/>
                <w:color w:val="auto"/>
              </w:rPr>
            </w:pPr>
          </w:p>
        </w:tc>
        <w:tc>
          <w:tcPr>
            <w:tcW w:w="660" w:type="dxa"/>
            <w:vAlign w:val="bottom"/>
          </w:tcPr>
          <w:p>
            <w:pPr>
              <w:jc w:val="right"/>
              <w:spacing w:after="0"/>
              <w:rPr>
                <w:sz w:val="20"/>
                <w:szCs w:val="20"/>
                <w:color w:val="auto"/>
              </w:rPr>
            </w:pPr>
            <w:r>
              <w:rPr>
                <w:rFonts w:ascii="Arial" w:cs="Arial" w:eastAsia="Arial" w:hAnsi="Arial"/>
                <w:sz w:val="10"/>
                <w:szCs w:val="10"/>
                <w:color w:val="auto"/>
              </w:rPr>
              <w:t>79,159</w:t>
            </w: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00" w:type="dxa"/>
            <w:vAlign w:val="bottom"/>
          </w:tcPr>
          <w:p>
            <w:pPr>
              <w:jc w:val="right"/>
              <w:ind w:right="9"/>
              <w:spacing w:after="0"/>
              <w:rPr>
                <w:sz w:val="20"/>
                <w:szCs w:val="20"/>
                <w:color w:val="auto"/>
              </w:rPr>
            </w:pPr>
            <w:r>
              <w:rPr>
                <w:rFonts w:ascii="Arial" w:cs="Arial" w:eastAsia="Arial" w:hAnsi="Arial"/>
                <w:sz w:val="10"/>
                <w:szCs w:val="10"/>
                <w:color w:val="auto"/>
              </w:rPr>
              <w:t>60,221</w:t>
            </w:r>
          </w:p>
        </w:tc>
        <w:tc>
          <w:tcPr>
            <w:tcW w:w="100" w:type="dxa"/>
            <w:vAlign w:val="bottom"/>
          </w:tcPr>
          <w:p>
            <w:pPr>
              <w:spacing w:after="0"/>
              <w:rPr>
                <w:sz w:val="12"/>
                <w:szCs w:val="12"/>
                <w:color w:val="auto"/>
              </w:rPr>
            </w:pPr>
          </w:p>
        </w:tc>
        <w:tc>
          <w:tcPr>
            <w:tcW w:w="5280" w:type="dxa"/>
            <w:vAlign w:val="bottom"/>
          </w:tcPr>
          <w:p>
            <w:pPr>
              <w:spacing w:after="0"/>
              <w:rPr>
                <w:sz w:val="20"/>
                <w:szCs w:val="20"/>
                <w:color w:val="auto"/>
              </w:rPr>
            </w:pPr>
            <w:r>
              <w:rPr>
                <w:rFonts w:ascii="Arial" w:cs="Arial" w:eastAsia="Arial" w:hAnsi="Arial"/>
                <w:sz w:val="10"/>
                <w:szCs w:val="10"/>
                <w:color w:val="auto"/>
              </w:rPr>
              <w:t>See ETS&amp;PP operating segment - results of operations.</w:t>
            </w:r>
          </w:p>
        </w:tc>
        <w:tc>
          <w:tcPr>
            <w:tcW w:w="0" w:type="dxa"/>
            <w:vAlign w:val="bottom"/>
          </w:tcPr>
          <w:p>
            <w:pPr>
              <w:spacing w:after="0"/>
              <w:rPr>
                <w:sz w:val="1"/>
                <w:szCs w:val="1"/>
                <w:color w:val="auto"/>
              </w:rPr>
            </w:pPr>
          </w:p>
        </w:tc>
      </w:tr>
      <w:tr>
        <w:trPr>
          <w:trHeight w:val="157"/>
        </w:trPr>
        <w:tc>
          <w:tcPr>
            <w:tcW w:w="4260" w:type="dxa"/>
            <w:vAlign w:val="bottom"/>
            <w:shd w:val="clear" w:color="auto" w:fill="CCEEFF"/>
          </w:tcPr>
          <w:p>
            <w:pPr>
              <w:ind w:left="80"/>
              <w:spacing w:after="0"/>
              <w:rPr>
                <w:sz w:val="20"/>
                <w:szCs w:val="20"/>
                <w:color w:val="auto"/>
              </w:rPr>
            </w:pPr>
            <w:r>
              <w:rPr>
                <w:rFonts w:ascii="Arial" w:cs="Arial" w:eastAsia="Arial" w:hAnsi="Arial"/>
                <w:sz w:val="10"/>
                <w:szCs w:val="10"/>
                <w:color w:val="auto"/>
              </w:rPr>
              <w:t>Communications revenue</w:t>
            </w:r>
          </w:p>
        </w:tc>
        <w:tc>
          <w:tcPr>
            <w:tcW w:w="180" w:type="dxa"/>
            <w:vAlign w:val="bottom"/>
            <w:shd w:val="clear" w:color="auto" w:fill="CCEEFF"/>
          </w:tcPr>
          <w:p>
            <w:pPr>
              <w:spacing w:after="0"/>
              <w:rPr>
                <w:sz w:val="13"/>
                <w:szCs w:val="13"/>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0"/>
                <w:szCs w:val="10"/>
                <w:color w:val="auto"/>
              </w:rPr>
              <w:t>14,543</w:t>
            </w: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600" w:type="dxa"/>
            <w:vAlign w:val="bottom"/>
            <w:shd w:val="clear" w:color="auto" w:fill="CCEEFF"/>
          </w:tcPr>
          <w:p>
            <w:pPr>
              <w:jc w:val="right"/>
              <w:ind w:right="9"/>
              <w:spacing w:after="0"/>
              <w:rPr>
                <w:sz w:val="20"/>
                <w:szCs w:val="20"/>
                <w:color w:val="auto"/>
              </w:rPr>
            </w:pPr>
            <w:r>
              <w:rPr>
                <w:rFonts w:ascii="Arial" w:cs="Arial" w:eastAsia="Arial" w:hAnsi="Arial"/>
                <w:sz w:val="10"/>
                <w:szCs w:val="10"/>
                <w:color w:val="auto"/>
              </w:rPr>
              <w:t>9,189</w:t>
            </w:r>
          </w:p>
        </w:tc>
        <w:tc>
          <w:tcPr>
            <w:tcW w:w="100" w:type="dxa"/>
            <w:vAlign w:val="bottom"/>
            <w:shd w:val="clear" w:color="auto" w:fill="CCEEFF"/>
          </w:tcPr>
          <w:p>
            <w:pPr>
              <w:spacing w:after="0"/>
              <w:rPr>
                <w:sz w:val="13"/>
                <w:szCs w:val="13"/>
                <w:color w:val="auto"/>
              </w:rPr>
            </w:pPr>
          </w:p>
        </w:tc>
        <w:tc>
          <w:tcPr>
            <w:tcW w:w="5280" w:type="dxa"/>
            <w:vAlign w:val="bottom"/>
            <w:shd w:val="clear" w:color="auto" w:fill="CCEEFF"/>
          </w:tcPr>
          <w:p>
            <w:pPr>
              <w:spacing w:after="0"/>
              <w:rPr>
                <w:sz w:val="20"/>
                <w:szCs w:val="20"/>
                <w:color w:val="auto"/>
              </w:rPr>
            </w:pPr>
            <w:r>
              <w:rPr>
                <w:rFonts w:ascii="Arial" w:cs="Arial" w:eastAsia="Arial" w:hAnsi="Arial"/>
                <w:sz w:val="10"/>
                <w:szCs w:val="10"/>
                <w:color w:val="auto"/>
              </w:rPr>
              <w:t>See Communications operating segment - results of operations.</w:t>
            </w:r>
          </w:p>
        </w:tc>
        <w:tc>
          <w:tcPr>
            <w:tcW w:w="0" w:type="dxa"/>
            <w:vAlign w:val="bottom"/>
          </w:tcPr>
          <w:p>
            <w:pPr>
              <w:spacing w:after="0"/>
              <w:rPr>
                <w:sz w:val="1"/>
                <w:szCs w:val="1"/>
                <w:color w:val="auto"/>
              </w:rPr>
            </w:pPr>
          </w:p>
        </w:tc>
      </w:tr>
      <w:tr>
        <w:trPr>
          <w:trHeight w:val="144"/>
        </w:trPr>
        <w:tc>
          <w:tcPr>
            <w:tcW w:w="4260" w:type="dxa"/>
            <w:vAlign w:val="bottom"/>
          </w:tcPr>
          <w:p>
            <w:pPr>
              <w:ind w:left="80"/>
              <w:spacing w:after="0"/>
              <w:rPr>
                <w:sz w:val="20"/>
                <w:szCs w:val="20"/>
                <w:color w:val="auto"/>
              </w:rPr>
            </w:pPr>
            <w:r>
              <w:rPr>
                <w:rFonts w:ascii="Arial" w:cs="Arial" w:eastAsia="Arial" w:hAnsi="Arial"/>
                <w:sz w:val="10"/>
                <w:szCs w:val="10"/>
                <w:color w:val="auto"/>
              </w:rPr>
              <w:t>Other income</w:t>
            </w:r>
          </w:p>
        </w:tc>
        <w:tc>
          <w:tcPr>
            <w:tcW w:w="180" w:type="dxa"/>
            <w:vAlign w:val="bottom"/>
          </w:tcPr>
          <w:p>
            <w:pPr>
              <w:spacing w:after="0"/>
              <w:rPr>
                <w:sz w:val="12"/>
                <w:szCs w:val="12"/>
                <w:color w:val="auto"/>
              </w:rPr>
            </w:pPr>
          </w:p>
        </w:tc>
        <w:tc>
          <w:tcPr>
            <w:tcW w:w="660" w:type="dxa"/>
            <w:vAlign w:val="bottom"/>
          </w:tcPr>
          <w:p>
            <w:pPr>
              <w:jc w:val="right"/>
              <w:spacing w:after="0"/>
              <w:rPr>
                <w:sz w:val="20"/>
                <w:szCs w:val="20"/>
                <w:color w:val="auto"/>
              </w:rPr>
            </w:pPr>
            <w:r>
              <w:rPr>
                <w:rFonts w:ascii="Arial" w:cs="Arial" w:eastAsia="Arial" w:hAnsi="Arial"/>
                <w:sz w:val="10"/>
                <w:szCs w:val="10"/>
                <w:color w:val="auto"/>
              </w:rPr>
              <w:t>9,067</w:t>
            </w: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00" w:type="dxa"/>
            <w:vAlign w:val="bottom"/>
          </w:tcPr>
          <w:p>
            <w:pPr>
              <w:jc w:val="right"/>
              <w:ind w:right="9"/>
              <w:spacing w:after="0"/>
              <w:rPr>
                <w:sz w:val="20"/>
                <w:szCs w:val="20"/>
                <w:color w:val="auto"/>
              </w:rPr>
            </w:pPr>
            <w:r>
              <w:rPr>
                <w:rFonts w:ascii="Arial" w:cs="Arial" w:eastAsia="Arial" w:hAnsi="Arial"/>
                <w:sz w:val="10"/>
                <w:szCs w:val="10"/>
                <w:color w:val="auto"/>
              </w:rPr>
              <w:t>18,557</w:t>
            </w:r>
          </w:p>
        </w:tc>
        <w:tc>
          <w:tcPr>
            <w:tcW w:w="100" w:type="dxa"/>
            <w:vAlign w:val="bottom"/>
          </w:tcPr>
          <w:p>
            <w:pPr>
              <w:spacing w:after="0"/>
              <w:rPr>
                <w:sz w:val="12"/>
                <w:szCs w:val="12"/>
                <w:color w:val="auto"/>
              </w:rPr>
            </w:pPr>
          </w:p>
        </w:tc>
        <w:tc>
          <w:tcPr>
            <w:tcW w:w="5280" w:type="dxa"/>
            <w:vAlign w:val="bottom"/>
          </w:tcPr>
          <w:p>
            <w:pPr>
              <w:spacing w:after="0"/>
              <w:rPr>
                <w:sz w:val="20"/>
                <w:szCs w:val="20"/>
                <w:color w:val="auto"/>
              </w:rPr>
            </w:pPr>
            <w:r>
              <w:rPr>
                <w:rFonts w:ascii="Arial" w:cs="Arial" w:eastAsia="Arial" w:hAnsi="Arial"/>
                <w:sz w:val="10"/>
                <w:szCs w:val="10"/>
                <w:color w:val="auto"/>
              </w:rPr>
              <w:t>See table below for the components of "other income."</w:t>
            </w:r>
          </w:p>
        </w:tc>
        <w:tc>
          <w:tcPr>
            <w:tcW w:w="0" w:type="dxa"/>
            <w:vAlign w:val="bottom"/>
          </w:tcPr>
          <w:p>
            <w:pPr>
              <w:spacing w:after="0"/>
              <w:rPr>
                <w:sz w:val="1"/>
                <w:szCs w:val="1"/>
                <w:color w:val="auto"/>
              </w:rPr>
            </w:pPr>
          </w:p>
        </w:tc>
      </w:tr>
      <w:tr>
        <w:trPr>
          <w:trHeight w:val="124"/>
        </w:trPr>
        <w:tc>
          <w:tcPr>
            <w:tcW w:w="426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6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6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280" w:type="dxa"/>
            <w:vAlign w:val="bottom"/>
            <w:shd w:val="clear" w:color="auto" w:fill="CCEEFF"/>
          </w:tcPr>
          <w:p>
            <w:pPr>
              <w:spacing w:after="0"/>
              <w:rPr>
                <w:sz w:val="20"/>
                <w:szCs w:val="20"/>
                <w:color w:val="auto"/>
              </w:rPr>
            </w:pPr>
            <w:r>
              <w:rPr>
                <w:rFonts w:ascii="Arial" w:cs="Arial" w:eastAsia="Arial" w:hAnsi="Arial"/>
                <w:sz w:val="10"/>
                <w:szCs w:val="10"/>
                <w:color w:val="auto"/>
                <w:w w:val="94"/>
              </w:rPr>
              <w:t>The Company maintains an overall risk management strategy that incorporates the use of derivative instruments to reduce the</w:t>
            </w:r>
          </w:p>
        </w:tc>
        <w:tc>
          <w:tcPr>
            <w:tcW w:w="0" w:type="dxa"/>
            <w:vAlign w:val="bottom"/>
          </w:tcPr>
          <w:p>
            <w:pPr>
              <w:spacing w:after="0"/>
              <w:rPr>
                <w:sz w:val="1"/>
                <w:szCs w:val="1"/>
                <w:color w:val="auto"/>
              </w:rPr>
            </w:pPr>
          </w:p>
        </w:tc>
      </w:tr>
      <w:tr>
        <w:trPr>
          <w:trHeight w:val="108"/>
        </w:trPr>
        <w:tc>
          <w:tcPr>
            <w:tcW w:w="4260" w:type="dxa"/>
            <w:vAlign w:val="bottom"/>
            <w:shd w:val="clear" w:color="auto" w:fill="CCEEFF"/>
          </w:tcPr>
          <w:p>
            <w:pPr>
              <w:spacing w:after="0"/>
              <w:rPr>
                <w:sz w:val="9"/>
                <w:szCs w:val="9"/>
                <w:color w:val="auto"/>
              </w:rPr>
            </w:pPr>
          </w:p>
        </w:tc>
        <w:tc>
          <w:tcPr>
            <w:tcW w:w="180" w:type="dxa"/>
            <w:vAlign w:val="bottom"/>
            <w:shd w:val="clear" w:color="auto" w:fill="CCEEFF"/>
          </w:tcPr>
          <w:p>
            <w:pPr>
              <w:spacing w:after="0"/>
              <w:rPr>
                <w:sz w:val="9"/>
                <w:szCs w:val="9"/>
                <w:color w:val="auto"/>
              </w:rPr>
            </w:pPr>
          </w:p>
        </w:tc>
        <w:tc>
          <w:tcPr>
            <w:tcW w:w="66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260" w:type="dxa"/>
            <w:vAlign w:val="bottom"/>
            <w:shd w:val="clear" w:color="auto" w:fill="CCEEFF"/>
          </w:tcPr>
          <w:p>
            <w:pPr>
              <w:spacing w:after="0"/>
              <w:rPr>
                <w:sz w:val="9"/>
                <w:szCs w:val="9"/>
                <w:color w:val="auto"/>
              </w:rPr>
            </w:pPr>
          </w:p>
        </w:tc>
        <w:tc>
          <w:tcPr>
            <w:tcW w:w="60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5280" w:type="dxa"/>
            <w:vAlign w:val="bottom"/>
            <w:shd w:val="clear" w:color="auto" w:fill="CCEEFF"/>
          </w:tcPr>
          <w:p>
            <w:pPr>
              <w:spacing w:after="0" w:line="108" w:lineRule="exact"/>
              <w:rPr>
                <w:sz w:val="20"/>
                <w:szCs w:val="20"/>
                <w:color w:val="auto"/>
              </w:rPr>
            </w:pPr>
            <w:r>
              <w:rPr>
                <w:rFonts w:ascii="Arial" w:cs="Arial" w:eastAsia="Arial" w:hAnsi="Arial"/>
                <w:sz w:val="10"/>
                <w:szCs w:val="10"/>
                <w:color w:val="auto"/>
              </w:rPr>
              <w:t>economic effect of interest rate volatility. Derivative settlements for each applicable period should be evaluated with the</w:t>
            </w:r>
          </w:p>
        </w:tc>
        <w:tc>
          <w:tcPr>
            <w:tcW w:w="0" w:type="dxa"/>
            <w:vAlign w:val="bottom"/>
          </w:tcPr>
          <w:p>
            <w:pPr>
              <w:spacing w:after="0"/>
              <w:rPr>
                <w:sz w:val="1"/>
                <w:szCs w:val="1"/>
                <w:color w:val="auto"/>
              </w:rPr>
            </w:pPr>
          </w:p>
        </w:tc>
      </w:tr>
      <w:tr>
        <w:trPr>
          <w:trHeight w:val="141"/>
        </w:trPr>
        <w:tc>
          <w:tcPr>
            <w:tcW w:w="4260" w:type="dxa"/>
            <w:vAlign w:val="bottom"/>
            <w:shd w:val="clear" w:color="auto" w:fill="CCEEFF"/>
          </w:tcPr>
          <w:p>
            <w:pPr>
              <w:ind w:left="100"/>
              <w:spacing w:after="0"/>
              <w:rPr>
                <w:sz w:val="20"/>
                <w:szCs w:val="20"/>
                <w:color w:val="auto"/>
              </w:rPr>
            </w:pPr>
            <w:r>
              <w:rPr>
                <w:rFonts w:ascii="Arial" w:cs="Arial" w:eastAsia="Arial" w:hAnsi="Arial"/>
                <w:sz w:val="10"/>
                <w:szCs w:val="10"/>
                <w:color w:val="auto"/>
              </w:rPr>
              <w:t>Derivative settlements, net</w:t>
            </w:r>
          </w:p>
        </w:tc>
        <w:tc>
          <w:tcPr>
            <w:tcW w:w="18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0"/>
                <w:szCs w:val="10"/>
                <w:color w:val="auto"/>
              </w:rPr>
              <w:t>19,035</w:t>
            </w:r>
          </w:p>
        </w:tc>
        <w:tc>
          <w:tcPr>
            <w:tcW w:w="10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600" w:type="dxa"/>
            <w:vAlign w:val="bottom"/>
            <w:shd w:val="clear" w:color="auto" w:fill="CCEEFF"/>
          </w:tcPr>
          <w:p>
            <w:pPr>
              <w:jc w:val="right"/>
              <w:ind w:right="9"/>
              <w:spacing w:after="0"/>
              <w:rPr>
                <w:sz w:val="20"/>
                <w:szCs w:val="20"/>
                <w:color w:val="auto"/>
              </w:rPr>
            </w:pPr>
            <w:r>
              <w:rPr>
                <w:rFonts w:ascii="Arial" w:cs="Arial" w:eastAsia="Arial" w:hAnsi="Arial"/>
                <w:sz w:val="10"/>
                <w:szCs w:val="10"/>
                <w:color w:val="auto"/>
              </w:rPr>
              <w:t>6,766</w:t>
            </w:r>
          </w:p>
        </w:tc>
        <w:tc>
          <w:tcPr>
            <w:tcW w:w="100" w:type="dxa"/>
            <w:vAlign w:val="bottom"/>
            <w:shd w:val="clear" w:color="auto" w:fill="CCEEFF"/>
          </w:tcPr>
          <w:p>
            <w:pPr>
              <w:spacing w:after="0"/>
              <w:rPr>
                <w:sz w:val="12"/>
                <w:szCs w:val="12"/>
                <w:color w:val="auto"/>
              </w:rPr>
            </w:pPr>
          </w:p>
        </w:tc>
        <w:tc>
          <w:tcPr>
            <w:tcW w:w="5280" w:type="dxa"/>
            <w:vAlign w:val="bottom"/>
            <w:shd w:val="clear" w:color="auto" w:fill="CCEEFF"/>
          </w:tcPr>
          <w:p>
            <w:pPr>
              <w:spacing w:after="0"/>
              <w:rPr>
                <w:sz w:val="20"/>
                <w:szCs w:val="20"/>
                <w:color w:val="auto"/>
              </w:rPr>
            </w:pPr>
            <w:r>
              <w:rPr>
                <w:rFonts w:ascii="Arial" w:cs="Arial" w:eastAsia="Arial" w:hAnsi="Arial"/>
                <w:sz w:val="10"/>
                <w:szCs w:val="10"/>
                <w:color w:val="auto"/>
              </w:rPr>
              <w:t>Company's net interest income. See table below for additional analysis.</w:t>
            </w:r>
          </w:p>
        </w:tc>
        <w:tc>
          <w:tcPr>
            <w:tcW w:w="0" w:type="dxa"/>
            <w:vAlign w:val="bottom"/>
          </w:tcPr>
          <w:p>
            <w:pPr>
              <w:spacing w:after="0"/>
              <w:rPr>
                <w:sz w:val="1"/>
                <w:szCs w:val="1"/>
                <w:color w:val="auto"/>
              </w:rPr>
            </w:pPr>
          </w:p>
        </w:tc>
      </w:tr>
      <w:tr>
        <w:trPr>
          <w:trHeight w:val="118"/>
        </w:trPr>
        <w:tc>
          <w:tcPr>
            <w:tcW w:w="42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280" w:type="dxa"/>
            <w:vAlign w:val="bottom"/>
          </w:tcPr>
          <w:p>
            <w:pPr>
              <w:spacing w:after="0"/>
              <w:rPr>
                <w:sz w:val="20"/>
                <w:szCs w:val="20"/>
                <w:color w:val="auto"/>
              </w:rPr>
            </w:pPr>
            <w:r>
              <w:rPr>
                <w:rFonts w:ascii="Arial" w:cs="Arial" w:eastAsia="Arial" w:hAnsi="Arial"/>
                <w:sz w:val="10"/>
                <w:szCs w:val="10"/>
                <w:color w:val="auto"/>
                <w:w w:val="91"/>
              </w:rPr>
              <w:t>Includes the realized and unrealized gains and losses that are caused by changes in fair values of derivatives which do not qualify</w:t>
            </w:r>
          </w:p>
        </w:tc>
        <w:tc>
          <w:tcPr>
            <w:tcW w:w="0" w:type="dxa"/>
            <w:vAlign w:val="bottom"/>
          </w:tcPr>
          <w:p>
            <w:pPr>
              <w:spacing w:after="0"/>
              <w:rPr>
                <w:sz w:val="1"/>
                <w:szCs w:val="1"/>
                <w:color w:val="auto"/>
              </w:rPr>
            </w:pPr>
          </w:p>
        </w:tc>
      </w:tr>
      <w:tr>
        <w:trPr>
          <w:trHeight w:val="134"/>
        </w:trPr>
        <w:tc>
          <w:tcPr>
            <w:tcW w:w="4260" w:type="dxa"/>
            <w:vAlign w:val="bottom"/>
            <w:tcBorders>
              <w:bottom w:val="single" w:sz="8" w:color="CCEEFF"/>
            </w:tcBorders>
          </w:tcPr>
          <w:p>
            <w:pPr>
              <w:ind w:left="100"/>
              <w:spacing w:after="0"/>
              <w:rPr>
                <w:sz w:val="20"/>
                <w:szCs w:val="20"/>
                <w:color w:val="auto"/>
              </w:rPr>
            </w:pPr>
            <w:r>
              <w:rPr>
                <w:rFonts w:ascii="Arial" w:cs="Arial" w:eastAsia="Arial" w:hAnsi="Arial"/>
                <w:sz w:val="10"/>
                <w:szCs w:val="10"/>
                <w:color w:val="auto"/>
              </w:rPr>
              <w:t>Derivative market value adjustments, net</w:t>
            </w:r>
          </w:p>
        </w:tc>
        <w:tc>
          <w:tcPr>
            <w:tcW w:w="180" w:type="dxa"/>
            <w:vAlign w:val="bottom"/>
            <w:tcBorders>
              <w:bottom w:val="single" w:sz="8" w:color="auto"/>
            </w:tcBorders>
          </w:tcPr>
          <w:p>
            <w:pPr>
              <w:spacing w:after="0"/>
              <w:rPr>
                <w:sz w:val="11"/>
                <w:szCs w:val="11"/>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(30,574)</w:t>
            </w:r>
          </w:p>
        </w:tc>
        <w:tc>
          <w:tcPr>
            <w:tcW w:w="100" w:type="dxa"/>
            <w:vAlign w:val="bottom"/>
            <w:tcBorders>
              <w:bottom w:val="single" w:sz="8" w:color="CCEEFF"/>
            </w:tcBorders>
          </w:tcPr>
          <w:p>
            <w:pPr>
              <w:spacing w:after="0"/>
              <w:rPr>
                <w:sz w:val="11"/>
                <w:szCs w:val="11"/>
                <w:color w:val="auto"/>
              </w:rPr>
            </w:pPr>
          </w:p>
        </w:tc>
        <w:tc>
          <w:tcPr>
            <w:tcW w:w="260" w:type="dxa"/>
            <w:vAlign w:val="bottom"/>
            <w:tcBorders>
              <w:bottom w:val="single" w:sz="8" w:color="auto"/>
            </w:tcBorders>
          </w:tcPr>
          <w:p>
            <w:pPr>
              <w:spacing w:after="0"/>
              <w:rPr>
                <w:sz w:val="11"/>
                <w:szCs w:val="11"/>
                <w:color w:val="auto"/>
              </w:rPr>
            </w:pPr>
          </w:p>
        </w:tc>
        <w:tc>
          <w:tcPr>
            <w:tcW w:w="600" w:type="dxa"/>
            <w:vAlign w:val="bottom"/>
            <w:tcBorders>
              <w:bottom w:val="single" w:sz="8" w:color="auto"/>
            </w:tcBorders>
          </w:tcPr>
          <w:p>
            <w:pPr>
              <w:jc w:val="right"/>
              <w:ind w:right="9"/>
              <w:spacing w:after="0"/>
              <w:rPr>
                <w:sz w:val="20"/>
                <w:szCs w:val="20"/>
                <w:color w:val="auto"/>
              </w:rPr>
            </w:pPr>
            <w:r>
              <w:rPr>
                <w:rFonts w:ascii="Arial" w:cs="Arial" w:eastAsia="Arial" w:hAnsi="Arial"/>
                <w:sz w:val="10"/>
                <w:szCs w:val="10"/>
                <w:color w:val="auto"/>
              </w:rPr>
              <w:t>60,033</w:t>
            </w:r>
          </w:p>
        </w:tc>
        <w:tc>
          <w:tcPr>
            <w:tcW w:w="100" w:type="dxa"/>
            <w:vAlign w:val="bottom"/>
            <w:tcBorders>
              <w:bottom w:val="single" w:sz="8" w:color="CCEEFF"/>
            </w:tcBorders>
          </w:tcPr>
          <w:p>
            <w:pPr>
              <w:spacing w:after="0"/>
              <w:rPr>
                <w:sz w:val="11"/>
                <w:szCs w:val="11"/>
                <w:color w:val="auto"/>
              </w:rPr>
            </w:pPr>
          </w:p>
        </w:tc>
        <w:tc>
          <w:tcPr>
            <w:tcW w:w="5280" w:type="dxa"/>
            <w:vAlign w:val="bottom"/>
            <w:tcBorders>
              <w:bottom w:val="single" w:sz="8" w:color="CCEEFF"/>
            </w:tcBorders>
          </w:tcPr>
          <w:p>
            <w:pPr>
              <w:spacing w:after="0"/>
              <w:rPr>
                <w:sz w:val="20"/>
                <w:szCs w:val="20"/>
                <w:color w:val="auto"/>
              </w:rPr>
            </w:pPr>
            <w:r>
              <w:rPr>
                <w:rFonts w:ascii="Arial" w:cs="Arial" w:eastAsia="Arial" w:hAnsi="Arial"/>
                <w:sz w:val="10"/>
                <w:szCs w:val="10"/>
                <w:color w:val="auto"/>
              </w:rPr>
              <w:t>for "hedge treatment" under GAAP.</w:t>
            </w:r>
          </w:p>
        </w:tc>
        <w:tc>
          <w:tcPr>
            <w:tcW w:w="0" w:type="dxa"/>
            <w:vAlign w:val="bottom"/>
          </w:tcPr>
          <w:p>
            <w:pPr>
              <w:spacing w:after="0"/>
              <w:rPr>
                <w:sz w:val="1"/>
                <w:szCs w:val="1"/>
                <w:color w:val="auto"/>
              </w:rPr>
            </w:pPr>
          </w:p>
        </w:tc>
      </w:tr>
      <w:tr>
        <w:trPr>
          <w:trHeight w:val="148"/>
        </w:trPr>
        <w:tc>
          <w:tcPr>
            <w:tcW w:w="4260" w:type="dxa"/>
            <w:vAlign w:val="bottom"/>
            <w:shd w:val="clear" w:color="auto" w:fill="CCEEFF"/>
          </w:tcPr>
          <w:p>
            <w:pPr>
              <w:ind w:left="260"/>
              <w:spacing w:after="0"/>
              <w:rPr>
                <w:sz w:val="20"/>
                <w:szCs w:val="20"/>
                <w:color w:val="auto"/>
              </w:rPr>
            </w:pPr>
            <w:r>
              <w:rPr>
                <w:rFonts w:ascii="Arial" w:cs="Arial" w:eastAsia="Arial" w:hAnsi="Arial"/>
                <w:sz w:val="10"/>
                <w:szCs w:val="10"/>
                <w:color w:val="auto"/>
              </w:rPr>
              <w:t>Total other income</w:t>
            </w:r>
          </w:p>
        </w:tc>
        <w:tc>
          <w:tcPr>
            <w:tcW w:w="180" w:type="dxa"/>
            <w:vAlign w:val="bottom"/>
            <w:tcBorders>
              <w:bottom w:val="single" w:sz="8" w:color="auto"/>
            </w:tcBorders>
            <w:shd w:val="clear" w:color="auto" w:fill="CCEEFF"/>
          </w:tcPr>
          <w:p>
            <w:pPr>
              <w:spacing w:after="0"/>
              <w:rPr>
                <w:sz w:val="12"/>
                <w:szCs w:val="12"/>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206,128</w:t>
            </w:r>
          </w:p>
        </w:tc>
        <w:tc>
          <w:tcPr>
            <w:tcW w:w="100" w:type="dxa"/>
            <w:vAlign w:val="bottom"/>
            <w:shd w:val="clear" w:color="auto" w:fill="CCEEFF"/>
          </w:tcPr>
          <w:p>
            <w:pPr>
              <w:spacing w:after="0"/>
              <w:rPr>
                <w:sz w:val="12"/>
                <w:szCs w:val="12"/>
                <w:color w:val="auto"/>
              </w:rPr>
            </w:pPr>
          </w:p>
        </w:tc>
        <w:tc>
          <w:tcPr>
            <w:tcW w:w="260" w:type="dxa"/>
            <w:vAlign w:val="bottom"/>
            <w:tcBorders>
              <w:bottom w:val="single" w:sz="8" w:color="auto"/>
            </w:tcBorders>
            <w:shd w:val="clear" w:color="auto" w:fill="CCEEFF"/>
          </w:tcPr>
          <w:p>
            <w:pPr>
              <w:spacing w:after="0"/>
              <w:rPr>
                <w:sz w:val="12"/>
                <w:szCs w:val="12"/>
                <w:color w:val="auto"/>
              </w:rPr>
            </w:pPr>
          </w:p>
        </w:tc>
        <w:tc>
          <w:tcPr>
            <w:tcW w:w="60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0"/>
                <w:szCs w:val="10"/>
                <w:color w:val="auto"/>
              </w:rPr>
              <w:t>254,907</w:t>
            </w:r>
          </w:p>
        </w:tc>
        <w:tc>
          <w:tcPr>
            <w:tcW w:w="100" w:type="dxa"/>
            <w:vAlign w:val="bottom"/>
            <w:shd w:val="clear" w:color="auto" w:fill="CCEEFF"/>
          </w:tcPr>
          <w:p>
            <w:pPr>
              <w:spacing w:after="0"/>
              <w:rPr>
                <w:sz w:val="12"/>
                <w:szCs w:val="12"/>
                <w:color w:val="auto"/>
              </w:rPr>
            </w:pPr>
          </w:p>
        </w:tc>
        <w:tc>
          <w:tcPr>
            <w:tcW w:w="52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24"/>
        </w:trPr>
        <w:tc>
          <w:tcPr>
            <w:tcW w:w="4260" w:type="dxa"/>
            <w:vAlign w:val="bottom"/>
          </w:tcPr>
          <w:p>
            <w:pPr>
              <w:spacing w:after="0"/>
              <w:rPr>
                <w:sz w:val="20"/>
                <w:szCs w:val="20"/>
                <w:color w:val="auto"/>
              </w:rPr>
            </w:pPr>
            <w:r>
              <w:rPr>
                <w:rFonts w:ascii="Arial" w:cs="Arial" w:eastAsia="Arial" w:hAnsi="Arial"/>
                <w:sz w:val="10"/>
                <w:szCs w:val="10"/>
                <w:color w:val="auto"/>
              </w:rPr>
              <w:t>Cost of services:</w:t>
            </w:r>
          </w:p>
        </w:tc>
        <w:tc>
          <w:tcPr>
            <w:tcW w:w="18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2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7"/>
        </w:trPr>
        <w:tc>
          <w:tcPr>
            <w:tcW w:w="4260" w:type="dxa"/>
            <w:vAlign w:val="bottom"/>
            <w:shd w:val="clear" w:color="auto" w:fill="CCEEFF"/>
          </w:tcPr>
          <w:p>
            <w:pPr>
              <w:ind w:left="100"/>
              <w:spacing w:after="0"/>
              <w:rPr>
                <w:sz w:val="20"/>
                <w:szCs w:val="20"/>
                <w:color w:val="auto"/>
              </w:rPr>
            </w:pPr>
            <w:r>
              <w:rPr>
                <w:rFonts w:ascii="Arial" w:cs="Arial" w:eastAsia="Arial" w:hAnsi="Arial"/>
                <w:sz w:val="10"/>
                <w:szCs w:val="10"/>
                <w:color w:val="auto"/>
              </w:rPr>
              <w:t>Cost to provide education technology, services, and payment processing services</w:t>
            </w:r>
          </w:p>
        </w:tc>
        <w:tc>
          <w:tcPr>
            <w:tcW w:w="180" w:type="dxa"/>
            <w:vAlign w:val="bottom"/>
            <w:shd w:val="clear" w:color="auto" w:fill="CCEEFF"/>
          </w:tcPr>
          <w:p>
            <w:pPr>
              <w:spacing w:after="0"/>
              <w:rPr>
                <w:sz w:val="13"/>
                <w:szCs w:val="13"/>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0"/>
                <w:szCs w:val="10"/>
                <w:color w:val="auto"/>
              </w:rPr>
              <w:t>21,059</w:t>
            </w: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600" w:type="dxa"/>
            <w:vAlign w:val="bottom"/>
            <w:shd w:val="clear" w:color="auto" w:fill="CCEEFF"/>
          </w:tcPr>
          <w:p>
            <w:pPr>
              <w:jc w:val="right"/>
              <w:ind w:right="9"/>
              <w:spacing w:after="0"/>
              <w:rPr>
                <w:sz w:val="20"/>
                <w:szCs w:val="20"/>
                <w:color w:val="auto"/>
              </w:rPr>
            </w:pPr>
            <w:r>
              <w:rPr>
                <w:rFonts w:ascii="Arial" w:cs="Arial" w:eastAsia="Arial" w:hAnsi="Arial"/>
                <w:sz w:val="10"/>
                <w:szCs w:val="10"/>
                <w:color w:val="auto"/>
              </w:rPr>
              <w:t>13,683</w:t>
            </w:r>
          </w:p>
        </w:tc>
        <w:tc>
          <w:tcPr>
            <w:tcW w:w="100" w:type="dxa"/>
            <w:vAlign w:val="bottom"/>
            <w:shd w:val="clear" w:color="auto" w:fill="CCEEFF"/>
          </w:tcPr>
          <w:p>
            <w:pPr>
              <w:spacing w:after="0"/>
              <w:rPr>
                <w:sz w:val="13"/>
                <w:szCs w:val="13"/>
                <w:color w:val="auto"/>
              </w:rPr>
            </w:pPr>
          </w:p>
        </w:tc>
        <w:tc>
          <w:tcPr>
            <w:tcW w:w="5280" w:type="dxa"/>
            <w:vAlign w:val="bottom"/>
            <w:shd w:val="clear" w:color="auto" w:fill="CCEEFF"/>
          </w:tcPr>
          <w:p>
            <w:pPr>
              <w:spacing w:after="0"/>
              <w:rPr>
                <w:sz w:val="20"/>
                <w:szCs w:val="20"/>
                <w:color w:val="auto"/>
              </w:rPr>
            </w:pPr>
            <w:r>
              <w:rPr>
                <w:rFonts w:ascii="Arial" w:cs="Arial" w:eastAsia="Arial" w:hAnsi="Arial"/>
                <w:sz w:val="10"/>
                <w:szCs w:val="10"/>
                <w:color w:val="auto"/>
              </w:rPr>
              <w:t>Represents primarily direct costs to provide payment processing services in the ETS&amp;PP operating segment.</w:t>
            </w:r>
          </w:p>
        </w:tc>
        <w:tc>
          <w:tcPr>
            <w:tcW w:w="0" w:type="dxa"/>
            <w:vAlign w:val="bottom"/>
          </w:tcPr>
          <w:p>
            <w:pPr>
              <w:spacing w:after="0"/>
              <w:rPr>
                <w:sz w:val="1"/>
                <w:szCs w:val="1"/>
                <w:color w:val="auto"/>
              </w:rPr>
            </w:pPr>
          </w:p>
        </w:tc>
      </w:tr>
      <w:tr>
        <w:trPr>
          <w:trHeight w:val="144"/>
        </w:trPr>
        <w:tc>
          <w:tcPr>
            <w:tcW w:w="4260" w:type="dxa"/>
            <w:vAlign w:val="bottom"/>
            <w:tcBorders>
              <w:bottom w:val="single" w:sz="8" w:color="CCEEFF"/>
            </w:tcBorders>
          </w:tcPr>
          <w:p>
            <w:pPr>
              <w:ind w:left="80"/>
              <w:spacing w:after="0"/>
              <w:rPr>
                <w:sz w:val="20"/>
                <w:szCs w:val="20"/>
                <w:color w:val="auto"/>
              </w:rPr>
            </w:pPr>
            <w:r>
              <w:rPr>
                <w:rFonts w:ascii="Arial" w:cs="Arial" w:eastAsia="Arial" w:hAnsi="Arial"/>
                <w:sz w:val="10"/>
                <w:szCs w:val="10"/>
                <w:color w:val="auto"/>
              </w:rPr>
              <w:t>Cost to provide communications services</w:t>
            </w:r>
          </w:p>
        </w:tc>
        <w:tc>
          <w:tcPr>
            <w:tcW w:w="18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4,759</w:t>
            </w:r>
          </w:p>
        </w:tc>
        <w:tc>
          <w:tcPr>
            <w:tcW w:w="100" w:type="dxa"/>
            <w:vAlign w:val="bottom"/>
            <w:tcBorders>
              <w:bottom w:val="single" w:sz="8" w:color="CCEEFF"/>
            </w:tcBorders>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jc w:val="right"/>
              <w:ind w:right="9"/>
              <w:spacing w:after="0"/>
              <w:rPr>
                <w:sz w:val="20"/>
                <w:szCs w:val="20"/>
                <w:color w:val="auto"/>
              </w:rPr>
            </w:pPr>
            <w:r>
              <w:rPr>
                <w:rFonts w:ascii="Arial" w:cs="Arial" w:eastAsia="Arial" w:hAnsi="Arial"/>
                <w:sz w:val="10"/>
                <w:szCs w:val="10"/>
                <w:color w:val="auto"/>
              </w:rPr>
              <w:t>3,717</w:t>
            </w:r>
          </w:p>
        </w:tc>
        <w:tc>
          <w:tcPr>
            <w:tcW w:w="100" w:type="dxa"/>
            <w:vAlign w:val="bottom"/>
            <w:tcBorders>
              <w:bottom w:val="single" w:sz="8" w:color="CCEEFF"/>
            </w:tcBorders>
          </w:tcPr>
          <w:p>
            <w:pPr>
              <w:spacing w:after="0"/>
              <w:rPr>
                <w:sz w:val="12"/>
                <w:szCs w:val="12"/>
                <w:color w:val="auto"/>
              </w:rPr>
            </w:pPr>
          </w:p>
        </w:tc>
        <w:tc>
          <w:tcPr>
            <w:tcW w:w="5280" w:type="dxa"/>
            <w:vAlign w:val="bottom"/>
            <w:tcBorders>
              <w:bottom w:val="single" w:sz="8" w:color="CCEEFF"/>
            </w:tcBorders>
          </w:tcPr>
          <w:p>
            <w:pPr>
              <w:spacing w:after="0"/>
              <w:rPr>
                <w:sz w:val="20"/>
                <w:szCs w:val="20"/>
                <w:color w:val="auto"/>
              </w:rPr>
            </w:pPr>
            <w:r>
              <w:rPr>
                <w:rFonts w:ascii="Arial" w:cs="Arial" w:eastAsia="Arial" w:hAnsi="Arial"/>
                <w:sz w:val="10"/>
                <w:szCs w:val="10"/>
                <w:color w:val="auto"/>
                <w:w w:val="93"/>
              </w:rPr>
              <w:t>Represents costs of services primarily associated with television programming costs in the Communications operating segment.</w:t>
            </w:r>
          </w:p>
        </w:tc>
        <w:tc>
          <w:tcPr>
            <w:tcW w:w="0" w:type="dxa"/>
            <w:vAlign w:val="bottom"/>
          </w:tcPr>
          <w:p>
            <w:pPr>
              <w:spacing w:after="0"/>
              <w:rPr>
                <w:sz w:val="1"/>
                <w:szCs w:val="1"/>
                <w:color w:val="auto"/>
              </w:rPr>
            </w:pPr>
          </w:p>
        </w:tc>
      </w:tr>
      <w:tr>
        <w:trPr>
          <w:trHeight w:val="148"/>
        </w:trPr>
        <w:tc>
          <w:tcPr>
            <w:tcW w:w="4260" w:type="dxa"/>
            <w:vAlign w:val="bottom"/>
            <w:shd w:val="clear" w:color="auto" w:fill="CCEEFF"/>
          </w:tcPr>
          <w:p>
            <w:pPr>
              <w:ind w:left="260"/>
              <w:spacing w:after="0"/>
              <w:rPr>
                <w:sz w:val="20"/>
                <w:szCs w:val="20"/>
                <w:color w:val="auto"/>
              </w:rPr>
            </w:pPr>
            <w:r>
              <w:rPr>
                <w:rFonts w:ascii="Arial" w:cs="Arial" w:eastAsia="Arial" w:hAnsi="Arial"/>
                <w:sz w:val="10"/>
                <w:szCs w:val="10"/>
                <w:color w:val="auto"/>
              </w:rPr>
              <w:t>Total cost of services</w:t>
            </w:r>
          </w:p>
        </w:tc>
        <w:tc>
          <w:tcPr>
            <w:tcW w:w="180" w:type="dxa"/>
            <w:vAlign w:val="bottom"/>
            <w:tcBorders>
              <w:bottom w:val="single" w:sz="8" w:color="auto"/>
            </w:tcBorders>
            <w:shd w:val="clear" w:color="auto" w:fill="CCEEFF"/>
          </w:tcPr>
          <w:p>
            <w:pPr>
              <w:spacing w:after="0"/>
              <w:rPr>
                <w:sz w:val="12"/>
                <w:szCs w:val="12"/>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25,818</w:t>
            </w:r>
          </w:p>
        </w:tc>
        <w:tc>
          <w:tcPr>
            <w:tcW w:w="100" w:type="dxa"/>
            <w:vAlign w:val="bottom"/>
            <w:shd w:val="clear" w:color="auto" w:fill="CCEEFF"/>
          </w:tcPr>
          <w:p>
            <w:pPr>
              <w:spacing w:after="0"/>
              <w:rPr>
                <w:sz w:val="12"/>
                <w:szCs w:val="12"/>
                <w:color w:val="auto"/>
              </w:rPr>
            </w:pPr>
          </w:p>
        </w:tc>
        <w:tc>
          <w:tcPr>
            <w:tcW w:w="260" w:type="dxa"/>
            <w:vAlign w:val="bottom"/>
            <w:tcBorders>
              <w:bottom w:val="single" w:sz="8" w:color="auto"/>
            </w:tcBorders>
            <w:shd w:val="clear" w:color="auto" w:fill="CCEEFF"/>
          </w:tcPr>
          <w:p>
            <w:pPr>
              <w:spacing w:after="0"/>
              <w:rPr>
                <w:sz w:val="12"/>
                <w:szCs w:val="12"/>
                <w:color w:val="auto"/>
              </w:rPr>
            </w:pPr>
          </w:p>
        </w:tc>
        <w:tc>
          <w:tcPr>
            <w:tcW w:w="60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0"/>
                <w:szCs w:val="10"/>
                <w:color w:val="auto"/>
              </w:rPr>
              <w:t>17,400</w:t>
            </w:r>
          </w:p>
        </w:tc>
        <w:tc>
          <w:tcPr>
            <w:tcW w:w="100" w:type="dxa"/>
            <w:vAlign w:val="bottom"/>
            <w:shd w:val="clear" w:color="auto" w:fill="CCEEFF"/>
          </w:tcPr>
          <w:p>
            <w:pPr>
              <w:spacing w:after="0"/>
              <w:rPr>
                <w:sz w:val="12"/>
                <w:szCs w:val="12"/>
                <w:color w:val="auto"/>
              </w:rPr>
            </w:pPr>
          </w:p>
        </w:tc>
        <w:tc>
          <w:tcPr>
            <w:tcW w:w="52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4260" w:type="dxa"/>
            <w:vAlign w:val="bottom"/>
          </w:tcPr>
          <w:p>
            <w:pPr>
              <w:spacing w:after="0"/>
              <w:rPr>
                <w:sz w:val="20"/>
                <w:szCs w:val="20"/>
                <w:color w:val="auto"/>
              </w:rPr>
            </w:pPr>
            <w:r>
              <w:rPr>
                <w:rFonts w:ascii="Arial" w:cs="Arial" w:eastAsia="Arial" w:hAnsi="Arial"/>
                <w:sz w:val="10"/>
                <w:szCs w:val="10"/>
                <w:color w:val="auto"/>
              </w:rPr>
              <w:t>Operating expenses:</w:t>
            </w:r>
          </w:p>
        </w:tc>
        <w:tc>
          <w:tcPr>
            <w:tcW w:w="1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4260" w:type="dxa"/>
            <w:vAlign w:val="bottom"/>
            <w:shd w:val="clear" w:color="auto" w:fill="CCEEFF"/>
          </w:tcPr>
          <w:p>
            <w:pPr>
              <w:spacing w:after="0"/>
              <w:rPr>
                <w:sz w:val="9"/>
                <w:szCs w:val="9"/>
                <w:color w:val="auto"/>
              </w:rPr>
            </w:pPr>
          </w:p>
        </w:tc>
        <w:tc>
          <w:tcPr>
            <w:tcW w:w="180" w:type="dxa"/>
            <w:vAlign w:val="bottom"/>
            <w:shd w:val="clear" w:color="auto" w:fill="CCEEFF"/>
          </w:tcPr>
          <w:p>
            <w:pPr>
              <w:spacing w:after="0"/>
              <w:rPr>
                <w:sz w:val="9"/>
                <w:szCs w:val="9"/>
                <w:color w:val="auto"/>
              </w:rPr>
            </w:pPr>
          </w:p>
        </w:tc>
        <w:tc>
          <w:tcPr>
            <w:tcW w:w="66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260" w:type="dxa"/>
            <w:vAlign w:val="bottom"/>
            <w:shd w:val="clear" w:color="auto" w:fill="CCEEFF"/>
          </w:tcPr>
          <w:p>
            <w:pPr>
              <w:spacing w:after="0"/>
              <w:rPr>
                <w:sz w:val="9"/>
                <w:szCs w:val="9"/>
                <w:color w:val="auto"/>
              </w:rPr>
            </w:pPr>
          </w:p>
        </w:tc>
        <w:tc>
          <w:tcPr>
            <w:tcW w:w="60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5280" w:type="dxa"/>
            <w:vAlign w:val="bottom"/>
            <w:shd w:val="clear" w:color="auto" w:fill="CCEEFF"/>
          </w:tcPr>
          <w:p>
            <w:pPr>
              <w:spacing w:after="0" w:line="104" w:lineRule="exact"/>
              <w:rPr>
                <w:sz w:val="20"/>
                <w:szCs w:val="20"/>
                <w:color w:val="auto"/>
              </w:rPr>
            </w:pPr>
            <w:r>
              <w:rPr>
                <w:rFonts w:ascii="Arial" w:cs="Arial" w:eastAsia="Arial" w:hAnsi="Arial"/>
                <w:sz w:val="10"/>
                <w:szCs w:val="10"/>
                <w:color w:val="auto"/>
                <w:w w:val="94"/>
              </w:rPr>
              <w:t>Increase was due to (i) increases in personnel to support the increase in volume of loans serviced for the government entering</w:t>
            </w:r>
          </w:p>
        </w:tc>
        <w:tc>
          <w:tcPr>
            <w:tcW w:w="0" w:type="dxa"/>
            <w:vAlign w:val="bottom"/>
          </w:tcPr>
          <w:p>
            <w:pPr>
              <w:spacing w:after="0"/>
              <w:rPr>
                <w:sz w:val="1"/>
                <w:szCs w:val="1"/>
                <w:color w:val="auto"/>
              </w:rPr>
            </w:pPr>
          </w:p>
        </w:tc>
      </w:tr>
      <w:tr>
        <w:trPr>
          <w:trHeight w:val="97"/>
        </w:trPr>
        <w:tc>
          <w:tcPr>
            <w:tcW w:w="4260" w:type="dxa"/>
            <w:vAlign w:val="bottom"/>
            <w:shd w:val="clear" w:color="auto" w:fill="CCEEFF"/>
          </w:tcPr>
          <w:p>
            <w:pPr>
              <w:spacing w:after="0"/>
              <w:rPr>
                <w:sz w:val="8"/>
                <w:szCs w:val="8"/>
                <w:color w:val="auto"/>
              </w:rPr>
            </w:pPr>
          </w:p>
        </w:tc>
        <w:tc>
          <w:tcPr>
            <w:tcW w:w="180" w:type="dxa"/>
            <w:vAlign w:val="bottom"/>
            <w:shd w:val="clear" w:color="auto" w:fill="CCEEFF"/>
          </w:tcPr>
          <w:p>
            <w:pPr>
              <w:spacing w:after="0"/>
              <w:rPr>
                <w:sz w:val="8"/>
                <w:szCs w:val="8"/>
                <w:color w:val="auto"/>
              </w:rPr>
            </w:pPr>
          </w:p>
        </w:tc>
        <w:tc>
          <w:tcPr>
            <w:tcW w:w="66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260" w:type="dxa"/>
            <w:vAlign w:val="bottom"/>
            <w:shd w:val="clear" w:color="auto" w:fill="CCEEFF"/>
          </w:tcPr>
          <w:p>
            <w:pPr>
              <w:spacing w:after="0"/>
              <w:rPr>
                <w:sz w:val="8"/>
                <w:szCs w:val="8"/>
                <w:color w:val="auto"/>
              </w:rPr>
            </w:pPr>
          </w:p>
        </w:tc>
        <w:tc>
          <w:tcPr>
            <w:tcW w:w="60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5280" w:type="dxa"/>
            <w:vAlign w:val="bottom"/>
            <w:shd w:val="clear" w:color="auto" w:fill="CCEEFF"/>
          </w:tcPr>
          <w:p>
            <w:pPr>
              <w:spacing w:after="0" w:line="97" w:lineRule="exact"/>
              <w:rPr>
                <w:sz w:val="20"/>
                <w:szCs w:val="20"/>
                <w:color w:val="auto"/>
              </w:rPr>
            </w:pPr>
            <w:r>
              <w:rPr>
                <w:rFonts w:ascii="Arial" w:cs="Arial" w:eastAsia="Arial" w:hAnsi="Arial"/>
                <w:sz w:val="10"/>
                <w:szCs w:val="10"/>
                <w:color w:val="auto"/>
                <w:w w:val="93"/>
              </w:rPr>
              <w:t>repayment status, and the increase in private education and consumer loan servicing volume in the LSS operating segment; (ii)</w:t>
            </w:r>
          </w:p>
        </w:tc>
        <w:tc>
          <w:tcPr>
            <w:tcW w:w="0" w:type="dxa"/>
            <w:vAlign w:val="bottom"/>
          </w:tcPr>
          <w:p>
            <w:pPr>
              <w:spacing w:after="0"/>
              <w:rPr>
                <w:sz w:val="1"/>
                <w:szCs w:val="1"/>
                <w:color w:val="auto"/>
              </w:rPr>
            </w:pPr>
          </w:p>
        </w:tc>
      </w:tr>
      <w:tr>
        <w:trPr>
          <w:trHeight w:val="97"/>
        </w:trPr>
        <w:tc>
          <w:tcPr>
            <w:tcW w:w="4260" w:type="dxa"/>
            <w:vAlign w:val="bottom"/>
            <w:shd w:val="clear" w:color="auto" w:fill="CCEEFF"/>
          </w:tcPr>
          <w:p>
            <w:pPr>
              <w:spacing w:after="0"/>
              <w:rPr>
                <w:sz w:val="8"/>
                <w:szCs w:val="8"/>
                <w:color w:val="auto"/>
              </w:rPr>
            </w:pPr>
          </w:p>
        </w:tc>
        <w:tc>
          <w:tcPr>
            <w:tcW w:w="180" w:type="dxa"/>
            <w:vAlign w:val="bottom"/>
            <w:shd w:val="clear" w:color="auto" w:fill="CCEEFF"/>
          </w:tcPr>
          <w:p>
            <w:pPr>
              <w:spacing w:after="0"/>
              <w:rPr>
                <w:sz w:val="8"/>
                <w:szCs w:val="8"/>
                <w:color w:val="auto"/>
              </w:rPr>
            </w:pPr>
          </w:p>
        </w:tc>
        <w:tc>
          <w:tcPr>
            <w:tcW w:w="66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260" w:type="dxa"/>
            <w:vAlign w:val="bottom"/>
            <w:shd w:val="clear" w:color="auto" w:fill="CCEEFF"/>
          </w:tcPr>
          <w:p>
            <w:pPr>
              <w:spacing w:after="0"/>
              <w:rPr>
                <w:sz w:val="8"/>
                <w:szCs w:val="8"/>
                <w:color w:val="auto"/>
              </w:rPr>
            </w:pPr>
          </w:p>
        </w:tc>
        <w:tc>
          <w:tcPr>
            <w:tcW w:w="60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5280" w:type="dxa"/>
            <w:vAlign w:val="bottom"/>
            <w:shd w:val="clear" w:color="auto" w:fill="CCEEFF"/>
          </w:tcPr>
          <w:p>
            <w:pPr>
              <w:spacing w:after="0" w:line="97" w:lineRule="exact"/>
              <w:rPr>
                <w:sz w:val="20"/>
                <w:szCs w:val="20"/>
                <w:color w:val="auto"/>
              </w:rPr>
            </w:pPr>
            <w:r>
              <w:rPr>
                <w:rFonts w:ascii="Arial" w:cs="Arial" w:eastAsia="Arial" w:hAnsi="Arial"/>
                <w:sz w:val="10"/>
                <w:szCs w:val="10"/>
                <w:color w:val="auto"/>
                <w:w w:val="95"/>
              </w:rPr>
              <w:t>increases in personnel to support the growth in revenue in the ETS&amp;PP operating segment; and (iii) increases in personnel at</w:t>
            </w:r>
          </w:p>
        </w:tc>
        <w:tc>
          <w:tcPr>
            <w:tcW w:w="0" w:type="dxa"/>
            <w:vAlign w:val="bottom"/>
          </w:tcPr>
          <w:p>
            <w:pPr>
              <w:spacing w:after="0"/>
              <w:rPr>
                <w:sz w:val="1"/>
                <w:szCs w:val="1"/>
                <w:color w:val="auto"/>
              </w:rPr>
            </w:pPr>
          </w:p>
        </w:tc>
      </w:tr>
      <w:tr>
        <w:trPr>
          <w:trHeight w:val="97"/>
        </w:trPr>
        <w:tc>
          <w:tcPr>
            <w:tcW w:w="4260" w:type="dxa"/>
            <w:vAlign w:val="bottom"/>
            <w:shd w:val="clear" w:color="auto" w:fill="CCEEFF"/>
          </w:tcPr>
          <w:p>
            <w:pPr>
              <w:spacing w:after="0"/>
              <w:rPr>
                <w:sz w:val="8"/>
                <w:szCs w:val="8"/>
                <w:color w:val="auto"/>
              </w:rPr>
            </w:pPr>
          </w:p>
        </w:tc>
        <w:tc>
          <w:tcPr>
            <w:tcW w:w="180" w:type="dxa"/>
            <w:vAlign w:val="bottom"/>
            <w:shd w:val="clear" w:color="auto" w:fill="CCEEFF"/>
          </w:tcPr>
          <w:p>
            <w:pPr>
              <w:spacing w:after="0"/>
              <w:rPr>
                <w:sz w:val="8"/>
                <w:szCs w:val="8"/>
                <w:color w:val="auto"/>
              </w:rPr>
            </w:pPr>
          </w:p>
        </w:tc>
        <w:tc>
          <w:tcPr>
            <w:tcW w:w="66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260" w:type="dxa"/>
            <w:vAlign w:val="bottom"/>
            <w:shd w:val="clear" w:color="auto" w:fill="CCEEFF"/>
          </w:tcPr>
          <w:p>
            <w:pPr>
              <w:spacing w:after="0"/>
              <w:rPr>
                <w:sz w:val="8"/>
                <w:szCs w:val="8"/>
                <w:color w:val="auto"/>
              </w:rPr>
            </w:pPr>
          </w:p>
        </w:tc>
        <w:tc>
          <w:tcPr>
            <w:tcW w:w="60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5280" w:type="dxa"/>
            <w:vAlign w:val="bottom"/>
            <w:shd w:val="clear" w:color="auto" w:fill="CCEEFF"/>
          </w:tcPr>
          <w:p>
            <w:pPr>
              <w:spacing w:after="0" w:line="97" w:lineRule="exact"/>
              <w:rPr>
                <w:sz w:val="20"/>
                <w:szCs w:val="20"/>
                <w:color w:val="auto"/>
              </w:rPr>
            </w:pPr>
            <w:r>
              <w:rPr>
                <w:rFonts w:ascii="Arial" w:cs="Arial" w:eastAsia="Arial" w:hAnsi="Arial"/>
                <w:sz w:val="10"/>
                <w:szCs w:val="10"/>
                <w:color w:val="auto"/>
                <w:w w:val="91"/>
              </w:rPr>
              <w:t>ALLO to support customer and network expansion. In addition, part of the increase in 2019 was due to an increase in personnel as</w:t>
            </w:r>
          </w:p>
        </w:tc>
        <w:tc>
          <w:tcPr>
            <w:tcW w:w="0" w:type="dxa"/>
            <w:vAlign w:val="bottom"/>
          </w:tcPr>
          <w:p>
            <w:pPr>
              <w:spacing w:after="0"/>
              <w:rPr>
                <w:sz w:val="1"/>
                <w:szCs w:val="1"/>
                <w:color w:val="auto"/>
              </w:rPr>
            </w:pPr>
          </w:p>
        </w:tc>
      </w:tr>
      <w:tr>
        <w:trPr>
          <w:trHeight w:val="97"/>
        </w:trPr>
        <w:tc>
          <w:tcPr>
            <w:tcW w:w="4260" w:type="dxa"/>
            <w:vAlign w:val="bottom"/>
            <w:vMerge w:val="restart"/>
            <w:shd w:val="clear" w:color="auto" w:fill="CCEEFF"/>
          </w:tcPr>
          <w:p>
            <w:pPr>
              <w:ind w:left="80"/>
              <w:spacing w:after="0"/>
              <w:rPr>
                <w:sz w:val="20"/>
                <w:szCs w:val="20"/>
                <w:color w:val="auto"/>
              </w:rPr>
            </w:pPr>
            <w:r>
              <w:rPr>
                <w:rFonts w:ascii="Arial" w:cs="Arial" w:eastAsia="Arial" w:hAnsi="Arial"/>
                <w:sz w:val="10"/>
                <w:szCs w:val="10"/>
                <w:color w:val="auto"/>
              </w:rPr>
              <w:t>Salaries and benefits</w:t>
            </w:r>
          </w:p>
        </w:tc>
        <w:tc>
          <w:tcPr>
            <w:tcW w:w="180" w:type="dxa"/>
            <w:vAlign w:val="bottom"/>
            <w:shd w:val="clear" w:color="auto" w:fill="CCEEFF"/>
          </w:tcPr>
          <w:p>
            <w:pPr>
              <w:spacing w:after="0"/>
              <w:rPr>
                <w:sz w:val="8"/>
                <w:szCs w:val="8"/>
                <w:color w:val="auto"/>
              </w:rPr>
            </w:pPr>
          </w:p>
        </w:tc>
        <w:tc>
          <w:tcPr>
            <w:tcW w:w="660" w:type="dxa"/>
            <w:vAlign w:val="bottom"/>
            <w:vMerge w:val="restart"/>
            <w:shd w:val="clear" w:color="auto" w:fill="CCEEFF"/>
          </w:tcPr>
          <w:p>
            <w:pPr>
              <w:jc w:val="right"/>
              <w:spacing w:after="0"/>
              <w:rPr>
                <w:sz w:val="20"/>
                <w:szCs w:val="20"/>
                <w:color w:val="auto"/>
              </w:rPr>
            </w:pPr>
            <w:r>
              <w:rPr>
                <w:rFonts w:ascii="Arial" w:cs="Arial" w:eastAsia="Arial" w:hAnsi="Arial"/>
                <w:sz w:val="10"/>
                <w:szCs w:val="10"/>
                <w:color w:val="auto"/>
              </w:rPr>
              <w:t>111,059</w:t>
            </w:r>
          </w:p>
        </w:tc>
        <w:tc>
          <w:tcPr>
            <w:tcW w:w="100" w:type="dxa"/>
            <w:vAlign w:val="bottom"/>
            <w:shd w:val="clear" w:color="auto" w:fill="CCEEFF"/>
          </w:tcPr>
          <w:p>
            <w:pPr>
              <w:spacing w:after="0"/>
              <w:rPr>
                <w:sz w:val="8"/>
                <w:szCs w:val="8"/>
                <w:color w:val="auto"/>
              </w:rPr>
            </w:pPr>
          </w:p>
        </w:tc>
        <w:tc>
          <w:tcPr>
            <w:tcW w:w="260" w:type="dxa"/>
            <w:vAlign w:val="bottom"/>
            <w:shd w:val="clear" w:color="auto" w:fill="CCEEFF"/>
          </w:tcPr>
          <w:p>
            <w:pPr>
              <w:spacing w:after="0"/>
              <w:rPr>
                <w:sz w:val="8"/>
                <w:szCs w:val="8"/>
                <w:color w:val="auto"/>
              </w:rPr>
            </w:pPr>
          </w:p>
        </w:tc>
        <w:tc>
          <w:tcPr>
            <w:tcW w:w="600" w:type="dxa"/>
            <w:vAlign w:val="bottom"/>
            <w:vMerge w:val="restart"/>
            <w:shd w:val="clear" w:color="auto" w:fill="CCEEFF"/>
          </w:tcPr>
          <w:p>
            <w:pPr>
              <w:jc w:val="right"/>
              <w:ind w:right="9"/>
              <w:spacing w:after="0"/>
              <w:rPr>
                <w:sz w:val="20"/>
                <w:szCs w:val="20"/>
                <w:color w:val="auto"/>
              </w:rPr>
            </w:pPr>
            <w:r>
              <w:rPr>
                <w:rFonts w:ascii="Arial" w:cs="Arial" w:eastAsia="Arial" w:hAnsi="Arial"/>
                <w:sz w:val="10"/>
                <w:szCs w:val="10"/>
                <w:color w:val="auto"/>
              </w:rPr>
              <w:t>96,643</w:t>
            </w:r>
          </w:p>
        </w:tc>
        <w:tc>
          <w:tcPr>
            <w:tcW w:w="100" w:type="dxa"/>
            <w:vAlign w:val="bottom"/>
            <w:shd w:val="clear" w:color="auto" w:fill="CCEEFF"/>
          </w:tcPr>
          <w:p>
            <w:pPr>
              <w:spacing w:after="0"/>
              <w:rPr>
                <w:sz w:val="8"/>
                <w:szCs w:val="8"/>
                <w:color w:val="auto"/>
              </w:rPr>
            </w:pPr>
          </w:p>
        </w:tc>
        <w:tc>
          <w:tcPr>
            <w:tcW w:w="5280" w:type="dxa"/>
            <w:vAlign w:val="bottom"/>
            <w:shd w:val="clear" w:color="auto" w:fill="CCEEFF"/>
          </w:tcPr>
          <w:p>
            <w:pPr>
              <w:spacing w:after="0" w:line="97" w:lineRule="exact"/>
              <w:rPr>
                <w:sz w:val="20"/>
                <w:szCs w:val="20"/>
                <w:color w:val="auto"/>
              </w:rPr>
            </w:pPr>
            <w:r>
              <w:rPr>
                <w:rFonts w:ascii="Arial" w:cs="Arial" w:eastAsia="Arial" w:hAnsi="Arial"/>
                <w:sz w:val="10"/>
                <w:szCs w:val="10"/>
                <w:color w:val="auto"/>
                <w:w w:val="94"/>
              </w:rPr>
              <w:t>a result of the acquisition of Great Lakes on February 7, 2018 and TMS on November 20, 2018. See each individual operating</w:t>
            </w:r>
          </w:p>
        </w:tc>
        <w:tc>
          <w:tcPr>
            <w:tcW w:w="0" w:type="dxa"/>
            <w:vAlign w:val="bottom"/>
          </w:tcPr>
          <w:p>
            <w:pPr>
              <w:spacing w:after="0"/>
              <w:rPr>
                <w:sz w:val="1"/>
                <w:szCs w:val="1"/>
                <w:color w:val="auto"/>
              </w:rPr>
            </w:pPr>
          </w:p>
        </w:tc>
      </w:tr>
      <w:tr>
        <w:trPr>
          <w:trHeight w:val="140"/>
        </w:trPr>
        <w:tc>
          <w:tcPr>
            <w:tcW w:w="4260" w:type="dxa"/>
            <w:vAlign w:val="bottom"/>
            <w:vMerge w:val="continue"/>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60" w:type="dxa"/>
            <w:vAlign w:val="bottom"/>
            <w:vMerge w:val="continue"/>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600" w:type="dxa"/>
            <w:vAlign w:val="bottom"/>
            <w:vMerge w:val="continue"/>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80" w:type="dxa"/>
            <w:vAlign w:val="bottom"/>
            <w:shd w:val="clear" w:color="auto" w:fill="CCEEFF"/>
          </w:tcPr>
          <w:p>
            <w:pPr>
              <w:spacing w:after="0"/>
              <w:rPr>
                <w:sz w:val="20"/>
                <w:szCs w:val="20"/>
                <w:color w:val="auto"/>
              </w:rPr>
            </w:pPr>
            <w:r>
              <w:rPr>
                <w:rFonts w:ascii="Arial" w:cs="Arial" w:eastAsia="Arial" w:hAnsi="Arial"/>
                <w:sz w:val="10"/>
                <w:szCs w:val="10"/>
                <w:color w:val="auto"/>
              </w:rPr>
              <w:t>segment results of operations discussion for additional information.</w:t>
            </w:r>
          </w:p>
        </w:tc>
        <w:tc>
          <w:tcPr>
            <w:tcW w:w="0" w:type="dxa"/>
            <w:vAlign w:val="bottom"/>
          </w:tcPr>
          <w:p>
            <w:pPr>
              <w:spacing w:after="0"/>
              <w:rPr>
                <w:sz w:val="1"/>
                <w:szCs w:val="1"/>
                <w:color w:val="auto"/>
              </w:rPr>
            </w:pPr>
          </w:p>
        </w:tc>
      </w:tr>
      <w:tr>
        <w:trPr>
          <w:trHeight w:val="97"/>
        </w:trPr>
        <w:tc>
          <w:tcPr>
            <w:tcW w:w="4260" w:type="dxa"/>
            <w:vAlign w:val="bottom"/>
          </w:tcPr>
          <w:p>
            <w:pPr>
              <w:spacing w:after="0"/>
              <w:rPr>
                <w:sz w:val="8"/>
                <w:szCs w:val="8"/>
                <w:color w:val="auto"/>
              </w:rPr>
            </w:pPr>
          </w:p>
        </w:tc>
        <w:tc>
          <w:tcPr>
            <w:tcW w:w="180" w:type="dxa"/>
            <w:vAlign w:val="bottom"/>
          </w:tcPr>
          <w:p>
            <w:pPr>
              <w:spacing w:after="0"/>
              <w:rPr>
                <w:sz w:val="8"/>
                <w:szCs w:val="8"/>
                <w:color w:val="auto"/>
              </w:rPr>
            </w:pPr>
          </w:p>
        </w:tc>
        <w:tc>
          <w:tcPr>
            <w:tcW w:w="660" w:type="dxa"/>
            <w:vAlign w:val="bottom"/>
          </w:tcPr>
          <w:p>
            <w:pPr>
              <w:spacing w:after="0"/>
              <w:rPr>
                <w:sz w:val="8"/>
                <w:szCs w:val="8"/>
                <w:color w:val="auto"/>
              </w:rPr>
            </w:pPr>
          </w:p>
        </w:tc>
        <w:tc>
          <w:tcPr>
            <w:tcW w:w="100" w:type="dxa"/>
            <w:vAlign w:val="bottom"/>
          </w:tcPr>
          <w:p>
            <w:pPr>
              <w:spacing w:after="0"/>
              <w:rPr>
                <w:sz w:val="8"/>
                <w:szCs w:val="8"/>
                <w:color w:val="auto"/>
              </w:rPr>
            </w:pPr>
          </w:p>
        </w:tc>
        <w:tc>
          <w:tcPr>
            <w:tcW w:w="260" w:type="dxa"/>
            <w:vAlign w:val="bottom"/>
          </w:tcPr>
          <w:p>
            <w:pPr>
              <w:spacing w:after="0"/>
              <w:rPr>
                <w:sz w:val="8"/>
                <w:szCs w:val="8"/>
                <w:color w:val="auto"/>
              </w:rPr>
            </w:pPr>
          </w:p>
        </w:tc>
        <w:tc>
          <w:tcPr>
            <w:tcW w:w="600" w:type="dxa"/>
            <w:vAlign w:val="bottom"/>
          </w:tcPr>
          <w:p>
            <w:pPr>
              <w:spacing w:after="0"/>
              <w:rPr>
                <w:sz w:val="8"/>
                <w:szCs w:val="8"/>
                <w:color w:val="auto"/>
              </w:rPr>
            </w:pPr>
          </w:p>
        </w:tc>
        <w:tc>
          <w:tcPr>
            <w:tcW w:w="100" w:type="dxa"/>
            <w:vAlign w:val="bottom"/>
          </w:tcPr>
          <w:p>
            <w:pPr>
              <w:spacing w:after="0"/>
              <w:rPr>
                <w:sz w:val="8"/>
                <w:szCs w:val="8"/>
                <w:color w:val="auto"/>
              </w:rPr>
            </w:pPr>
          </w:p>
        </w:tc>
        <w:tc>
          <w:tcPr>
            <w:tcW w:w="5280" w:type="dxa"/>
            <w:vAlign w:val="bottom"/>
          </w:tcPr>
          <w:p>
            <w:pPr>
              <w:spacing w:after="0" w:line="97" w:lineRule="exact"/>
              <w:rPr>
                <w:sz w:val="20"/>
                <w:szCs w:val="20"/>
                <w:color w:val="auto"/>
              </w:rPr>
            </w:pPr>
            <w:r>
              <w:rPr>
                <w:rFonts w:ascii="Arial" w:cs="Arial" w:eastAsia="Arial" w:hAnsi="Arial"/>
                <w:sz w:val="10"/>
                <w:szCs w:val="10"/>
                <w:color w:val="auto"/>
                <w:w w:val="95"/>
              </w:rPr>
              <w:t>Increase was primarily due to (i) additional depreciation expense at ALLO, and (ii) additional amortization of intangible assets</w:t>
            </w:r>
          </w:p>
        </w:tc>
        <w:tc>
          <w:tcPr>
            <w:tcW w:w="0" w:type="dxa"/>
            <w:vAlign w:val="bottom"/>
          </w:tcPr>
          <w:p>
            <w:pPr>
              <w:spacing w:after="0"/>
              <w:rPr>
                <w:sz w:val="1"/>
                <w:szCs w:val="1"/>
                <w:color w:val="auto"/>
              </w:rPr>
            </w:pPr>
          </w:p>
        </w:tc>
      </w:tr>
      <w:tr>
        <w:trPr>
          <w:trHeight w:val="97"/>
        </w:trPr>
        <w:tc>
          <w:tcPr>
            <w:tcW w:w="4260" w:type="dxa"/>
            <w:vAlign w:val="bottom"/>
            <w:vMerge w:val="restart"/>
          </w:tcPr>
          <w:p>
            <w:pPr>
              <w:ind w:left="80"/>
              <w:spacing w:after="0"/>
              <w:rPr>
                <w:sz w:val="20"/>
                <w:szCs w:val="20"/>
                <w:color w:val="auto"/>
              </w:rPr>
            </w:pPr>
            <w:r>
              <w:rPr>
                <w:rFonts w:ascii="Arial" w:cs="Arial" w:eastAsia="Arial" w:hAnsi="Arial"/>
                <w:sz w:val="10"/>
                <w:szCs w:val="10"/>
                <w:color w:val="auto"/>
              </w:rPr>
              <w:t>Depreciation and amortization</w:t>
            </w:r>
          </w:p>
        </w:tc>
        <w:tc>
          <w:tcPr>
            <w:tcW w:w="180" w:type="dxa"/>
            <w:vAlign w:val="bottom"/>
          </w:tcPr>
          <w:p>
            <w:pPr>
              <w:spacing w:after="0"/>
              <w:rPr>
                <w:sz w:val="8"/>
                <w:szCs w:val="8"/>
                <w:color w:val="auto"/>
              </w:rPr>
            </w:pPr>
          </w:p>
        </w:tc>
        <w:tc>
          <w:tcPr>
            <w:tcW w:w="660" w:type="dxa"/>
            <w:vAlign w:val="bottom"/>
            <w:vMerge w:val="restart"/>
          </w:tcPr>
          <w:p>
            <w:pPr>
              <w:jc w:val="right"/>
              <w:spacing w:after="0"/>
              <w:rPr>
                <w:sz w:val="20"/>
                <w:szCs w:val="20"/>
                <w:color w:val="auto"/>
              </w:rPr>
            </w:pPr>
            <w:r>
              <w:rPr>
                <w:rFonts w:ascii="Arial" w:cs="Arial" w:eastAsia="Arial" w:hAnsi="Arial"/>
                <w:sz w:val="10"/>
                <w:szCs w:val="10"/>
                <w:color w:val="auto"/>
              </w:rPr>
              <w:t>24,213</w:t>
            </w:r>
          </w:p>
        </w:tc>
        <w:tc>
          <w:tcPr>
            <w:tcW w:w="100" w:type="dxa"/>
            <w:vAlign w:val="bottom"/>
          </w:tcPr>
          <w:p>
            <w:pPr>
              <w:spacing w:after="0"/>
              <w:rPr>
                <w:sz w:val="8"/>
                <w:szCs w:val="8"/>
                <w:color w:val="auto"/>
              </w:rPr>
            </w:pPr>
          </w:p>
        </w:tc>
        <w:tc>
          <w:tcPr>
            <w:tcW w:w="260" w:type="dxa"/>
            <w:vAlign w:val="bottom"/>
          </w:tcPr>
          <w:p>
            <w:pPr>
              <w:spacing w:after="0"/>
              <w:rPr>
                <w:sz w:val="8"/>
                <w:szCs w:val="8"/>
                <w:color w:val="auto"/>
              </w:rPr>
            </w:pPr>
          </w:p>
        </w:tc>
        <w:tc>
          <w:tcPr>
            <w:tcW w:w="600" w:type="dxa"/>
            <w:vAlign w:val="bottom"/>
            <w:vMerge w:val="restart"/>
          </w:tcPr>
          <w:p>
            <w:pPr>
              <w:jc w:val="right"/>
              <w:ind w:right="9"/>
              <w:spacing w:after="0"/>
              <w:rPr>
                <w:sz w:val="20"/>
                <w:szCs w:val="20"/>
                <w:color w:val="auto"/>
              </w:rPr>
            </w:pPr>
            <w:r>
              <w:rPr>
                <w:rFonts w:ascii="Arial" w:cs="Arial" w:eastAsia="Arial" w:hAnsi="Arial"/>
                <w:sz w:val="10"/>
                <w:szCs w:val="10"/>
                <w:color w:val="auto"/>
              </w:rPr>
              <w:t>18,457</w:t>
            </w:r>
          </w:p>
        </w:tc>
        <w:tc>
          <w:tcPr>
            <w:tcW w:w="100" w:type="dxa"/>
            <w:vAlign w:val="bottom"/>
          </w:tcPr>
          <w:p>
            <w:pPr>
              <w:spacing w:after="0"/>
              <w:rPr>
                <w:sz w:val="8"/>
                <w:szCs w:val="8"/>
                <w:color w:val="auto"/>
              </w:rPr>
            </w:pPr>
          </w:p>
        </w:tc>
        <w:tc>
          <w:tcPr>
            <w:tcW w:w="5280" w:type="dxa"/>
            <w:vAlign w:val="bottom"/>
          </w:tcPr>
          <w:p>
            <w:pPr>
              <w:spacing w:after="0" w:line="97" w:lineRule="exact"/>
              <w:rPr>
                <w:sz w:val="20"/>
                <w:szCs w:val="20"/>
                <w:color w:val="auto"/>
              </w:rPr>
            </w:pPr>
            <w:r>
              <w:rPr>
                <w:rFonts w:ascii="Arial" w:cs="Arial" w:eastAsia="Arial" w:hAnsi="Arial"/>
                <w:sz w:val="10"/>
                <w:szCs w:val="10"/>
                <w:color w:val="auto"/>
                <w:w w:val="97"/>
              </w:rPr>
              <w:t>related to the acquisition of Great Lakes on February 7, 2018. See each individual operating segment results of operations</w:t>
            </w:r>
          </w:p>
        </w:tc>
        <w:tc>
          <w:tcPr>
            <w:tcW w:w="0" w:type="dxa"/>
            <w:vAlign w:val="bottom"/>
          </w:tcPr>
          <w:p>
            <w:pPr>
              <w:spacing w:after="0"/>
              <w:rPr>
                <w:sz w:val="1"/>
                <w:szCs w:val="1"/>
                <w:color w:val="auto"/>
              </w:rPr>
            </w:pPr>
          </w:p>
        </w:tc>
      </w:tr>
      <w:tr>
        <w:trPr>
          <w:trHeight w:val="134"/>
        </w:trPr>
        <w:tc>
          <w:tcPr>
            <w:tcW w:w="4260" w:type="dxa"/>
            <w:vAlign w:val="bottom"/>
            <w:vMerge w:val="continue"/>
          </w:tcPr>
          <w:p>
            <w:pPr>
              <w:spacing w:after="0"/>
              <w:rPr>
                <w:sz w:val="11"/>
                <w:szCs w:val="11"/>
                <w:color w:val="auto"/>
              </w:rPr>
            </w:pPr>
          </w:p>
        </w:tc>
        <w:tc>
          <w:tcPr>
            <w:tcW w:w="180" w:type="dxa"/>
            <w:vAlign w:val="bottom"/>
          </w:tcPr>
          <w:p>
            <w:pPr>
              <w:spacing w:after="0"/>
              <w:rPr>
                <w:sz w:val="11"/>
                <w:szCs w:val="11"/>
                <w:color w:val="auto"/>
              </w:rPr>
            </w:pPr>
          </w:p>
        </w:tc>
        <w:tc>
          <w:tcPr>
            <w:tcW w:w="660" w:type="dxa"/>
            <w:vAlign w:val="bottom"/>
            <w:vMerge w:val="continue"/>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0" w:type="dxa"/>
            <w:vAlign w:val="bottom"/>
            <w:vMerge w:val="continue"/>
          </w:tcPr>
          <w:p>
            <w:pPr>
              <w:spacing w:after="0"/>
              <w:rPr>
                <w:sz w:val="11"/>
                <w:szCs w:val="11"/>
                <w:color w:val="auto"/>
              </w:rPr>
            </w:pPr>
          </w:p>
        </w:tc>
        <w:tc>
          <w:tcPr>
            <w:tcW w:w="100" w:type="dxa"/>
            <w:vAlign w:val="bottom"/>
          </w:tcPr>
          <w:p>
            <w:pPr>
              <w:spacing w:after="0"/>
              <w:rPr>
                <w:sz w:val="11"/>
                <w:szCs w:val="11"/>
                <w:color w:val="auto"/>
              </w:rPr>
            </w:pPr>
          </w:p>
        </w:tc>
        <w:tc>
          <w:tcPr>
            <w:tcW w:w="5280" w:type="dxa"/>
            <w:vAlign w:val="bottom"/>
          </w:tcPr>
          <w:p>
            <w:pPr>
              <w:spacing w:after="0"/>
              <w:rPr>
                <w:sz w:val="20"/>
                <w:szCs w:val="20"/>
                <w:color w:val="auto"/>
              </w:rPr>
            </w:pPr>
            <w:r>
              <w:rPr>
                <w:rFonts w:ascii="Arial" w:cs="Arial" w:eastAsia="Arial" w:hAnsi="Arial"/>
                <w:sz w:val="10"/>
                <w:szCs w:val="10"/>
                <w:color w:val="auto"/>
              </w:rPr>
              <w:t>discussion for additional information.</w:t>
            </w:r>
          </w:p>
        </w:tc>
        <w:tc>
          <w:tcPr>
            <w:tcW w:w="0" w:type="dxa"/>
            <w:vAlign w:val="bottom"/>
          </w:tcPr>
          <w:p>
            <w:pPr>
              <w:spacing w:after="0"/>
              <w:rPr>
                <w:sz w:val="1"/>
                <w:szCs w:val="1"/>
                <w:color w:val="auto"/>
              </w:rPr>
            </w:pPr>
          </w:p>
        </w:tc>
      </w:tr>
      <w:tr>
        <w:trPr>
          <w:trHeight w:val="124"/>
        </w:trPr>
        <w:tc>
          <w:tcPr>
            <w:tcW w:w="426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6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6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280" w:type="dxa"/>
            <w:vAlign w:val="bottom"/>
            <w:shd w:val="clear" w:color="auto" w:fill="CCEEFF"/>
          </w:tcPr>
          <w:p>
            <w:pPr>
              <w:spacing w:after="0"/>
              <w:rPr>
                <w:sz w:val="20"/>
                <w:szCs w:val="20"/>
                <w:color w:val="auto"/>
              </w:rPr>
            </w:pPr>
            <w:r>
              <w:rPr>
                <w:rFonts w:ascii="Arial" w:cs="Arial" w:eastAsia="Arial" w:hAnsi="Arial"/>
                <w:sz w:val="10"/>
                <w:szCs w:val="10"/>
                <w:color w:val="auto"/>
                <w:w w:val="94"/>
              </w:rPr>
              <w:t>Decrease was due to runoff of the Company's loan portfolio on third-party platforms, the conversion of loans to the Company's</w:t>
            </w:r>
          </w:p>
        </w:tc>
        <w:tc>
          <w:tcPr>
            <w:tcW w:w="0" w:type="dxa"/>
            <w:vAlign w:val="bottom"/>
          </w:tcPr>
          <w:p>
            <w:pPr>
              <w:spacing w:after="0"/>
              <w:rPr>
                <w:sz w:val="1"/>
                <w:szCs w:val="1"/>
                <w:color w:val="auto"/>
              </w:rPr>
            </w:pPr>
          </w:p>
        </w:tc>
      </w:tr>
      <w:tr>
        <w:trPr>
          <w:trHeight w:val="108"/>
        </w:trPr>
        <w:tc>
          <w:tcPr>
            <w:tcW w:w="4260" w:type="dxa"/>
            <w:vAlign w:val="bottom"/>
            <w:shd w:val="clear" w:color="auto" w:fill="CCEEFF"/>
          </w:tcPr>
          <w:p>
            <w:pPr>
              <w:spacing w:after="0"/>
              <w:rPr>
                <w:sz w:val="9"/>
                <w:szCs w:val="9"/>
                <w:color w:val="auto"/>
              </w:rPr>
            </w:pPr>
          </w:p>
        </w:tc>
        <w:tc>
          <w:tcPr>
            <w:tcW w:w="180" w:type="dxa"/>
            <w:vAlign w:val="bottom"/>
            <w:shd w:val="clear" w:color="auto" w:fill="CCEEFF"/>
          </w:tcPr>
          <w:p>
            <w:pPr>
              <w:spacing w:after="0"/>
              <w:rPr>
                <w:sz w:val="9"/>
                <w:szCs w:val="9"/>
                <w:color w:val="auto"/>
              </w:rPr>
            </w:pPr>
          </w:p>
        </w:tc>
        <w:tc>
          <w:tcPr>
            <w:tcW w:w="66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260" w:type="dxa"/>
            <w:vAlign w:val="bottom"/>
            <w:shd w:val="clear" w:color="auto" w:fill="CCEEFF"/>
          </w:tcPr>
          <w:p>
            <w:pPr>
              <w:spacing w:after="0"/>
              <w:rPr>
                <w:sz w:val="9"/>
                <w:szCs w:val="9"/>
                <w:color w:val="auto"/>
              </w:rPr>
            </w:pPr>
          </w:p>
        </w:tc>
        <w:tc>
          <w:tcPr>
            <w:tcW w:w="60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5280" w:type="dxa"/>
            <w:vAlign w:val="bottom"/>
            <w:shd w:val="clear" w:color="auto" w:fill="CCEEFF"/>
          </w:tcPr>
          <w:p>
            <w:pPr>
              <w:spacing w:after="0" w:line="108" w:lineRule="exact"/>
              <w:rPr>
                <w:sz w:val="20"/>
                <w:szCs w:val="20"/>
                <w:color w:val="auto"/>
              </w:rPr>
            </w:pPr>
            <w:r>
              <w:rPr>
                <w:rFonts w:ascii="Arial" w:cs="Arial" w:eastAsia="Arial" w:hAnsi="Arial"/>
                <w:sz w:val="10"/>
                <w:szCs w:val="10"/>
                <w:color w:val="auto"/>
                <w:w w:val="99"/>
              </w:rPr>
              <w:t>LSS operating segment from third-party platforms during the third quarter of 2018, and the acquisition of Great Lakes on</w:t>
            </w:r>
          </w:p>
        </w:tc>
        <w:tc>
          <w:tcPr>
            <w:tcW w:w="0" w:type="dxa"/>
            <w:vAlign w:val="bottom"/>
          </w:tcPr>
          <w:p>
            <w:pPr>
              <w:spacing w:after="0"/>
              <w:rPr>
                <w:sz w:val="1"/>
                <w:szCs w:val="1"/>
                <w:color w:val="auto"/>
              </w:rPr>
            </w:pPr>
          </w:p>
        </w:tc>
      </w:tr>
      <w:tr>
        <w:trPr>
          <w:trHeight w:val="141"/>
        </w:trPr>
        <w:tc>
          <w:tcPr>
            <w:tcW w:w="4260" w:type="dxa"/>
            <w:vAlign w:val="bottom"/>
            <w:shd w:val="clear" w:color="auto" w:fill="CCEEFF"/>
          </w:tcPr>
          <w:p>
            <w:pPr>
              <w:ind w:left="80"/>
              <w:spacing w:after="0"/>
              <w:rPr>
                <w:sz w:val="20"/>
                <w:szCs w:val="20"/>
                <w:color w:val="auto"/>
              </w:rPr>
            </w:pPr>
            <w:r>
              <w:rPr>
                <w:rFonts w:ascii="Arial" w:cs="Arial" w:eastAsia="Arial" w:hAnsi="Arial"/>
                <w:sz w:val="10"/>
                <w:szCs w:val="10"/>
                <w:color w:val="auto"/>
              </w:rPr>
              <w:t>Loan servicing fees to third parties</w:t>
            </w:r>
          </w:p>
        </w:tc>
        <w:tc>
          <w:tcPr>
            <w:tcW w:w="18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0"/>
                <w:szCs w:val="10"/>
                <w:color w:val="auto"/>
              </w:rPr>
              <w:t>2,893</w:t>
            </w:r>
          </w:p>
        </w:tc>
        <w:tc>
          <w:tcPr>
            <w:tcW w:w="10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600" w:type="dxa"/>
            <w:vAlign w:val="bottom"/>
            <w:shd w:val="clear" w:color="auto" w:fill="CCEEFF"/>
          </w:tcPr>
          <w:p>
            <w:pPr>
              <w:jc w:val="right"/>
              <w:ind w:right="9"/>
              <w:spacing w:after="0"/>
              <w:rPr>
                <w:sz w:val="20"/>
                <w:szCs w:val="20"/>
                <w:color w:val="auto"/>
              </w:rPr>
            </w:pPr>
            <w:r>
              <w:rPr>
                <w:rFonts w:ascii="Arial" w:cs="Arial" w:eastAsia="Arial" w:hAnsi="Arial"/>
                <w:sz w:val="10"/>
                <w:szCs w:val="10"/>
                <w:color w:val="auto"/>
              </w:rPr>
              <w:t>3,136</w:t>
            </w:r>
          </w:p>
        </w:tc>
        <w:tc>
          <w:tcPr>
            <w:tcW w:w="100" w:type="dxa"/>
            <w:vAlign w:val="bottom"/>
            <w:shd w:val="clear" w:color="auto" w:fill="CCEEFF"/>
          </w:tcPr>
          <w:p>
            <w:pPr>
              <w:spacing w:after="0"/>
              <w:rPr>
                <w:sz w:val="12"/>
                <w:szCs w:val="12"/>
                <w:color w:val="auto"/>
              </w:rPr>
            </w:pPr>
          </w:p>
        </w:tc>
        <w:tc>
          <w:tcPr>
            <w:tcW w:w="5280" w:type="dxa"/>
            <w:vAlign w:val="bottom"/>
            <w:shd w:val="clear" w:color="auto" w:fill="CCEEFF"/>
          </w:tcPr>
          <w:p>
            <w:pPr>
              <w:spacing w:after="0"/>
              <w:rPr>
                <w:sz w:val="20"/>
                <w:szCs w:val="20"/>
                <w:color w:val="auto"/>
              </w:rPr>
            </w:pPr>
            <w:r>
              <w:rPr>
                <w:rFonts w:ascii="Arial" w:cs="Arial" w:eastAsia="Arial" w:hAnsi="Arial"/>
                <w:sz w:val="10"/>
                <w:szCs w:val="10"/>
                <w:color w:val="auto"/>
              </w:rPr>
              <w:t>February 7, 2018, which prior to the acquisition was a third-party servicer to the Company.</w:t>
            </w:r>
          </w:p>
        </w:tc>
        <w:tc>
          <w:tcPr>
            <w:tcW w:w="0" w:type="dxa"/>
            <w:vAlign w:val="bottom"/>
          </w:tcPr>
          <w:p>
            <w:pPr>
              <w:spacing w:after="0"/>
              <w:rPr>
                <w:sz w:val="1"/>
                <w:szCs w:val="1"/>
                <w:color w:val="auto"/>
              </w:rPr>
            </w:pPr>
          </w:p>
        </w:tc>
      </w:tr>
      <w:tr>
        <w:trPr>
          <w:trHeight w:val="118"/>
        </w:trPr>
        <w:tc>
          <w:tcPr>
            <w:tcW w:w="42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280" w:type="dxa"/>
            <w:vAlign w:val="bottom"/>
          </w:tcPr>
          <w:p>
            <w:pPr>
              <w:spacing w:after="0"/>
              <w:rPr>
                <w:sz w:val="20"/>
                <w:szCs w:val="20"/>
                <w:color w:val="auto"/>
              </w:rPr>
            </w:pPr>
            <w:r>
              <w:rPr>
                <w:rFonts w:ascii="Arial" w:cs="Arial" w:eastAsia="Arial" w:hAnsi="Arial"/>
                <w:sz w:val="10"/>
                <w:szCs w:val="10"/>
                <w:color w:val="auto"/>
                <w:w w:val="92"/>
              </w:rPr>
              <w:t>Other expenses includes expenses necessary for operations, such as postage and distribution, consulting and professional fees,</w:t>
            </w:r>
          </w:p>
        </w:tc>
        <w:tc>
          <w:tcPr>
            <w:tcW w:w="0" w:type="dxa"/>
            <w:vAlign w:val="bottom"/>
          </w:tcPr>
          <w:p>
            <w:pPr>
              <w:spacing w:after="0"/>
              <w:rPr>
                <w:sz w:val="1"/>
                <w:szCs w:val="1"/>
                <w:color w:val="auto"/>
              </w:rPr>
            </w:pPr>
          </w:p>
        </w:tc>
      </w:tr>
      <w:tr>
        <w:trPr>
          <w:trHeight w:val="108"/>
        </w:trPr>
        <w:tc>
          <w:tcPr>
            <w:tcW w:w="4260" w:type="dxa"/>
            <w:vAlign w:val="bottom"/>
          </w:tcPr>
          <w:p>
            <w:pPr>
              <w:spacing w:after="0"/>
              <w:rPr>
                <w:sz w:val="9"/>
                <w:szCs w:val="9"/>
                <w:color w:val="auto"/>
              </w:rPr>
            </w:pPr>
          </w:p>
        </w:tc>
        <w:tc>
          <w:tcPr>
            <w:tcW w:w="180" w:type="dxa"/>
            <w:vAlign w:val="bottom"/>
          </w:tcPr>
          <w:p>
            <w:pPr>
              <w:spacing w:after="0"/>
              <w:rPr>
                <w:sz w:val="9"/>
                <w:szCs w:val="9"/>
                <w:color w:val="auto"/>
              </w:rPr>
            </w:pPr>
          </w:p>
        </w:tc>
        <w:tc>
          <w:tcPr>
            <w:tcW w:w="660" w:type="dxa"/>
            <w:vAlign w:val="bottom"/>
          </w:tcPr>
          <w:p>
            <w:pPr>
              <w:spacing w:after="0"/>
              <w:rPr>
                <w:sz w:val="9"/>
                <w:szCs w:val="9"/>
                <w:color w:val="auto"/>
              </w:rPr>
            </w:pPr>
          </w:p>
        </w:tc>
        <w:tc>
          <w:tcPr>
            <w:tcW w:w="10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0" w:type="dxa"/>
            <w:vAlign w:val="bottom"/>
          </w:tcPr>
          <w:p>
            <w:pPr>
              <w:spacing w:after="0"/>
              <w:rPr>
                <w:sz w:val="9"/>
                <w:szCs w:val="9"/>
                <w:color w:val="auto"/>
              </w:rPr>
            </w:pPr>
          </w:p>
        </w:tc>
        <w:tc>
          <w:tcPr>
            <w:tcW w:w="100" w:type="dxa"/>
            <w:vAlign w:val="bottom"/>
          </w:tcPr>
          <w:p>
            <w:pPr>
              <w:spacing w:after="0"/>
              <w:rPr>
                <w:sz w:val="9"/>
                <w:szCs w:val="9"/>
                <w:color w:val="auto"/>
              </w:rPr>
            </w:pPr>
          </w:p>
        </w:tc>
        <w:tc>
          <w:tcPr>
            <w:tcW w:w="5280" w:type="dxa"/>
            <w:vAlign w:val="bottom"/>
          </w:tcPr>
          <w:p>
            <w:pPr>
              <w:spacing w:after="0" w:line="108" w:lineRule="exact"/>
              <w:rPr>
                <w:sz w:val="20"/>
                <w:szCs w:val="20"/>
                <w:color w:val="auto"/>
              </w:rPr>
            </w:pPr>
            <w:r>
              <w:rPr>
                <w:rFonts w:ascii="Arial" w:cs="Arial" w:eastAsia="Arial" w:hAnsi="Arial"/>
                <w:sz w:val="10"/>
                <w:szCs w:val="10"/>
                <w:color w:val="auto"/>
                <w:w w:val="94"/>
              </w:rPr>
              <w:t>occupancy, communications, and certain information technology-related costs. Increase was due to (i) the acquisition of Great</w:t>
            </w:r>
          </w:p>
        </w:tc>
        <w:tc>
          <w:tcPr>
            <w:tcW w:w="0" w:type="dxa"/>
            <w:vAlign w:val="bottom"/>
          </w:tcPr>
          <w:p>
            <w:pPr>
              <w:spacing w:after="0"/>
              <w:rPr>
                <w:sz w:val="1"/>
                <w:szCs w:val="1"/>
                <w:color w:val="auto"/>
              </w:rPr>
            </w:pPr>
          </w:p>
        </w:tc>
      </w:tr>
      <w:tr>
        <w:trPr>
          <w:trHeight w:val="108"/>
        </w:trPr>
        <w:tc>
          <w:tcPr>
            <w:tcW w:w="4260" w:type="dxa"/>
            <w:vAlign w:val="bottom"/>
          </w:tcPr>
          <w:p>
            <w:pPr>
              <w:spacing w:after="0"/>
              <w:rPr>
                <w:sz w:val="9"/>
                <w:szCs w:val="9"/>
                <w:color w:val="auto"/>
              </w:rPr>
            </w:pPr>
          </w:p>
        </w:tc>
        <w:tc>
          <w:tcPr>
            <w:tcW w:w="180" w:type="dxa"/>
            <w:vAlign w:val="bottom"/>
          </w:tcPr>
          <w:p>
            <w:pPr>
              <w:spacing w:after="0"/>
              <w:rPr>
                <w:sz w:val="9"/>
                <w:szCs w:val="9"/>
                <w:color w:val="auto"/>
              </w:rPr>
            </w:pPr>
          </w:p>
        </w:tc>
        <w:tc>
          <w:tcPr>
            <w:tcW w:w="660" w:type="dxa"/>
            <w:vAlign w:val="bottom"/>
          </w:tcPr>
          <w:p>
            <w:pPr>
              <w:spacing w:after="0"/>
              <w:rPr>
                <w:sz w:val="9"/>
                <w:szCs w:val="9"/>
                <w:color w:val="auto"/>
              </w:rPr>
            </w:pPr>
          </w:p>
        </w:tc>
        <w:tc>
          <w:tcPr>
            <w:tcW w:w="10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0" w:type="dxa"/>
            <w:vAlign w:val="bottom"/>
          </w:tcPr>
          <w:p>
            <w:pPr>
              <w:spacing w:after="0"/>
              <w:rPr>
                <w:sz w:val="9"/>
                <w:szCs w:val="9"/>
                <w:color w:val="auto"/>
              </w:rPr>
            </w:pPr>
          </w:p>
        </w:tc>
        <w:tc>
          <w:tcPr>
            <w:tcW w:w="100" w:type="dxa"/>
            <w:vAlign w:val="bottom"/>
          </w:tcPr>
          <w:p>
            <w:pPr>
              <w:spacing w:after="0"/>
              <w:rPr>
                <w:sz w:val="9"/>
                <w:szCs w:val="9"/>
                <w:color w:val="auto"/>
              </w:rPr>
            </w:pPr>
          </w:p>
        </w:tc>
        <w:tc>
          <w:tcPr>
            <w:tcW w:w="5280" w:type="dxa"/>
            <w:vAlign w:val="bottom"/>
          </w:tcPr>
          <w:p>
            <w:pPr>
              <w:spacing w:after="0" w:line="108" w:lineRule="exact"/>
              <w:rPr>
                <w:sz w:val="20"/>
                <w:szCs w:val="20"/>
                <w:color w:val="auto"/>
              </w:rPr>
            </w:pPr>
            <w:r>
              <w:rPr>
                <w:rFonts w:ascii="Arial" w:cs="Arial" w:eastAsia="Arial" w:hAnsi="Arial"/>
                <w:sz w:val="10"/>
                <w:szCs w:val="10"/>
                <w:color w:val="auto"/>
                <w:w w:val="95"/>
              </w:rPr>
              <w:t>Lakes on February 7, 2018, (ii) the acquisition of TMS on November 20, 2018, (iii) additional costs to support the increase in</w:t>
            </w:r>
          </w:p>
        </w:tc>
        <w:tc>
          <w:tcPr>
            <w:tcW w:w="0" w:type="dxa"/>
            <w:vAlign w:val="bottom"/>
          </w:tcPr>
          <w:p>
            <w:pPr>
              <w:spacing w:after="0"/>
              <w:rPr>
                <w:sz w:val="1"/>
                <w:szCs w:val="1"/>
                <w:color w:val="auto"/>
              </w:rPr>
            </w:pPr>
          </w:p>
        </w:tc>
      </w:tr>
      <w:tr>
        <w:trPr>
          <w:trHeight w:val="108"/>
        </w:trPr>
        <w:tc>
          <w:tcPr>
            <w:tcW w:w="4260" w:type="dxa"/>
            <w:vAlign w:val="bottom"/>
          </w:tcPr>
          <w:p>
            <w:pPr>
              <w:spacing w:after="0"/>
              <w:rPr>
                <w:sz w:val="9"/>
                <w:szCs w:val="9"/>
                <w:color w:val="auto"/>
              </w:rPr>
            </w:pPr>
          </w:p>
        </w:tc>
        <w:tc>
          <w:tcPr>
            <w:tcW w:w="180" w:type="dxa"/>
            <w:vAlign w:val="bottom"/>
          </w:tcPr>
          <w:p>
            <w:pPr>
              <w:spacing w:after="0"/>
              <w:rPr>
                <w:sz w:val="9"/>
                <w:szCs w:val="9"/>
                <w:color w:val="auto"/>
              </w:rPr>
            </w:pPr>
          </w:p>
        </w:tc>
        <w:tc>
          <w:tcPr>
            <w:tcW w:w="660" w:type="dxa"/>
            <w:vAlign w:val="bottom"/>
          </w:tcPr>
          <w:p>
            <w:pPr>
              <w:spacing w:after="0"/>
              <w:rPr>
                <w:sz w:val="9"/>
                <w:szCs w:val="9"/>
                <w:color w:val="auto"/>
              </w:rPr>
            </w:pPr>
          </w:p>
        </w:tc>
        <w:tc>
          <w:tcPr>
            <w:tcW w:w="10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0" w:type="dxa"/>
            <w:vAlign w:val="bottom"/>
          </w:tcPr>
          <w:p>
            <w:pPr>
              <w:spacing w:after="0"/>
              <w:rPr>
                <w:sz w:val="9"/>
                <w:szCs w:val="9"/>
                <w:color w:val="auto"/>
              </w:rPr>
            </w:pPr>
          </w:p>
        </w:tc>
        <w:tc>
          <w:tcPr>
            <w:tcW w:w="100" w:type="dxa"/>
            <w:vAlign w:val="bottom"/>
          </w:tcPr>
          <w:p>
            <w:pPr>
              <w:spacing w:after="0"/>
              <w:rPr>
                <w:sz w:val="9"/>
                <w:szCs w:val="9"/>
                <w:color w:val="auto"/>
              </w:rPr>
            </w:pPr>
          </w:p>
        </w:tc>
        <w:tc>
          <w:tcPr>
            <w:tcW w:w="5280" w:type="dxa"/>
            <w:vAlign w:val="bottom"/>
          </w:tcPr>
          <w:p>
            <w:pPr>
              <w:spacing w:after="0" w:line="108" w:lineRule="exact"/>
              <w:rPr>
                <w:sz w:val="20"/>
                <w:szCs w:val="20"/>
                <w:color w:val="auto"/>
              </w:rPr>
            </w:pPr>
            <w:r>
              <w:rPr>
                <w:rFonts w:ascii="Arial" w:cs="Arial" w:eastAsia="Arial" w:hAnsi="Arial"/>
                <w:sz w:val="10"/>
                <w:szCs w:val="10"/>
                <w:color w:val="auto"/>
                <w:w w:val="95"/>
              </w:rPr>
              <w:t>payment plans and campus commerce activity, and (iv) an increase in operating expenses at ALLO to support customer and</w:t>
            </w:r>
          </w:p>
        </w:tc>
        <w:tc>
          <w:tcPr>
            <w:tcW w:w="0" w:type="dxa"/>
            <w:vAlign w:val="bottom"/>
          </w:tcPr>
          <w:p>
            <w:pPr>
              <w:spacing w:after="0"/>
              <w:rPr>
                <w:sz w:val="1"/>
                <w:szCs w:val="1"/>
                <w:color w:val="auto"/>
              </w:rPr>
            </w:pPr>
          </w:p>
        </w:tc>
      </w:tr>
      <w:tr>
        <w:trPr>
          <w:trHeight w:val="134"/>
        </w:trPr>
        <w:tc>
          <w:tcPr>
            <w:tcW w:w="4260" w:type="dxa"/>
            <w:vAlign w:val="bottom"/>
            <w:tcBorders>
              <w:bottom w:val="single" w:sz="8" w:color="CCEEFF"/>
            </w:tcBorders>
          </w:tcPr>
          <w:p>
            <w:pPr>
              <w:ind w:left="80"/>
              <w:spacing w:after="0"/>
              <w:rPr>
                <w:sz w:val="20"/>
                <w:szCs w:val="20"/>
                <w:color w:val="auto"/>
              </w:rPr>
            </w:pPr>
            <w:r>
              <w:rPr>
                <w:rFonts w:ascii="Arial" w:cs="Arial" w:eastAsia="Arial" w:hAnsi="Arial"/>
                <w:sz w:val="10"/>
                <w:szCs w:val="10"/>
                <w:color w:val="auto"/>
              </w:rPr>
              <w:t>Other expenses</w:t>
            </w:r>
          </w:p>
        </w:tc>
        <w:tc>
          <w:tcPr>
            <w:tcW w:w="180" w:type="dxa"/>
            <w:vAlign w:val="bottom"/>
            <w:tcBorders>
              <w:bottom w:val="single" w:sz="8" w:color="auto"/>
            </w:tcBorders>
          </w:tcPr>
          <w:p>
            <w:pPr>
              <w:spacing w:after="0"/>
              <w:rPr>
                <w:sz w:val="11"/>
                <w:szCs w:val="11"/>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40,923</w:t>
            </w:r>
          </w:p>
        </w:tc>
        <w:tc>
          <w:tcPr>
            <w:tcW w:w="100" w:type="dxa"/>
            <w:vAlign w:val="bottom"/>
            <w:tcBorders>
              <w:bottom w:val="single" w:sz="8" w:color="CCEEFF"/>
            </w:tcBorders>
          </w:tcPr>
          <w:p>
            <w:pPr>
              <w:spacing w:after="0"/>
              <w:rPr>
                <w:sz w:val="11"/>
                <w:szCs w:val="11"/>
                <w:color w:val="auto"/>
              </w:rPr>
            </w:pPr>
          </w:p>
        </w:tc>
        <w:tc>
          <w:tcPr>
            <w:tcW w:w="260" w:type="dxa"/>
            <w:vAlign w:val="bottom"/>
            <w:tcBorders>
              <w:bottom w:val="single" w:sz="8" w:color="auto"/>
            </w:tcBorders>
          </w:tcPr>
          <w:p>
            <w:pPr>
              <w:spacing w:after="0"/>
              <w:rPr>
                <w:sz w:val="11"/>
                <w:szCs w:val="11"/>
                <w:color w:val="auto"/>
              </w:rPr>
            </w:pPr>
          </w:p>
        </w:tc>
        <w:tc>
          <w:tcPr>
            <w:tcW w:w="600" w:type="dxa"/>
            <w:vAlign w:val="bottom"/>
            <w:tcBorders>
              <w:bottom w:val="single" w:sz="8" w:color="auto"/>
            </w:tcBorders>
          </w:tcPr>
          <w:p>
            <w:pPr>
              <w:jc w:val="right"/>
              <w:ind w:right="9"/>
              <w:spacing w:after="0"/>
              <w:rPr>
                <w:sz w:val="20"/>
                <w:szCs w:val="20"/>
                <w:color w:val="auto"/>
              </w:rPr>
            </w:pPr>
            <w:r>
              <w:rPr>
                <w:rFonts w:ascii="Arial" w:cs="Arial" w:eastAsia="Arial" w:hAnsi="Arial"/>
                <w:sz w:val="10"/>
                <w:szCs w:val="10"/>
                <w:color w:val="auto"/>
              </w:rPr>
              <w:t>33,417</w:t>
            </w:r>
          </w:p>
        </w:tc>
        <w:tc>
          <w:tcPr>
            <w:tcW w:w="100" w:type="dxa"/>
            <w:vAlign w:val="bottom"/>
            <w:tcBorders>
              <w:bottom w:val="single" w:sz="8" w:color="CCEEFF"/>
            </w:tcBorders>
          </w:tcPr>
          <w:p>
            <w:pPr>
              <w:spacing w:after="0"/>
              <w:rPr>
                <w:sz w:val="11"/>
                <w:szCs w:val="11"/>
                <w:color w:val="auto"/>
              </w:rPr>
            </w:pPr>
          </w:p>
        </w:tc>
        <w:tc>
          <w:tcPr>
            <w:tcW w:w="5280" w:type="dxa"/>
            <w:vAlign w:val="bottom"/>
            <w:tcBorders>
              <w:bottom w:val="single" w:sz="8" w:color="CCEEFF"/>
            </w:tcBorders>
          </w:tcPr>
          <w:p>
            <w:pPr>
              <w:spacing w:after="0"/>
              <w:rPr>
                <w:sz w:val="20"/>
                <w:szCs w:val="20"/>
                <w:color w:val="auto"/>
              </w:rPr>
            </w:pPr>
            <w:r>
              <w:rPr>
                <w:rFonts w:ascii="Arial" w:cs="Arial" w:eastAsia="Arial" w:hAnsi="Arial"/>
                <w:sz w:val="10"/>
                <w:szCs w:val="10"/>
                <w:color w:val="auto"/>
              </w:rPr>
              <w:t>network expansion. See each individual operating segment results of operations discussion for additional information.</w:t>
            </w:r>
          </w:p>
        </w:tc>
        <w:tc>
          <w:tcPr>
            <w:tcW w:w="0" w:type="dxa"/>
            <w:vAlign w:val="bottom"/>
          </w:tcPr>
          <w:p>
            <w:pPr>
              <w:spacing w:after="0"/>
              <w:rPr>
                <w:sz w:val="1"/>
                <w:szCs w:val="1"/>
                <w:color w:val="auto"/>
              </w:rPr>
            </w:pPr>
          </w:p>
        </w:tc>
      </w:tr>
      <w:tr>
        <w:trPr>
          <w:trHeight w:val="142"/>
        </w:trPr>
        <w:tc>
          <w:tcPr>
            <w:tcW w:w="4260" w:type="dxa"/>
            <w:vAlign w:val="bottom"/>
            <w:shd w:val="clear" w:color="auto" w:fill="CCEEFF"/>
          </w:tcPr>
          <w:p>
            <w:pPr>
              <w:ind w:left="160"/>
              <w:spacing w:after="0"/>
              <w:rPr>
                <w:sz w:val="20"/>
                <w:szCs w:val="20"/>
                <w:color w:val="auto"/>
              </w:rPr>
            </w:pPr>
            <w:r>
              <w:rPr>
                <w:rFonts w:ascii="Arial" w:cs="Arial" w:eastAsia="Arial" w:hAnsi="Arial"/>
                <w:sz w:val="10"/>
                <w:szCs w:val="10"/>
                <w:color w:val="auto"/>
              </w:rPr>
              <w:t>Total operating expenses</w:t>
            </w:r>
          </w:p>
        </w:tc>
        <w:tc>
          <w:tcPr>
            <w:tcW w:w="180" w:type="dxa"/>
            <w:vAlign w:val="bottom"/>
            <w:tcBorders>
              <w:bottom w:val="single" w:sz="8" w:color="auto"/>
            </w:tcBorders>
            <w:shd w:val="clear" w:color="auto" w:fill="CCEEFF"/>
          </w:tcPr>
          <w:p>
            <w:pPr>
              <w:spacing w:after="0"/>
              <w:rPr>
                <w:sz w:val="12"/>
                <w:szCs w:val="12"/>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179,088</w:t>
            </w:r>
          </w:p>
        </w:tc>
        <w:tc>
          <w:tcPr>
            <w:tcW w:w="100" w:type="dxa"/>
            <w:vAlign w:val="bottom"/>
            <w:shd w:val="clear" w:color="auto" w:fill="CCEEFF"/>
          </w:tcPr>
          <w:p>
            <w:pPr>
              <w:spacing w:after="0"/>
              <w:rPr>
                <w:sz w:val="12"/>
                <w:szCs w:val="12"/>
                <w:color w:val="auto"/>
              </w:rPr>
            </w:pPr>
          </w:p>
        </w:tc>
        <w:tc>
          <w:tcPr>
            <w:tcW w:w="260" w:type="dxa"/>
            <w:vAlign w:val="bottom"/>
            <w:tcBorders>
              <w:bottom w:val="single" w:sz="8" w:color="auto"/>
            </w:tcBorders>
            <w:shd w:val="clear" w:color="auto" w:fill="CCEEFF"/>
          </w:tcPr>
          <w:p>
            <w:pPr>
              <w:spacing w:after="0"/>
              <w:rPr>
                <w:sz w:val="12"/>
                <w:szCs w:val="12"/>
                <w:color w:val="auto"/>
              </w:rPr>
            </w:pPr>
          </w:p>
        </w:tc>
        <w:tc>
          <w:tcPr>
            <w:tcW w:w="60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0"/>
                <w:szCs w:val="10"/>
                <w:color w:val="auto"/>
              </w:rPr>
              <w:t>151,653</w:t>
            </w:r>
          </w:p>
        </w:tc>
        <w:tc>
          <w:tcPr>
            <w:tcW w:w="100" w:type="dxa"/>
            <w:vAlign w:val="bottom"/>
            <w:shd w:val="clear" w:color="auto" w:fill="CCEEFF"/>
          </w:tcPr>
          <w:p>
            <w:pPr>
              <w:spacing w:after="0"/>
              <w:rPr>
                <w:sz w:val="12"/>
                <w:szCs w:val="12"/>
                <w:color w:val="auto"/>
              </w:rPr>
            </w:pPr>
          </w:p>
        </w:tc>
        <w:tc>
          <w:tcPr>
            <w:tcW w:w="52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4260" w:type="dxa"/>
            <w:vAlign w:val="bottom"/>
          </w:tcPr>
          <w:p>
            <w:pPr>
              <w:ind w:left="260"/>
              <w:spacing w:after="0"/>
              <w:rPr>
                <w:sz w:val="20"/>
                <w:szCs w:val="20"/>
                <w:color w:val="auto"/>
              </w:rPr>
            </w:pPr>
            <w:r>
              <w:rPr>
                <w:rFonts w:ascii="Arial" w:cs="Arial" w:eastAsia="Arial" w:hAnsi="Arial"/>
                <w:sz w:val="10"/>
                <w:szCs w:val="10"/>
                <w:color w:val="auto"/>
              </w:rPr>
              <w:t>Income before income taxes</w:t>
            </w:r>
          </w:p>
        </w:tc>
        <w:tc>
          <w:tcPr>
            <w:tcW w:w="180" w:type="dxa"/>
            <w:vAlign w:val="bottom"/>
          </w:tcPr>
          <w:p>
            <w:pPr>
              <w:spacing w:after="0"/>
              <w:rPr>
                <w:sz w:val="12"/>
                <w:szCs w:val="12"/>
                <w:color w:val="auto"/>
              </w:rPr>
            </w:pPr>
          </w:p>
        </w:tc>
        <w:tc>
          <w:tcPr>
            <w:tcW w:w="660" w:type="dxa"/>
            <w:vAlign w:val="bottom"/>
          </w:tcPr>
          <w:p>
            <w:pPr>
              <w:jc w:val="right"/>
              <w:spacing w:after="0"/>
              <w:rPr>
                <w:sz w:val="20"/>
                <w:szCs w:val="20"/>
                <w:color w:val="auto"/>
              </w:rPr>
            </w:pPr>
            <w:r>
              <w:rPr>
                <w:rFonts w:ascii="Arial" w:cs="Arial" w:eastAsia="Arial" w:hAnsi="Arial"/>
                <w:sz w:val="10"/>
                <w:szCs w:val="10"/>
                <w:color w:val="auto"/>
              </w:rPr>
              <w:t>53,038</w:t>
            </w: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00" w:type="dxa"/>
            <w:vAlign w:val="bottom"/>
          </w:tcPr>
          <w:p>
            <w:pPr>
              <w:jc w:val="right"/>
              <w:ind w:right="9"/>
              <w:spacing w:after="0"/>
              <w:rPr>
                <w:sz w:val="20"/>
                <w:szCs w:val="20"/>
                <w:color w:val="auto"/>
              </w:rPr>
            </w:pPr>
            <w:r>
              <w:rPr>
                <w:rFonts w:ascii="Arial" w:cs="Arial" w:eastAsia="Arial" w:hAnsi="Arial"/>
                <w:sz w:val="10"/>
                <w:szCs w:val="10"/>
                <w:color w:val="auto"/>
              </w:rPr>
              <w:t>149,161</w:t>
            </w:r>
          </w:p>
        </w:tc>
        <w:tc>
          <w:tcPr>
            <w:tcW w:w="100" w:type="dxa"/>
            <w:vAlign w:val="bottom"/>
          </w:tcPr>
          <w:p>
            <w:pPr>
              <w:spacing w:after="0"/>
              <w:rPr>
                <w:sz w:val="12"/>
                <w:szCs w:val="12"/>
                <w:color w:val="auto"/>
              </w:rPr>
            </w:pPr>
          </w:p>
        </w:tc>
        <w:tc>
          <w:tcPr>
            <w:tcW w:w="52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4"/>
        </w:trPr>
        <w:tc>
          <w:tcPr>
            <w:tcW w:w="426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6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6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280" w:type="dxa"/>
            <w:vAlign w:val="bottom"/>
            <w:shd w:val="clear" w:color="auto" w:fill="CCEEFF"/>
          </w:tcPr>
          <w:p>
            <w:pPr>
              <w:spacing w:after="0"/>
              <w:rPr>
                <w:sz w:val="20"/>
                <w:szCs w:val="20"/>
                <w:color w:val="auto"/>
              </w:rPr>
            </w:pPr>
            <w:r>
              <w:rPr>
                <w:rFonts w:ascii="Arial" w:cs="Arial" w:eastAsia="Arial" w:hAnsi="Arial"/>
                <w:sz w:val="10"/>
                <w:szCs w:val="10"/>
                <w:color w:val="auto"/>
                <w:w w:val="90"/>
              </w:rPr>
              <w:t>The effective tax rate was 21.5% and 24.0% for the three months ended March 31, 2019 and 2018, respectively. Decrease was due</w:t>
            </w:r>
          </w:p>
        </w:tc>
        <w:tc>
          <w:tcPr>
            <w:tcW w:w="0" w:type="dxa"/>
            <w:vAlign w:val="bottom"/>
          </w:tcPr>
          <w:p>
            <w:pPr>
              <w:spacing w:after="0"/>
              <w:rPr>
                <w:sz w:val="1"/>
                <w:szCs w:val="1"/>
                <w:color w:val="auto"/>
              </w:rPr>
            </w:pPr>
          </w:p>
        </w:tc>
      </w:tr>
      <w:tr>
        <w:trPr>
          <w:trHeight w:val="108"/>
        </w:trPr>
        <w:tc>
          <w:tcPr>
            <w:tcW w:w="4260" w:type="dxa"/>
            <w:vAlign w:val="bottom"/>
            <w:shd w:val="clear" w:color="auto" w:fill="CCEEFF"/>
          </w:tcPr>
          <w:p>
            <w:pPr>
              <w:spacing w:after="0"/>
              <w:rPr>
                <w:sz w:val="9"/>
                <w:szCs w:val="9"/>
                <w:color w:val="auto"/>
              </w:rPr>
            </w:pPr>
          </w:p>
        </w:tc>
        <w:tc>
          <w:tcPr>
            <w:tcW w:w="180" w:type="dxa"/>
            <w:vAlign w:val="bottom"/>
            <w:shd w:val="clear" w:color="auto" w:fill="CCEEFF"/>
          </w:tcPr>
          <w:p>
            <w:pPr>
              <w:spacing w:after="0"/>
              <w:rPr>
                <w:sz w:val="9"/>
                <w:szCs w:val="9"/>
                <w:color w:val="auto"/>
              </w:rPr>
            </w:pPr>
          </w:p>
        </w:tc>
        <w:tc>
          <w:tcPr>
            <w:tcW w:w="66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260" w:type="dxa"/>
            <w:vAlign w:val="bottom"/>
            <w:shd w:val="clear" w:color="auto" w:fill="CCEEFF"/>
          </w:tcPr>
          <w:p>
            <w:pPr>
              <w:spacing w:after="0"/>
              <w:rPr>
                <w:sz w:val="9"/>
                <w:szCs w:val="9"/>
                <w:color w:val="auto"/>
              </w:rPr>
            </w:pPr>
          </w:p>
        </w:tc>
        <w:tc>
          <w:tcPr>
            <w:tcW w:w="60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5280" w:type="dxa"/>
            <w:vAlign w:val="bottom"/>
            <w:shd w:val="clear" w:color="auto" w:fill="CCEEFF"/>
          </w:tcPr>
          <w:p>
            <w:pPr>
              <w:spacing w:after="0" w:line="108" w:lineRule="exact"/>
              <w:rPr>
                <w:sz w:val="20"/>
                <w:szCs w:val="20"/>
                <w:color w:val="auto"/>
              </w:rPr>
            </w:pPr>
            <w:r>
              <w:rPr>
                <w:rFonts w:ascii="Arial" w:cs="Arial" w:eastAsia="Arial" w:hAnsi="Arial"/>
                <w:sz w:val="10"/>
                <w:szCs w:val="10"/>
                <w:color w:val="auto"/>
                <w:w w:val="92"/>
              </w:rPr>
              <w:t>to the utilization of certain federal and state tax credits in 2019. The Company currently expects its effective tax rate for 2019 will</w:t>
            </w:r>
          </w:p>
        </w:tc>
        <w:tc>
          <w:tcPr>
            <w:tcW w:w="0" w:type="dxa"/>
            <w:vAlign w:val="bottom"/>
          </w:tcPr>
          <w:p>
            <w:pPr>
              <w:spacing w:after="0"/>
              <w:rPr>
                <w:sz w:val="1"/>
                <w:szCs w:val="1"/>
                <w:color w:val="auto"/>
              </w:rPr>
            </w:pPr>
          </w:p>
        </w:tc>
      </w:tr>
      <w:tr>
        <w:trPr>
          <w:trHeight w:val="134"/>
        </w:trPr>
        <w:tc>
          <w:tcPr>
            <w:tcW w:w="4260" w:type="dxa"/>
            <w:vAlign w:val="bottom"/>
            <w:shd w:val="clear" w:color="auto" w:fill="CCEEFF"/>
          </w:tcPr>
          <w:p>
            <w:pPr>
              <w:ind w:left="80"/>
              <w:spacing w:after="0"/>
              <w:rPr>
                <w:sz w:val="20"/>
                <w:szCs w:val="20"/>
                <w:color w:val="auto"/>
              </w:rPr>
            </w:pPr>
            <w:r>
              <w:rPr>
                <w:rFonts w:ascii="Arial" w:cs="Arial" w:eastAsia="Arial" w:hAnsi="Arial"/>
                <w:sz w:val="10"/>
                <w:szCs w:val="10"/>
                <w:color w:val="auto"/>
              </w:rPr>
              <w:t>Income tax expense</w:t>
            </w:r>
          </w:p>
        </w:tc>
        <w:tc>
          <w:tcPr>
            <w:tcW w:w="180" w:type="dxa"/>
            <w:vAlign w:val="bottom"/>
            <w:tcBorders>
              <w:bottom w:val="single" w:sz="8" w:color="auto"/>
            </w:tcBorders>
            <w:shd w:val="clear" w:color="auto" w:fill="CCEEFF"/>
          </w:tcPr>
          <w:p>
            <w:pPr>
              <w:spacing w:after="0"/>
              <w:rPr>
                <w:sz w:val="11"/>
                <w:szCs w:val="11"/>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11,391</w:t>
            </w:r>
          </w:p>
        </w:tc>
        <w:tc>
          <w:tcPr>
            <w:tcW w:w="100" w:type="dxa"/>
            <w:vAlign w:val="bottom"/>
            <w:shd w:val="clear" w:color="auto" w:fill="CCEEFF"/>
          </w:tcPr>
          <w:p>
            <w:pPr>
              <w:spacing w:after="0"/>
              <w:rPr>
                <w:sz w:val="11"/>
                <w:szCs w:val="11"/>
                <w:color w:val="auto"/>
              </w:rPr>
            </w:pPr>
          </w:p>
        </w:tc>
        <w:tc>
          <w:tcPr>
            <w:tcW w:w="260" w:type="dxa"/>
            <w:vAlign w:val="bottom"/>
            <w:tcBorders>
              <w:bottom w:val="single" w:sz="8" w:color="auto"/>
            </w:tcBorders>
            <w:shd w:val="clear" w:color="auto" w:fill="CCEEFF"/>
          </w:tcPr>
          <w:p>
            <w:pPr>
              <w:spacing w:after="0"/>
              <w:rPr>
                <w:sz w:val="11"/>
                <w:szCs w:val="11"/>
                <w:color w:val="auto"/>
              </w:rPr>
            </w:pPr>
          </w:p>
        </w:tc>
        <w:tc>
          <w:tcPr>
            <w:tcW w:w="60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0"/>
                <w:szCs w:val="10"/>
                <w:color w:val="auto"/>
              </w:rPr>
              <w:t>35,976</w:t>
            </w:r>
          </w:p>
        </w:tc>
        <w:tc>
          <w:tcPr>
            <w:tcW w:w="100" w:type="dxa"/>
            <w:vAlign w:val="bottom"/>
            <w:shd w:val="clear" w:color="auto" w:fill="CCEEFF"/>
          </w:tcPr>
          <w:p>
            <w:pPr>
              <w:spacing w:after="0"/>
              <w:rPr>
                <w:sz w:val="11"/>
                <w:szCs w:val="11"/>
                <w:color w:val="auto"/>
              </w:rPr>
            </w:pPr>
          </w:p>
        </w:tc>
        <w:tc>
          <w:tcPr>
            <w:tcW w:w="5280" w:type="dxa"/>
            <w:vAlign w:val="bottom"/>
            <w:shd w:val="clear" w:color="auto" w:fill="CCEEFF"/>
          </w:tcPr>
          <w:p>
            <w:pPr>
              <w:spacing w:after="0"/>
              <w:rPr>
                <w:sz w:val="20"/>
                <w:szCs w:val="20"/>
                <w:color w:val="auto"/>
              </w:rPr>
            </w:pPr>
            <w:r>
              <w:rPr>
                <w:rFonts w:ascii="Arial" w:cs="Arial" w:eastAsia="Arial" w:hAnsi="Arial"/>
                <w:sz w:val="10"/>
                <w:szCs w:val="10"/>
                <w:color w:val="auto"/>
              </w:rPr>
              <w:t>range between 21 and 23 percent.</w:t>
            </w:r>
          </w:p>
        </w:tc>
        <w:tc>
          <w:tcPr>
            <w:tcW w:w="0" w:type="dxa"/>
            <w:vAlign w:val="bottom"/>
          </w:tcPr>
          <w:p>
            <w:pPr>
              <w:spacing w:after="0"/>
              <w:rPr>
                <w:sz w:val="1"/>
                <w:szCs w:val="1"/>
                <w:color w:val="auto"/>
              </w:rPr>
            </w:pPr>
          </w:p>
        </w:tc>
      </w:tr>
      <w:tr>
        <w:trPr>
          <w:trHeight w:val="142"/>
        </w:trPr>
        <w:tc>
          <w:tcPr>
            <w:tcW w:w="4260" w:type="dxa"/>
            <w:vAlign w:val="bottom"/>
          </w:tcPr>
          <w:p>
            <w:pPr>
              <w:ind w:left="260"/>
              <w:spacing w:after="0"/>
              <w:rPr>
                <w:sz w:val="20"/>
                <w:szCs w:val="20"/>
                <w:color w:val="auto"/>
              </w:rPr>
            </w:pPr>
            <w:r>
              <w:rPr>
                <w:rFonts w:ascii="Arial" w:cs="Arial" w:eastAsia="Arial" w:hAnsi="Arial"/>
                <w:sz w:val="10"/>
                <w:szCs w:val="10"/>
                <w:color w:val="auto"/>
              </w:rPr>
              <w:t>Net income</w:t>
            </w:r>
          </w:p>
        </w:tc>
        <w:tc>
          <w:tcPr>
            <w:tcW w:w="180" w:type="dxa"/>
            <w:vAlign w:val="bottom"/>
          </w:tcPr>
          <w:p>
            <w:pPr>
              <w:spacing w:after="0"/>
              <w:rPr>
                <w:sz w:val="12"/>
                <w:szCs w:val="12"/>
                <w:color w:val="auto"/>
              </w:rPr>
            </w:pPr>
          </w:p>
        </w:tc>
        <w:tc>
          <w:tcPr>
            <w:tcW w:w="660" w:type="dxa"/>
            <w:vAlign w:val="bottom"/>
          </w:tcPr>
          <w:p>
            <w:pPr>
              <w:jc w:val="right"/>
              <w:spacing w:after="0"/>
              <w:rPr>
                <w:sz w:val="20"/>
                <w:szCs w:val="20"/>
                <w:color w:val="auto"/>
              </w:rPr>
            </w:pPr>
            <w:r>
              <w:rPr>
                <w:rFonts w:ascii="Arial" w:cs="Arial" w:eastAsia="Arial" w:hAnsi="Arial"/>
                <w:sz w:val="10"/>
                <w:szCs w:val="10"/>
                <w:color w:val="auto"/>
              </w:rPr>
              <w:t>41,647</w:t>
            </w: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00" w:type="dxa"/>
            <w:vAlign w:val="bottom"/>
          </w:tcPr>
          <w:p>
            <w:pPr>
              <w:jc w:val="right"/>
              <w:ind w:right="9"/>
              <w:spacing w:after="0"/>
              <w:rPr>
                <w:sz w:val="20"/>
                <w:szCs w:val="20"/>
                <w:color w:val="auto"/>
              </w:rPr>
            </w:pPr>
            <w:r>
              <w:rPr>
                <w:rFonts w:ascii="Arial" w:cs="Arial" w:eastAsia="Arial" w:hAnsi="Arial"/>
                <w:sz w:val="10"/>
                <w:szCs w:val="10"/>
                <w:color w:val="auto"/>
              </w:rPr>
              <w:t>113,185</w:t>
            </w:r>
          </w:p>
        </w:tc>
        <w:tc>
          <w:tcPr>
            <w:tcW w:w="100" w:type="dxa"/>
            <w:vAlign w:val="bottom"/>
          </w:tcPr>
          <w:p>
            <w:pPr>
              <w:spacing w:after="0"/>
              <w:rPr>
                <w:sz w:val="12"/>
                <w:szCs w:val="12"/>
                <w:color w:val="auto"/>
              </w:rPr>
            </w:pPr>
          </w:p>
        </w:tc>
        <w:tc>
          <w:tcPr>
            <w:tcW w:w="52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4"/>
        </w:trPr>
        <w:tc>
          <w:tcPr>
            <w:tcW w:w="426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6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6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280" w:type="dxa"/>
            <w:vAlign w:val="bottom"/>
            <w:shd w:val="clear" w:color="auto" w:fill="CCEEFF"/>
          </w:tcPr>
          <w:p>
            <w:pPr>
              <w:spacing w:after="0"/>
              <w:rPr>
                <w:sz w:val="20"/>
                <w:szCs w:val="20"/>
                <w:color w:val="auto"/>
              </w:rPr>
            </w:pPr>
            <w:r>
              <w:rPr>
                <w:rFonts w:ascii="Arial" w:cs="Arial" w:eastAsia="Arial" w:hAnsi="Arial"/>
                <w:sz w:val="10"/>
                <w:szCs w:val="10"/>
                <w:color w:val="auto"/>
                <w:w w:val="98"/>
              </w:rPr>
              <w:t>The 2018 amount primarily represented the net loss of the GreatNet joint venture attributable to Great Lakes, prior to the</w:t>
            </w:r>
          </w:p>
        </w:tc>
        <w:tc>
          <w:tcPr>
            <w:tcW w:w="0" w:type="dxa"/>
            <w:vAlign w:val="bottom"/>
          </w:tcPr>
          <w:p>
            <w:pPr>
              <w:spacing w:after="0"/>
              <w:rPr>
                <w:sz w:val="1"/>
                <w:szCs w:val="1"/>
                <w:color w:val="auto"/>
              </w:rPr>
            </w:pPr>
          </w:p>
        </w:tc>
      </w:tr>
      <w:tr>
        <w:trPr>
          <w:trHeight w:val="134"/>
        </w:trPr>
        <w:tc>
          <w:tcPr>
            <w:tcW w:w="4260" w:type="dxa"/>
            <w:vAlign w:val="bottom"/>
            <w:shd w:val="clear" w:color="auto" w:fill="CCEEFF"/>
          </w:tcPr>
          <w:p>
            <w:pPr>
              <w:ind w:left="420"/>
              <w:spacing w:after="0"/>
              <w:rPr>
                <w:sz w:val="20"/>
                <w:szCs w:val="20"/>
                <w:color w:val="auto"/>
              </w:rPr>
            </w:pPr>
            <w:r>
              <w:rPr>
                <w:rFonts w:ascii="Arial" w:cs="Arial" w:eastAsia="Arial" w:hAnsi="Arial"/>
                <w:sz w:val="10"/>
                <w:szCs w:val="10"/>
                <w:color w:val="auto"/>
              </w:rPr>
              <w:t>Net (income) loss attributable to noncontrolling interests</w:t>
            </w:r>
          </w:p>
        </w:tc>
        <w:tc>
          <w:tcPr>
            <w:tcW w:w="180" w:type="dxa"/>
            <w:vAlign w:val="bottom"/>
            <w:tcBorders>
              <w:bottom w:val="single" w:sz="8" w:color="auto"/>
            </w:tcBorders>
            <w:shd w:val="clear" w:color="auto" w:fill="CCEEFF"/>
          </w:tcPr>
          <w:p>
            <w:pPr>
              <w:spacing w:after="0"/>
              <w:rPr>
                <w:sz w:val="11"/>
                <w:szCs w:val="11"/>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rPr>
              <w:t>(56)</w:t>
            </w:r>
          </w:p>
        </w:tc>
        <w:tc>
          <w:tcPr>
            <w:tcW w:w="100" w:type="dxa"/>
            <w:vAlign w:val="bottom"/>
            <w:shd w:val="clear" w:color="auto" w:fill="CCEEFF"/>
          </w:tcPr>
          <w:p>
            <w:pPr>
              <w:spacing w:after="0"/>
              <w:rPr>
                <w:sz w:val="11"/>
                <w:szCs w:val="11"/>
                <w:color w:val="auto"/>
              </w:rPr>
            </w:pPr>
          </w:p>
        </w:tc>
        <w:tc>
          <w:tcPr>
            <w:tcW w:w="260" w:type="dxa"/>
            <w:vAlign w:val="bottom"/>
            <w:tcBorders>
              <w:bottom w:val="single" w:sz="8" w:color="auto"/>
            </w:tcBorders>
            <w:shd w:val="clear" w:color="auto" w:fill="CCEEFF"/>
          </w:tcPr>
          <w:p>
            <w:pPr>
              <w:spacing w:after="0"/>
              <w:rPr>
                <w:sz w:val="11"/>
                <w:szCs w:val="11"/>
                <w:color w:val="auto"/>
              </w:rPr>
            </w:pPr>
          </w:p>
        </w:tc>
        <w:tc>
          <w:tcPr>
            <w:tcW w:w="60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0"/>
                <w:szCs w:val="10"/>
                <w:color w:val="auto"/>
              </w:rPr>
              <w:t>740</w:t>
            </w:r>
          </w:p>
        </w:tc>
        <w:tc>
          <w:tcPr>
            <w:tcW w:w="100" w:type="dxa"/>
            <w:vAlign w:val="bottom"/>
            <w:shd w:val="clear" w:color="auto" w:fill="CCEEFF"/>
          </w:tcPr>
          <w:p>
            <w:pPr>
              <w:spacing w:after="0"/>
              <w:rPr>
                <w:sz w:val="11"/>
                <w:szCs w:val="11"/>
                <w:color w:val="auto"/>
              </w:rPr>
            </w:pPr>
          </w:p>
        </w:tc>
        <w:tc>
          <w:tcPr>
            <w:tcW w:w="5280" w:type="dxa"/>
            <w:vAlign w:val="bottom"/>
            <w:shd w:val="clear" w:color="auto" w:fill="CCEEFF"/>
          </w:tcPr>
          <w:p>
            <w:pPr>
              <w:spacing w:after="0"/>
              <w:rPr>
                <w:sz w:val="20"/>
                <w:szCs w:val="20"/>
                <w:color w:val="auto"/>
              </w:rPr>
            </w:pPr>
            <w:r>
              <w:rPr>
                <w:rFonts w:ascii="Arial" w:cs="Arial" w:eastAsia="Arial" w:hAnsi="Arial"/>
                <w:sz w:val="10"/>
                <w:szCs w:val="10"/>
                <w:color w:val="auto"/>
              </w:rPr>
              <w:t>Company's acquisition of Great Lakes on February 7, 2018.</w:t>
            </w:r>
          </w:p>
        </w:tc>
        <w:tc>
          <w:tcPr>
            <w:tcW w:w="0" w:type="dxa"/>
            <w:vAlign w:val="bottom"/>
          </w:tcPr>
          <w:p>
            <w:pPr>
              <w:spacing w:after="0"/>
              <w:rPr>
                <w:sz w:val="1"/>
                <w:szCs w:val="1"/>
                <w:color w:val="auto"/>
              </w:rPr>
            </w:pPr>
          </w:p>
        </w:tc>
      </w:tr>
      <w:tr>
        <w:trPr>
          <w:trHeight w:val="148"/>
        </w:trPr>
        <w:tc>
          <w:tcPr>
            <w:tcW w:w="4260" w:type="dxa"/>
            <w:vAlign w:val="bottom"/>
          </w:tcPr>
          <w:p>
            <w:pPr>
              <w:ind w:left="280"/>
              <w:spacing w:after="0"/>
              <w:rPr>
                <w:sz w:val="20"/>
                <w:szCs w:val="20"/>
                <w:color w:val="auto"/>
              </w:rPr>
            </w:pPr>
            <w:r>
              <w:rPr>
                <w:rFonts w:ascii="Arial" w:cs="Arial" w:eastAsia="Arial" w:hAnsi="Arial"/>
                <w:sz w:val="10"/>
                <w:szCs w:val="10"/>
                <w:color w:val="auto"/>
              </w:rPr>
              <w:t>Net income attributable to Nelnet, Inc.</w:t>
            </w:r>
          </w:p>
        </w:tc>
        <w:tc>
          <w:tcPr>
            <w:tcW w:w="180" w:type="dxa"/>
            <w:vAlign w:val="bottom"/>
            <w:tcBorders>
              <w:bottom w:val="single" w:sz="8" w:color="auto"/>
            </w:tcBorders>
          </w:tcPr>
          <w:p>
            <w:pPr>
              <w:jc w:val="right"/>
              <w:ind w:right="70"/>
              <w:spacing w:after="0"/>
              <w:rPr>
                <w:sz w:val="20"/>
                <w:szCs w:val="20"/>
                <w:color w:val="auto"/>
              </w:rPr>
            </w:pPr>
            <w:r>
              <w:rPr>
                <w:rFonts w:ascii="Arial" w:cs="Arial" w:eastAsia="Arial" w:hAnsi="Arial"/>
                <w:sz w:val="10"/>
                <w:szCs w:val="10"/>
                <w:color w:val="auto"/>
                <w:w w:val="71"/>
              </w:rPr>
              <w:t>$</w:t>
            </w: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rPr>
              <w:t>41,591</w:t>
            </w:r>
          </w:p>
        </w:tc>
        <w:tc>
          <w:tcPr>
            <w:tcW w:w="100" w:type="dxa"/>
            <w:vAlign w:val="bottom"/>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jc w:val="right"/>
              <w:ind w:right="9"/>
              <w:spacing w:after="0"/>
              <w:rPr>
                <w:sz w:val="20"/>
                <w:szCs w:val="20"/>
                <w:color w:val="auto"/>
              </w:rPr>
            </w:pPr>
            <w:r>
              <w:rPr>
                <w:rFonts w:ascii="Arial" w:cs="Arial" w:eastAsia="Arial" w:hAnsi="Arial"/>
                <w:sz w:val="10"/>
                <w:szCs w:val="10"/>
                <w:color w:val="auto"/>
              </w:rPr>
              <w:t>113,925</w:t>
            </w:r>
          </w:p>
        </w:tc>
        <w:tc>
          <w:tcPr>
            <w:tcW w:w="100" w:type="dxa"/>
            <w:vAlign w:val="bottom"/>
          </w:tcPr>
          <w:p>
            <w:pPr>
              <w:spacing w:after="0"/>
              <w:rPr>
                <w:sz w:val="12"/>
                <w:szCs w:val="12"/>
                <w:color w:val="auto"/>
              </w:rPr>
            </w:pPr>
          </w:p>
        </w:tc>
        <w:tc>
          <w:tcPr>
            <w:tcW w:w="52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426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528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8"/>
        </w:trPr>
        <w:tc>
          <w:tcPr>
            <w:tcW w:w="4260" w:type="dxa"/>
            <w:vAlign w:val="bottom"/>
            <w:shd w:val="clear" w:color="auto" w:fill="CCEEFF"/>
          </w:tcPr>
          <w:p>
            <w:pPr>
              <w:spacing w:after="0"/>
              <w:rPr>
                <w:sz w:val="4"/>
                <w:szCs w:val="4"/>
                <w:color w:val="auto"/>
              </w:rPr>
            </w:pPr>
          </w:p>
        </w:tc>
        <w:tc>
          <w:tcPr>
            <w:tcW w:w="180" w:type="dxa"/>
            <w:vAlign w:val="bottom"/>
            <w:shd w:val="clear" w:color="auto" w:fill="CCEEFF"/>
          </w:tcPr>
          <w:p>
            <w:pPr>
              <w:spacing w:after="0"/>
              <w:rPr>
                <w:sz w:val="4"/>
                <w:szCs w:val="4"/>
                <w:color w:val="auto"/>
              </w:rPr>
            </w:pPr>
          </w:p>
        </w:tc>
        <w:tc>
          <w:tcPr>
            <w:tcW w:w="660" w:type="dxa"/>
            <w:vAlign w:val="bottom"/>
            <w:shd w:val="clear" w:color="auto" w:fill="CCEEFF"/>
          </w:tcPr>
          <w:p>
            <w:pPr>
              <w:spacing w:after="0"/>
              <w:rPr>
                <w:sz w:val="4"/>
                <w:szCs w:val="4"/>
                <w:color w:val="auto"/>
              </w:rPr>
            </w:pPr>
          </w:p>
        </w:tc>
        <w:tc>
          <w:tcPr>
            <w:tcW w:w="100" w:type="dxa"/>
            <w:vAlign w:val="bottom"/>
            <w:shd w:val="clear" w:color="auto" w:fill="CCEEFF"/>
          </w:tcPr>
          <w:p>
            <w:pPr>
              <w:spacing w:after="0"/>
              <w:rPr>
                <w:sz w:val="4"/>
                <w:szCs w:val="4"/>
                <w:color w:val="auto"/>
              </w:rPr>
            </w:pPr>
          </w:p>
        </w:tc>
        <w:tc>
          <w:tcPr>
            <w:tcW w:w="260" w:type="dxa"/>
            <w:vAlign w:val="bottom"/>
            <w:shd w:val="clear" w:color="auto" w:fill="CCEEFF"/>
          </w:tcPr>
          <w:p>
            <w:pPr>
              <w:spacing w:after="0"/>
              <w:rPr>
                <w:sz w:val="4"/>
                <w:szCs w:val="4"/>
                <w:color w:val="auto"/>
              </w:rPr>
            </w:pPr>
          </w:p>
        </w:tc>
        <w:tc>
          <w:tcPr>
            <w:tcW w:w="600" w:type="dxa"/>
            <w:vAlign w:val="bottom"/>
            <w:shd w:val="clear" w:color="auto" w:fill="CCEEFF"/>
          </w:tcPr>
          <w:p>
            <w:pPr>
              <w:spacing w:after="0"/>
              <w:rPr>
                <w:sz w:val="4"/>
                <w:szCs w:val="4"/>
                <w:color w:val="auto"/>
              </w:rPr>
            </w:pPr>
          </w:p>
        </w:tc>
        <w:tc>
          <w:tcPr>
            <w:tcW w:w="100" w:type="dxa"/>
            <w:vAlign w:val="bottom"/>
            <w:shd w:val="clear" w:color="auto" w:fill="CCEEFF"/>
          </w:tcPr>
          <w:p>
            <w:pPr>
              <w:spacing w:after="0"/>
              <w:rPr>
                <w:sz w:val="4"/>
                <w:szCs w:val="4"/>
                <w:color w:val="auto"/>
              </w:rPr>
            </w:pPr>
          </w:p>
        </w:tc>
        <w:tc>
          <w:tcPr>
            <w:tcW w:w="5280" w:type="dxa"/>
            <w:vAlign w:val="bottom"/>
            <w:shd w:val="clear" w:color="auto" w:fill="CCEEFF"/>
          </w:tcPr>
          <w:p>
            <w:pPr>
              <w:spacing w:after="0"/>
              <w:rPr>
                <w:sz w:val="4"/>
                <w:szCs w:val="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60" w:lineRule="exact"/>
        <w:rPr>
          <w:sz w:val="20"/>
          <w:szCs w:val="20"/>
          <w:color w:val="auto"/>
        </w:rPr>
      </w:pPr>
    </w:p>
    <w:p>
      <w:pPr>
        <w:jc w:val="center"/>
        <w:ind w:right="20"/>
        <w:spacing w:after="0"/>
        <w:rPr>
          <w:sz w:val="20"/>
          <w:szCs w:val="20"/>
          <w:color w:val="auto"/>
        </w:rPr>
      </w:pPr>
      <w:r>
        <w:rPr>
          <w:rFonts w:ascii="Arial" w:cs="Arial" w:eastAsia="Arial" w:hAnsi="Arial"/>
          <w:sz w:val="14"/>
          <w:szCs w:val="14"/>
          <w:color w:val="auto"/>
        </w:rPr>
        <w:t>33</w:t>
      </w:r>
    </w:p>
    <w:p>
      <w:pPr>
        <w:sectPr>
          <w:pgSz w:w="11900" w:h="16838" w:orient="portrait"/>
          <w:cols w:equalWidth="0" w:num="1">
            <w:col w:w="11440"/>
          </w:cols>
          <w:pgMar w:left="240" w:top="782" w:right="219" w:bottom="1440" w:gutter="0" w:footer="0" w:header="0"/>
        </w:sectPr>
      </w:pPr>
    </w:p>
    <w:bookmarkStart w:id="34" w:name="page35"/>
    <w:bookmarkEnd w:id="34"/>
    <w:tbl>
      <w:tblPr>
        <w:tblLayout w:type="fixed"/>
        <w:tblInd w:w="20" w:type="dxa"/>
        <w:tblCellMar>
          <w:top w:w="0" w:type="dxa"/>
          <w:left w:w="0" w:type="dxa"/>
          <w:bottom w:w="0" w:type="dxa"/>
          <w:right w:w="0" w:type="dxa"/>
        </w:tblCellMar>
      </w:tblPr>
      <w:tr>
        <w:trPr>
          <w:trHeight w:val="151"/>
        </w:trPr>
        <w:tc>
          <w:tcPr>
            <w:tcW w:w="4260" w:type="dxa"/>
            <w:vAlign w:val="bottom"/>
            <w:shd w:val="clear" w:color="auto" w:fill="CCEEFF"/>
          </w:tcPr>
          <w:p>
            <w:pPr>
              <w:spacing w:after="0"/>
              <w:rPr>
                <w:sz w:val="20"/>
                <w:szCs w:val="20"/>
                <w:color w:val="auto"/>
              </w:rPr>
            </w:pPr>
            <w:r>
              <w:rPr>
                <w:rFonts w:ascii="Arial" w:cs="Arial" w:eastAsia="Arial" w:hAnsi="Arial"/>
                <w:sz w:val="10"/>
                <w:szCs w:val="10"/>
                <w:color w:val="auto"/>
              </w:rPr>
              <w:t>Additional information:</w:t>
            </w:r>
          </w:p>
        </w:tc>
        <w:tc>
          <w:tcPr>
            <w:tcW w:w="280" w:type="dxa"/>
            <w:vAlign w:val="bottom"/>
            <w:shd w:val="clear" w:color="auto" w:fill="CCEEFF"/>
          </w:tcPr>
          <w:p>
            <w:pPr>
              <w:spacing w:after="0"/>
              <w:rPr>
                <w:sz w:val="13"/>
                <w:szCs w:val="13"/>
                <w:color w:val="auto"/>
              </w:rPr>
            </w:pPr>
          </w:p>
        </w:tc>
        <w:tc>
          <w:tcPr>
            <w:tcW w:w="840" w:type="dxa"/>
            <w:vAlign w:val="bottom"/>
            <w:shd w:val="clear" w:color="auto" w:fill="CCEEFF"/>
          </w:tcPr>
          <w:p>
            <w:pPr>
              <w:spacing w:after="0"/>
              <w:rPr>
                <w:sz w:val="13"/>
                <w:szCs w:val="13"/>
                <w:color w:val="auto"/>
              </w:rPr>
            </w:pPr>
          </w:p>
        </w:tc>
        <w:tc>
          <w:tcPr>
            <w:tcW w:w="6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28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4"/>
        </w:trPr>
        <w:tc>
          <w:tcPr>
            <w:tcW w:w="4260" w:type="dxa"/>
            <w:vAlign w:val="bottom"/>
          </w:tcPr>
          <w:p>
            <w:pPr>
              <w:spacing w:after="0"/>
              <w:rPr>
                <w:sz w:val="20"/>
                <w:szCs w:val="20"/>
                <w:color w:val="auto"/>
              </w:rPr>
            </w:pPr>
            <w:r>
              <w:rPr>
                <w:rFonts w:ascii="Arial" w:cs="Arial" w:eastAsia="Arial" w:hAnsi="Arial"/>
                <w:sz w:val="10"/>
                <w:szCs w:val="10"/>
                <w:color w:val="auto"/>
              </w:rPr>
              <w:t>Net income attributable to Nelnet, Inc.</w:t>
            </w:r>
          </w:p>
        </w:tc>
        <w:tc>
          <w:tcPr>
            <w:tcW w:w="280" w:type="dxa"/>
            <w:vAlign w:val="bottom"/>
          </w:tcPr>
          <w:p>
            <w:pPr>
              <w:jc w:val="right"/>
              <w:ind w:right="170"/>
              <w:spacing w:after="0"/>
              <w:rPr>
                <w:sz w:val="20"/>
                <w:szCs w:val="20"/>
                <w:color w:val="auto"/>
              </w:rPr>
            </w:pPr>
            <w:r>
              <w:rPr>
                <w:rFonts w:ascii="Arial" w:cs="Arial" w:eastAsia="Arial" w:hAnsi="Arial"/>
                <w:sz w:val="10"/>
                <w:szCs w:val="10"/>
                <w:color w:val="auto"/>
                <w:w w:val="71"/>
              </w:rPr>
              <w:t>$</w:t>
            </w:r>
          </w:p>
        </w:tc>
        <w:tc>
          <w:tcPr>
            <w:tcW w:w="840" w:type="dxa"/>
            <w:vAlign w:val="bottom"/>
          </w:tcPr>
          <w:p>
            <w:pPr>
              <w:ind w:left="240"/>
              <w:spacing w:after="0"/>
              <w:rPr>
                <w:sz w:val="20"/>
                <w:szCs w:val="20"/>
                <w:color w:val="auto"/>
              </w:rPr>
            </w:pPr>
            <w:r>
              <w:rPr>
                <w:rFonts w:ascii="Arial" w:cs="Arial" w:eastAsia="Arial" w:hAnsi="Arial"/>
                <w:sz w:val="10"/>
                <w:szCs w:val="10"/>
                <w:color w:val="auto"/>
              </w:rPr>
              <w:t>41,591</w:t>
            </w:r>
          </w:p>
        </w:tc>
        <w:tc>
          <w:tcPr>
            <w:tcW w:w="680" w:type="dxa"/>
            <w:vAlign w:val="bottom"/>
          </w:tcPr>
          <w:p>
            <w:pPr>
              <w:jc w:val="right"/>
              <w:ind w:right="10"/>
              <w:spacing w:after="0"/>
              <w:rPr>
                <w:sz w:val="20"/>
                <w:szCs w:val="20"/>
                <w:color w:val="auto"/>
              </w:rPr>
            </w:pPr>
            <w:r>
              <w:rPr>
                <w:rFonts w:ascii="Arial" w:cs="Arial" w:eastAsia="Arial" w:hAnsi="Arial"/>
                <w:sz w:val="10"/>
                <w:szCs w:val="10"/>
                <w:color w:val="auto"/>
              </w:rPr>
              <w:t>113,925</w:t>
            </w:r>
          </w:p>
        </w:tc>
        <w:tc>
          <w:tcPr>
            <w:tcW w:w="100" w:type="dxa"/>
            <w:vAlign w:val="bottom"/>
          </w:tcPr>
          <w:p>
            <w:pPr>
              <w:spacing w:after="0"/>
              <w:rPr>
                <w:sz w:val="12"/>
                <w:szCs w:val="12"/>
                <w:color w:val="auto"/>
              </w:rPr>
            </w:pPr>
          </w:p>
        </w:tc>
        <w:tc>
          <w:tcPr>
            <w:tcW w:w="52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426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0"/>
                <w:szCs w:val="10"/>
                <w:color w:val="auto"/>
              </w:rPr>
              <w:t>Derivative market value adjustments, net</w:t>
            </w:r>
          </w:p>
        </w:tc>
        <w:tc>
          <w:tcPr>
            <w:tcW w:w="280" w:type="dxa"/>
            <w:vAlign w:val="bottom"/>
            <w:tcBorders>
              <w:bottom w:val="single" w:sz="8" w:color="CCEEFF"/>
            </w:tcBorders>
            <w:shd w:val="clear" w:color="auto" w:fill="CCEEFF"/>
          </w:tcPr>
          <w:p>
            <w:pPr>
              <w:spacing w:after="0"/>
              <w:rPr>
                <w:sz w:val="11"/>
                <w:szCs w:val="11"/>
                <w:color w:val="auto"/>
              </w:rPr>
            </w:pPr>
          </w:p>
        </w:tc>
        <w:tc>
          <w:tcPr>
            <w:tcW w:w="84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0"/>
                <w:szCs w:val="10"/>
                <w:color w:val="auto"/>
              </w:rPr>
              <w:t>30,574</w:t>
            </w: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0"/>
                <w:szCs w:val="10"/>
                <w:color w:val="auto"/>
              </w:rPr>
              <w:t>(60,033)</w:t>
            </w:r>
          </w:p>
        </w:tc>
        <w:tc>
          <w:tcPr>
            <w:tcW w:w="100" w:type="dxa"/>
            <w:vAlign w:val="bottom"/>
            <w:tcBorders>
              <w:bottom w:val="single" w:sz="8" w:color="CCEEFF"/>
            </w:tcBorders>
            <w:shd w:val="clear" w:color="auto" w:fill="CCEEFF"/>
          </w:tcPr>
          <w:p>
            <w:pPr>
              <w:spacing w:after="0"/>
              <w:rPr>
                <w:sz w:val="11"/>
                <w:szCs w:val="11"/>
                <w:color w:val="auto"/>
              </w:rPr>
            </w:pPr>
          </w:p>
        </w:tc>
        <w:tc>
          <w:tcPr>
            <w:tcW w:w="52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0"/>
                <w:szCs w:val="10"/>
                <w:color w:val="auto"/>
                <w:w w:val="93"/>
              </w:rPr>
              <w:t>See "Overview - GAAP Net Income and Non-GAAP Net Income, Excluding Adjustments" above for additional information about</w:t>
            </w:r>
          </w:p>
        </w:tc>
        <w:tc>
          <w:tcPr>
            <w:tcW w:w="0" w:type="dxa"/>
            <w:vAlign w:val="bottom"/>
          </w:tcPr>
          <w:p>
            <w:pPr>
              <w:spacing w:after="0"/>
              <w:rPr>
                <w:sz w:val="1"/>
                <w:szCs w:val="1"/>
                <w:color w:val="auto"/>
              </w:rPr>
            </w:pPr>
          </w:p>
        </w:tc>
      </w:tr>
      <w:tr>
        <w:trPr>
          <w:trHeight w:val="95"/>
        </w:trPr>
        <w:tc>
          <w:tcPr>
            <w:tcW w:w="4260" w:type="dxa"/>
            <w:vAlign w:val="bottom"/>
            <w:vMerge w:val="restart"/>
          </w:tcPr>
          <w:p>
            <w:pPr>
              <w:ind w:left="200"/>
              <w:spacing w:after="0"/>
              <w:rPr>
                <w:sz w:val="20"/>
                <w:szCs w:val="20"/>
                <w:color w:val="auto"/>
              </w:rPr>
            </w:pPr>
            <w:r>
              <w:rPr>
                <w:rFonts w:ascii="Arial" w:cs="Arial" w:eastAsia="Arial" w:hAnsi="Arial"/>
                <w:sz w:val="10"/>
                <w:szCs w:val="10"/>
                <w:color w:val="auto"/>
              </w:rPr>
              <w:t>Net tax effect</w:t>
            </w:r>
          </w:p>
        </w:tc>
        <w:tc>
          <w:tcPr>
            <w:tcW w:w="280" w:type="dxa"/>
            <w:vAlign w:val="bottom"/>
          </w:tcPr>
          <w:p>
            <w:pPr>
              <w:spacing w:after="0"/>
              <w:rPr>
                <w:sz w:val="8"/>
                <w:szCs w:val="8"/>
                <w:color w:val="auto"/>
              </w:rPr>
            </w:pPr>
          </w:p>
        </w:tc>
        <w:tc>
          <w:tcPr>
            <w:tcW w:w="840" w:type="dxa"/>
            <w:vAlign w:val="bottom"/>
            <w:vMerge w:val="restart"/>
          </w:tcPr>
          <w:p>
            <w:pPr>
              <w:ind w:left="260"/>
              <w:spacing w:after="0"/>
              <w:rPr>
                <w:sz w:val="20"/>
                <w:szCs w:val="20"/>
                <w:color w:val="auto"/>
              </w:rPr>
            </w:pPr>
            <w:r>
              <w:rPr>
                <w:rFonts w:ascii="Arial" w:cs="Arial" w:eastAsia="Arial" w:hAnsi="Arial"/>
                <w:sz w:val="10"/>
                <w:szCs w:val="10"/>
                <w:color w:val="auto"/>
              </w:rPr>
              <w:t>(7,338)</w:t>
            </w:r>
          </w:p>
        </w:tc>
        <w:tc>
          <w:tcPr>
            <w:tcW w:w="680" w:type="dxa"/>
            <w:vAlign w:val="bottom"/>
            <w:vMerge w:val="restart"/>
          </w:tcPr>
          <w:p>
            <w:pPr>
              <w:jc w:val="right"/>
              <w:ind w:right="10"/>
              <w:spacing w:after="0"/>
              <w:rPr>
                <w:sz w:val="20"/>
                <w:szCs w:val="20"/>
                <w:color w:val="auto"/>
              </w:rPr>
            </w:pPr>
            <w:r>
              <w:rPr>
                <w:rFonts w:ascii="Arial" w:cs="Arial" w:eastAsia="Arial" w:hAnsi="Arial"/>
                <w:sz w:val="10"/>
                <w:szCs w:val="10"/>
                <w:color w:val="auto"/>
              </w:rPr>
              <w:t>14,408</w:t>
            </w:r>
          </w:p>
        </w:tc>
        <w:tc>
          <w:tcPr>
            <w:tcW w:w="100" w:type="dxa"/>
            <w:vAlign w:val="bottom"/>
          </w:tcPr>
          <w:p>
            <w:pPr>
              <w:spacing w:after="0"/>
              <w:rPr>
                <w:sz w:val="8"/>
                <w:szCs w:val="8"/>
                <w:color w:val="auto"/>
              </w:rPr>
            </w:pPr>
          </w:p>
        </w:tc>
        <w:tc>
          <w:tcPr>
            <w:tcW w:w="5280" w:type="dxa"/>
            <w:vAlign w:val="bottom"/>
            <w:shd w:val="clear" w:color="auto" w:fill="CCEEFF"/>
          </w:tcPr>
          <w:p>
            <w:pPr>
              <w:spacing w:after="0" w:line="95" w:lineRule="exact"/>
              <w:rPr>
                <w:sz w:val="20"/>
                <w:szCs w:val="20"/>
                <w:color w:val="auto"/>
              </w:rPr>
            </w:pPr>
            <w:r>
              <w:rPr>
                <w:rFonts w:ascii="Arial" w:cs="Arial" w:eastAsia="Arial" w:hAnsi="Arial"/>
                <w:sz w:val="10"/>
                <w:szCs w:val="10"/>
                <w:color w:val="auto"/>
              </w:rPr>
              <w:t>non-GAAP net income, excluding derivative market value adjustments.</w:t>
            </w:r>
          </w:p>
        </w:tc>
        <w:tc>
          <w:tcPr>
            <w:tcW w:w="0" w:type="dxa"/>
            <w:vAlign w:val="bottom"/>
          </w:tcPr>
          <w:p>
            <w:pPr>
              <w:spacing w:after="0"/>
              <w:rPr>
                <w:sz w:val="1"/>
                <w:szCs w:val="1"/>
                <w:color w:val="auto"/>
              </w:rPr>
            </w:pPr>
          </w:p>
        </w:tc>
      </w:tr>
      <w:tr>
        <w:trPr>
          <w:trHeight w:val="50"/>
        </w:trPr>
        <w:tc>
          <w:tcPr>
            <w:tcW w:w="4260" w:type="dxa"/>
            <w:vAlign w:val="bottom"/>
            <w:tcBorders>
              <w:bottom w:val="single" w:sz="8" w:color="CCEEFF"/>
            </w:tcBorders>
            <w:vMerge w:val="continue"/>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840" w:type="dxa"/>
            <w:vAlign w:val="bottom"/>
            <w:tcBorders>
              <w:bottom w:val="single" w:sz="8" w:color="auto"/>
            </w:tcBorders>
            <w:vMerge w:val="continue"/>
          </w:tcPr>
          <w:p>
            <w:pPr>
              <w:spacing w:after="0"/>
              <w:rPr>
                <w:sz w:val="4"/>
                <w:szCs w:val="4"/>
                <w:color w:val="auto"/>
              </w:rPr>
            </w:pPr>
          </w:p>
        </w:tc>
        <w:tc>
          <w:tcPr>
            <w:tcW w:w="680" w:type="dxa"/>
            <w:vAlign w:val="bottom"/>
            <w:tcBorders>
              <w:bottom w:val="single" w:sz="8" w:color="auto"/>
            </w:tcBorders>
            <w:vMerge w:val="continue"/>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5280" w:type="dxa"/>
            <w:vAlign w:val="bottom"/>
            <w:tcBorders>
              <w:bottom w:val="single" w:sz="8" w:color="CCEEFF"/>
            </w:tcBorders>
            <w:shd w:val="clear" w:color="auto" w:fill="CCEEFF"/>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42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0"/>
                <w:szCs w:val="10"/>
                <w:color w:val="auto"/>
              </w:rPr>
              <w:t>Net income attributable to Nelnet, Inc., excluding derivative market value adjustments</w:t>
            </w:r>
          </w:p>
        </w:tc>
        <w:tc>
          <w:tcPr>
            <w:tcW w:w="280" w:type="dxa"/>
            <w:vAlign w:val="bottom"/>
            <w:tcBorders>
              <w:bottom w:val="single" w:sz="8" w:color="auto"/>
            </w:tcBorders>
            <w:shd w:val="clear" w:color="auto" w:fill="CCEEFF"/>
          </w:tcPr>
          <w:p>
            <w:pPr>
              <w:jc w:val="right"/>
              <w:ind w:right="170"/>
              <w:spacing w:after="0"/>
              <w:rPr>
                <w:sz w:val="20"/>
                <w:szCs w:val="20"/>
                <w:color w:val="auto"/>
              </w:rPr>
            </w:pPr>
            <w:r>
              <w:rPr>
                <w:rFonts w:ascii="Arial" w:cs="Arial" w:eastAsia="Arial" w:hAnsi="Arial"/>
                <w:sz w:val="10"/>
                <w:szCs w:val="10"/>
                <w:color w:val="auto"/>
                <w:w w:val="71"/>
              </w:rPr>
              <w:t>$</w:t>
            </w:r>
          </w:p>
        </w:tc>
        <w:tc>
          <w:tcPr>
            <w:tcW w:w="840" w:type="dxa"/>
            <w:vAlign w:val="bottom"/>
            <w:tcBorders>
              <w:bottom w:val="single" w:sz="8" w:color="auto"/>
            </w:tcBorders>
            <w:shd w:val="clear" w:color="auto" w:fill="CCEEFF"/>
          </w:tcPr>
          <w:p>
            <w:pPr>
              <w:ind w:left="240"/>
              <w:spacing w:after="0"/>
              <w:rPr>
                <w:sz w:val="20"/>
                <w:szCs w:val="20"/>
                <w:color w:val="auto"/>
              </w:rPr>
            </w:pPr>
            <w:r>
              <w:rPr>
                <w:rFonts w:ascii="Arial" w:cs="Arial" w:eastAsia="Arial" w:hAnsi="Arial"/>
                <w:sz w:val="10"/>
                <w:szCs w:val="10"/>
                <w:color w:val="auto"/>
              </w:rPr>
              <w:t>64,827</w:t>
            </w:r>
          </w:p>
        </w:tc>
        <w:tc>
          <w:tcPr>
            <w:tcW w:w="6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0"/>
                <w:szCs w:val="10"/>
                <w:color w:val="auto"/>
              </w:rPr>
              <w:t>68,300</w:t>
            </w:r>
          </w:p>
        </w:tc>
        <w:tc>
          <w:tcPr>
            <w:tcW w:w="100" w:type="dxa"/>
            <w:vAlign w:val="bottom"/>
            <w:tcBorders>
              <w:bottom w:val="single" w:sz="8" w:color="CCEEFF"/>
            </w:tcBorders>
            <w:shd w:val="clear" w:color="auto" w:fill="CCEEFF"/>
          </w:tcPr>
          <w:p>
            <w:pPr>
              <w:spacing w:after="0"/>
              <w:rPr>
                <w:sz w:val="14"/>
                <w:szCs w:val="14"/>
                <w:color w:val="auto"/>
              </w:rPr>
            </w:pPr>
          </w:p>
        </w:tc>
        <w:tc>
          <w:tcPr>
            <w:tcW w:w="5280" w:type="dxa"/>
            <w:vAlign w:val="bottom"/>
            <w:tcBorders>
              <w:bottom w:val="single" w:sz="8" w:color="CCEEFF"/>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426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6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28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2" w:lineRule="exact"/>
        <w:rPr>
          <w:sz w:val="20"/>
          <w:szCs w:val="20"/>
          <w:color w:val="auto"/>
        </w:rPr>
      </w:pPr>
    </w:p>
    <w:p>
      <w:pPr>
        <w:spacing w:after="0"/>
        <w:rPr>
          <w:sz w:val="20"/>
          <w:szCs w:val="20"/>
          <w:color w:val="auto"/>
        </w:rPr>
      </w:pPr>
      <w:r>
        <w:rPr>
          <w:rFonts w:ascii="Arial" w:cs="Arial" w:eastAsia="Arial" w:hAnsi="Arial"/>
          <w:sz w:val="14"/>
          <w:szCs w:val="14"/>
          <w:color w:val="auto"/>
        </w:rPr>
        <w:t>The following table summarizes the components of “net interest income” and “derivative settlements, net.”</w:t>
      </w:r>
    </w:p>
    <w:p>
      <w:pPr>
        <w:spacing w:after="0" w:line="141" w:lineRule="exact"/>
        <w:rPr>
          <w:sz w:val="20"/>
          <w:szCs w:val="20"/>
          <w:color w:val="auto"/>
        </w:rPr>
      </w:pPr>
    </w:p>
    <w:p>
      <w:pPr>
        <w:jc w:val="both"/>
        <w:spacing w:after="0" w:line="283" w:lineRule="auto"/>
        <w:rPr>
          <w:sz w:val="20"/>
          <w:szCs w:val="20"/>
          <w:color w:val="auto"/>
        </w:rPr>
      </w:pPr>
      <w:r>
        <w:rPr>
          <w:rFonts w:ascii="Arial" w:cs="Arial" w:eastAsia="Arial" w:hAnsi="Arial"/>
          <w:sz w:val="13"/>
          <w:szCs w:val="13"/>
          <w:color w:val="auto"/>
        </w:rPr>
        <w:t>Derivative settlements represent the cash paid or received during the current period to settle with derivative instrument counterparties the economic effect of the Company's derivative instruments based on their contractual terms. Derivative accounting requires that net settlements with respect to derivatives that do not qualify for "hedge treatment" under GAAP be recorded in a separate income statement line item below net interest income. The Company maintains an overall risk management strategy that incorporates the use of derivative instruments to reduce the economic effect of interest rate volatility. As such, management believes derivative settlements for each applicable period should be evaluated with the Company’s net interest income as presented in the table below. Net interest income (net of settlements on derivatives) is a non-GAAP financial measure, and the Company reports this non-GAAP information because the Company believes that it provides additional information regarding operational and performance indicators that are closely assessed by management. There is no comprehensive, authoritative guidance for the presentation of such non-GAAP information, which is only meant to supplement GAAP results by providing additional information that management utilizes to assess performance. See note 4 of the notes to consolidated financial statements included under Part I, Item 1 of this report for additional information on the Company's derivative instruments, including the net settlement activity recognized by the Company for each type of derivative for the periods presented in the table under the caption "Income Statement Impact" in note 4 and in the table below.</w:t>
      </w:r>
    </w:p>
    <w:p>
      <w:pPr>
        <w:spacing w:after="0" w:line="48"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368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1740" w:type="dxa"/>
            <w:vAlign w:val="bottom"/>
            <w:tcBorders>
              <w:bottom w:val="single" w:sz="8" w:color="auto"/>
            </w:tcBorders>
            <w:gridSpan w:val="3"/>
          </w:tcPr>
          <w:p>
            <w:pPr>
              <w:jc w:val="right"/>
              <w:ind w:right="144"/>
              <w:spacing w:after="0"/>
              <w:rPr>
                <w:sz w:val="20"/>
                <w:szCs w:val="20"/>
                <w:color w:val="auto"/>
              </w:rPr>
            </w:pPr>
            <w:r>
              <w:rPr>
                <w:rFonts w:ascii="Arial" w:cs="Arial" w:eastAsia="Arial" w:hAnsi="Arial"/>
                <w:sz w:val="11"/>
                <w:szCs w:val="11"/>
                <w:b w:val="1"/>
                <w:bCs w:val="1"/>
                <w:color w:val="auto"/>
                <w:w w:val="93"/>
              </w:rPr>
              <w:t>Three months ended March 31,</w:t>
            </w:r>
          </w:p>
        </w:tc>
        <w:tc>
          <w:tcPr>
            <w:tcW w:w="100" w:type="dxa"/>
            <w:vAlign w:val="bottom"/>
          </w:tcPr>
          <w:p>
            <w:pPr>
              <w:spacing w:after="0"/>
              <w:rPr>
                <w:sz w:val="12"/>
                <w:szCs w:val="12"/>
                <w:color w:val="auto"/>
              </w:rPr>
            </w:pPr>
          </w:p>
        </w:tc>
        <w:tc>
          <w:tcPr>
            <w:tcW w:w="5800" w:type="dxa"/>
            <w:vAlign w:val="bottom"/>
            <w:tcBorders>
              <w:bottom w:val="single" w:sz="8" w:color="auto"/>
            </w:tcBorders>
          </w:tcPr>
          <w:p>
            <w:pPr>
              <w:ind w:left="2340"/>
              <w:spacing w:after="0"/>
              <w:rPr>
                <w:sz w:val="20"/>
                <w:szCs w:val="20"/>
                <w:color w:val="auto"/>
              </w:rPr>
            </w:pPr>
            <w:r>
              <w:rPr>
                <w:rFonts w:ascii="Arial" w:cs="Arial" w:eastAsia="Arial" w:hAnsi="Arial"/>
                <w:sz w:val="11"/>
                <w:szCs w:val="11"/>
                <w:b w:val="1"/>
                <w:bCs w:val="1"/>
                <w:color w:val="auto"/>
              </w:rPr>
              <w:t>Additional information</w:t>
            </w:r>
          </w:p>
        </w:tc>
      </w:tr>
      <w:tr>
        <w:trPr>
          <w:trHeight w:val="152"/>
        </w:trPr>
        <w:tc>
          <w:tcPr>
            <w:tcW w:w="3680" w:type="dxa"/>
            <w:vAlign w:val="bottom"/>
            <w:tcBorders>
              <w:bottom w:val="single" w:sz="8" w:color="CCEEFF"/>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760" w:type="dxa"/>
            <w:vAlign w:val="bottom"/>
            <w:tcBorders>
              <w:bottom w:val="single" w:sz="8" w:color="auto"/>
            </w:tcBorders>
          </w:tcPr>
          <w:p>
            <w:pPr>
              <w:jc w:val="right"/>
              <w:ind w:right="284"/>
              <w:spacing w:after="0"/>
              <w:rPr>
                <w:sz w:val="20"/>
                <w:szCs w:val="20"/>
                <w:color w:val="auto"/>
              </w:rPr>
            </w:pPr>
            <w:r>
              <w:rPr>
                <w:rFonts w:ascii="Arial" w:cs="Arial" w:eastAsia="Arial" w:hAnsi="Arial"/>
                <w:sz w:val="11"/>
                <w:szCs w:val="11"/>
                <w:b w:val="1"/>
                <w:bCs w:val="1"/>
                <w:color w:val="auto"/>
              </w:rPr>
              <w:t>2019</w:t>
            </w:r>
          </w:p>
        </w:tc>
        <w:tc>
          <w:tcPr>
            <w:tcW w:w="100" w:type="dxa"/>
            <w:vAlign w:val="bottom"/>
            <w:tcBorders>
              <w:bottom w:val="single" w:sz="8" w:color="CCEEFF"/>
            </w:tcBorders>
          </w:tcPr>
          <w:p>
            <w:pPr>
              <w:spacing w:after="0"/>
              <w:rPr>
                <w:sz w:val="13"/>
                <w:szCs w:val="13"/>
                <w:color w:val="auto"/>
              </w:rPr>
            </w:pPr>
          </w:p>
        </w:tc>
        <w:tc>
          <w:tcPr>
            <w:tcW w:w="880" w:type="dxa"/>
            <w:vAlign w:val="bottom"/>
            <w:tcBorders>
              <w:bottom w:val="single" w:sz="8" w:color="auto"/>
            </w:tcBorders>
          </w:tcPr>
          <w:p>
            <w:pPr>
              <w:jc w:val="right"/>
              <w:ind w:right="264"/>
              <w:spacing w:after="0"/>
              <w:rPr>
                <w:sz w:val="20"/>
                <w:szCs w:val="20"/>
                <w:color w:val="auto"/>
              </w:rPr>
            </w:pPr>
            <w:r>
              <w:rPr>
                <w:rFonts w:ascii="Arial" w:cs="Arial" w:eastAsia="Arial" w:hAnsi="Arial"/>
                <w:sz w:val="11"/>
                <w:szCs w:val="11"/>
                <w:b w:val="1"/>
                <w:bCs w:val="1"/>
                <w:color w:val="auto"/>
              </w:rPr>
              <w:t>2018</w:t>
            </w:r>
          </w:p>
        </w:tc>
        <w:tc>
          <w:tcPr>
            <w:tcW w:w="100" w:type="dxa"/>
            <w:vAlign w:val="bottom"/>
            <w:tcBorders>
              <w:bottom w:val="single" w:sz="8" w:color="CCEEFF"/>
            </w:tcBorders>
          </w:tcPr>
          <w:p>
            <w:pPr>
              <w:spacing w:after="0"/>
              <w:rPr>
                <w:sz w:val="13"/>
                <w:szCs w:val="13"/>
                <w:color w:val="auto"/>
              </w:rPr>
            </w:pPr>
          </w:p>
        </w:tc>
        <w:tc>
          <w:tcPr>
            <w:tcW w:w="5800" w:type="dxa"/>
            <w:vAlign w:val="bottom"/>
            <w:tcBorders>
              <w:bottom w:val="single" w:sz="8" w:color="CCEEFF"/>
            </w:tcBorders>
          </w:tcPr>
          <w:p>
            <w:pPr>
              <w:spacing w:after="0"/>
              <w:rPr>
                <w:sz w:val="13"/>
                <w:szCs w:val="13"/>
                <w:color w:val="auto"/>
              </w:rPr>
            </w:pPr>
          </w:p>
        </w:tc>
      </w:tr>
      <w:tr>
        <w:trPr>
          <w:trHeight w:val="113"/>
        </w:trPr>
        <w:tc>
          <w:tcPr>
            <w:tcW w:w="3680" w:type="dxa"/>
            <w:vAlign w:val="bottom"/>
            <w:shd w:val="clear" w:color="auto" w:fill="CCEEFF"/>
          </w:tcPr>
          <w:p>
            <w:pPr>
              <w:spacing w:after="0"/>
              <w:rPr>
                <w:sz w:val="9"/>
                <w:szCs w:val="9"/>
                <w:color w:val="auto"/>
              </w:rPr>
            </w:pPr>
          </w:p>
        </w:tc>
        <w:tc>
          <w:tcPr>
            <w:tcW w:w="140" w:type="dxa"/>
            <w:vAlign w:val="bottom"/>
            <w:shd w:val="clear" w:color="auto" w:fill="CCEEFF"/>
          </w:tcPr>
          <w:p>
            <w:pPr>
              <w:spacing w:after="0"/>
              <w:rPr>
                <w:sz w:val="9"/>
                <w:szCs w:val="9"/>
                <w:color w:val="auto"/>
              </w:rPr>
            </w:pPr>
          </w:p>
        </w:tc>
        <w:tc>
          <w:tcPr>
            <w:tcW w:w="76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88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5800" w:type="dxa"/>
            <w:vAlign w:val="bottom"/>
            <w:shd w:val="clear" w:color="auto" w:fill="CCEEFF"/>
          </w:tcPr>
          <w:p>
            <w:pPr>
              <w:ind w:left="20"/>
              <w:spacing w:after="0" w:line="114" w:lineRule="exact"/>
              <w:rPr>
                <w:sz w:val="20"/>
                <w:szCs w:val="20"/>
                <w:color w:val="auto"/>
              </w:rPr>
            </w:pPr>
            <w:r>
              <w:rPr>
                <w:rFonts w:ascii="Arial" w:cs="Arial" w:eastAsia="Arial" w:hAnsi="Arial"/>
                <w:sz w:val="11"/>
                <w:szCs w:val="11"/>
                <w:color w:val="auto"/>
                <w:w w:val="92"/>
              </w:rPr>
              <w:t>Represents the yield the Company receives on its loan portfolio less the cost of funding these loans. Variable loan spread is also</w:t>
            </w:r>
          </w:p>
        </w:tc>
      </w:tr>
      <w:tr>
        <w:trPr>
          <w:trHeight w:val="119"/>
        </w:trPr>
        <w:tc>
          <w:tcPr>
            <w:tcW w:w="368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7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800" w:type="dxa"/>
            <w:vAlign w:val="bottom"/>
            <w:shd w:val="clear" w:color="auto" w:fill="CCEEFF"/>
          </w:tcPr>
          <w:p>
            <w:pPr>
              <w:ind w:left="20"/>
              <w:spacing w:after="0" w:line="119" w:lineRule="exact"/>
              <w:rPr>
                <w:sz w:val="20"/>
                <w:szCs w:val="20"/>
                <w:color w:val="auto"/>
              </w:rPr>
            </w:pPr>
            <w:r>
              <w:rPr>
                <w:rFonts w:ascii="Arial" w:cs="Arial" w:eastAsia="Arial" w:hAnsi="Arial"/>
                <w:sz w:val="11"/>
                <w:szCs w:val="11"/>
                <w:color w:val="auto"/>
                <w:w w:val="94"/>
              </w:rPr>
              <w:t>impacted by the amortization/accretion of loan premiums and discounts and the 1.05% per year consolidation loan rebate fee</w:t>
            </w:r>
          </w:p>
        </w:tc>
      </w:tr>
      <w:tr>
        <w:trPr>
          <w:trHeight w:val="152"/>
        </w:trPr>
        <w:tc>
          <w:tcPr>
            <w:tcW w:w="3680" w:type="dxa"/>
            <w:vAlign w:val="bottom"/>
            <w:shd w:val="clear" w:color="auto" w:fill="CCEEFF"/>
          </w:tcPr>
          <w:p>
            <w:pPr>
              <w:ind w:left="20"/>
              <w:spacing w:after="0"/>
              <w:rPr>
                <w:sz w:val="20"/>
                <w:szCs w:val="20"/>
                <w:color w:val="auto"/>
              </w:rPr>
            </w:pPr>
            <w:r>
              <w:rPr>
                <w:rFonts w:ascii="Arial" w:cs="Arial" w:eastAsia="Arial" w:hAnsi="Arial"/>
                <w:sz w:val="11"/>
                <w:szCs w:val="11"/>
                <w:color w:val="auto"/>
              </w:rPr>
              <w:t>Variable loan interest margin</w:t>
            </w:r>
          </w:p>
        </w:tc>
        <w:tc>
          <w:tcPr>
            <w:tcW w:w="140" w:type="dxa"/>
            <w:vAlign w:val="bottom"/>
            <w:shd w:val="clear" w:color="auto" w:fill="CCEEFF"/>
          </w:tcPr>
          <w:p>
            <w:pPr>
              <w:jc w:val="right"/>
              <w:ind w:right="4"/>
              <w:spacing w:after="0"/>
              <w:rPr>
                <w:sz w:val="20"/>
                <w:szCs w:val="20"/>
                <w:color w:val="auto"/>
              </w:rPr>
            </w:pPr>
            <w:r>
              <w:rPr>
                <w:rFonts w:ascii="Arial" w:cs="Arial" w:eastAsia="Arial" w:hAnsi="Arial"/>
                <w:sz w:val="11"/>
                <w:szCs w:val="11"/>
                <w:color w:val="auto"/>
                <w:w w:val="97"/>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43,951</w:t>
            </w:r>
          </w:p>
        </w:tc>
        <w:tc>
          <w:tcPr>
            <w:tcW w:w="100" w:type="dxa"/>
            <w:vAlign w:val="bottom"/>
            <w:shd w:val="clear" w:color="auto" w:fill="CCEEFF"/>
          </w:tcPr>
          <w:p>
            <w:pPr>
              <w:spacing w:after="0"/>
              <w:rPr>
                <w:sz w:val="13"/>
                <w:szCs w:val="13"/>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1"/>
                <w:szCs w:val="11"/>
                <w:color w:val="auto"/>
              </w:rPr>
              <w:t>46,884</w:t>
            </w:r>
          </w:p>
        </w:tc>
        <w:tc>
          <w:tcPr>
            <w:tcW w:w="100" w:type="dxa"/>
            <w:vAlign w:val="bottom"/>
            <w:shd w:val="clear" w:color="auto" w:fill="CCEEFF"/>
          </w:tcPr>
          <w:p>
            <w:pPr>
              <w:spacing w:after="0"/>
              <w:rPr>
                <w:sz w:val="13"/>
                <w:szCs w:val="13"/>
                <w:color w:val="auto"/>
              </w:rPr>
            </w:pPr>
          </w:p>
        </w:tc>
        <w:tc>
          <w:tcPr>
            <w:tcW w:w="5800" w:type="dxa"/>
            <w:vAlign w:val="bottom"/>
            <w:shd w:val="clear" w:color="auto" w:fill="CCEEFF"/>
          </w:tcPr>
          <w:p>
            <w:pPr>
              <w:ind w:left="20"/>
              <w:spacing w:after="0"/>
              <w:rPr>
                <w:sz w:val="20"/>
                <w:szCs w:val="20"/>
                <w:color w:val="auto"/>
              </w:rPr>
            </w:pPr>
            <w:r>
              <w:rPr>
                <w:rFonts w:ascii="Arial" w:cs="Arial" w:eastAsia="Arial" w:hAnsi="Arial"/>
                <w:sz w:val="11"/>
                <w:szCs w:val="11"/>
                <w:color w:val="auto"/>
              </w:rPr>
              <w:t>paid to the Department. See AGM operating segment - results of operations.</w:t>
            </w:r>
          </w:p>
        </w:tc>
      </w:tr>
      <w:tr>
        <w:trPr>
          <w:trHeight w:val="156"/>
        </w:trPr>
        <w:tc>
          <w:tcPr>
            <w:tcW w:w="3680" w:type="dxa"/>
            <w:vAlign w:val="bottom"/>
            <w:tcBorders>
              <w:bottom w:val="single" w:sz="8" w:color="CCEEFF"/>
            </w:tcBorders>
          </w:tcPr>
          <w:p>
            <w:pPr>
              <w:ind w:left="20"/>
              <w:spacing w:after="0"/>
              <w:rPr>
                <w:sz w:val="20"/>
                <w:szCs w:val="20"/>
                <w:color w:val="auto"/>
              </w:rPr>
            </w:pPr>
            <w:r>
              <w:rPr>
                <w:rFonts w:ascii="Arial" w:cs="Arial" w:eastAsia="Arial" w:hAnsi="Arial"/>
                <w:sz w:val="11"/>
                <w:szCs w:val="11"/>
                <w:color w:val="auto"/>
              </w:rPr>
              <w:t>Settlements on associated derivatives</w:t>
            </w:r>
          </w:p>
        </w:tc>
        <w:tc>
          <w:tcPr>
            <w:tcW w:w="140" w:type="dxa"/>
            <w:vAlign w:val="bottom"/>
            <w:tcBorders>
              <w:bottom w:val="single" w:sz="8" w:color="auto"/>
            </w:tcBorders>
          </w:tcPr>
          <w:p>
            <w:pPr>
              <w:spacing w:after="0"/>
              <w:rPr>
                <w:sz w:val="13"/>
                <w:szCs w:val="13"/>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2,334</w:t>
            </w:r>
          </w:p>
        </w:tc>
        <w:tc>
          <w:tcPr>
            <w:tcW w:w="100" w:type="dxa"/>
            <w:vAlign w:val="bottom"/>
            <w:tcBorders>
              <w:bottom w:val="single" w:sz="8" w:color="CCEEFF"/>
            </w:tcBorders>
          </w:tcPr>
          <w:p>
            <w:pPr>
              <w:spacing w:after="0"/>
              <w:rPr>
                <w:sz w:val="13"/>
                <w:szCs w:val="13"/>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(1,664)</w:t>
            </w:r>
          </w:p>
        </w:tc>
        <w:tc>
          <w:tcPr>
            <w:tcW w:w="100" w:type="dxa"/>
            <w:vAlign w:val="bottom"/>
            <w:tcBorders>
              <w:bottom w:val="single" w:sz="8" w:color="CCEEFF"/>
            </w:tcBorders>
          </w:tcPr>
          <w:p>
            <w:pPr>
              <w:spacing w:after="0"/>
              <w:rPr>
                <w:sz w:val="13"/>
                <w:szCs w:val="13"/>
                <w:color w:val="auto"/>
              </w:rPr>
            </w:pPr>
          </w:p>
        </w:tc>
        <w:tc>
          <w:tcPr>
            <w:tcW w:w="5800" w:type="dxa"/>
            <w:vAlign w:val="bottom"/>
            <w:tcBorders>
              <w:bottom w:val="single" w:sz="8" w:color="CCEEFF"/>
            </w:tcBorders>
          </w:tcPr>
          <w:p>
            <w:pPr>
              <w:ind w:left="20"/>
              <w:spacing w:after="0"/>
              <w:rPr>
                <w:sz w:val="20"/>
                <w:szCs w:val="20"/>
                <w:color w:val="auto"/>
              </w:rPr>
            </w:pPr>
            <w:r>
              <w:rPr>
                <w:rFonts w:ascii="Arial" w:cs="Arial" w:eastAsia="Arial" w:hAnsi="Arial"/>
                <w:sz w:val="11"/>
                <w:szCs w:val="11"/>
                <w:color w:val="auto"/>
              </w:rPr>
              <w:t>Represents the net settlements received (paid) related to the Company’s 1:3 basis swaps.</w:t>
            </w:r>
          </w:p>
        </w:tc>
      </w:tr>
      <w:tr>
        <w:trPr>
          <w:trHeight w:val="158"/>
        </w:trPr>
        <w:tc>
          <w:tcPr>
            <w:tcW w:w="3680" w:type="dxa"/>
            <w:vAlign w:val="bottom"/>
            <w:shd w:val="clear" w:color="auto" w:fill="CCEEFF"/>
          </w:tcPr>
          <w:p>
            <w:pPr>
              <w:ind w:left="80"/>
              <w:spacing w:after="0"/>
              <w:rPr>
                <w:sz w:val="20"/>
                <w:szCs w:val="20"/>
                <w:color w:val="auto"/>
              </w:rPr>
            </w:pPr>
            <w:r>
              <w:rPr>
                <w:rFonts w:ascii="Arial" w:cs="Arial" w:eastAsia="Arial" w:hAnsi="Arial"/>
                <w:sz w:val="11"/>
                <w:szCs w:val="11"/>
                <w:color w:val="auto"/>
              </w:rPr>
              <w:t>Variable loan interest margin, net of settlements on derivatives</w:t>
            </w:r>
          </w:p>
        </w:tc>
        <w:tc>
          <w:tcPr>
            <w:tcW w:w="140" w:type="dxa"/>
            <w:vAlign w:val="bottom"/>
            <w:tcBorders>
              <w:bottom w:val="single" w:sz="8" w:color="auto"/>
            </w:tcBorders>
            <w:shd w:val="clear" w:color="auto" w:fill="CCEEFF"/>
          </w:tcPr>
          <w:p>
            <w:pPr>
              <w:spacing w:after="0"/>
              <w:rPr>
                <w:sz w:val="13"/>
                <w:szCs w:val="13"/>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rPr>
              <w:t>46,285</w:t>
            </w:r>
          </w:p>
        </w:tc>
        <w:tc>
          <w:tcPr>
            <w:tcW w:w="100" w:type="dxa"/>
            <w:vAlign w:val="bottom"/>
            <w:shd w:val="clear" w:color="auto" w:fill="CCEEFF"/>
          </w:tcPr>
          <w:p>
            <w:pPr>
              <w:spacing w:after="0"/>
              <w:rPr>
                <w:sz w:val="13"/>
                <w:szCs w:val="13"/>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rPr>
              <w:t>45,220</w:t>
            </w:r>
          </w:p>
        </w:tc>
        <w:tc>
          <w:tcPr>
            <w:tcW w:w="100" w:type="dxa"/>
            <w:vAlign w:val="bottom"/>
            <w:shd w:val="clear" w:color="auto" w:fill="CCEEFF"/>
          </w:tcPr>
          <w:p>
            <w:pPr>
              <w:spacing w:after="0"/>
              <w:rPr>
                <w:sz w:val="13"/>
                <w:szCs w:val="13"/>
                <w:color w:val="auto"/>
              </w:rPr>
            </w:pPr>
          </w:p>
        </w:tc>
        <w:tc>
          <w:tcPr>
            <w:tcW w:w="5800" w:type="dxa"/>
            <w:vAlign w:val="bottom"/>
            <w:shd w:val="clear" w:color="auto" w:fill="CCEEFF"/>
          </w:tcPr>
          <w:p>
            <w:pPr>
              <w:spacing w:after="0"/>
              <w:rPr>
                <w:sz w:val="13"/>
                <w:szCs w:val="13"/>
                <w:color w:val="auto"/>
              </w:rPr>
            </w:pPr>
          </w:p>
        </w:tc>
      </w:tr>
      <w:tr>
        <w:trPr>
          <w:trHeight w:val="108"/>
        </w:trPr>
        <w:tc>
          <w:tcPr>
            <w:tcW w:w="3680" w:type="dxa"/>
            <w:vAlign w:val="bottom"/>
          </w:tcPr>
          <w:p>
            <w:pPr>
              <w:spacing w:after="0"/>
              <w:rPr>
                <w:sz w:val="9"/>
                <w:szCs w:val="9"/>
                <w:color w:val="auto"/>
              </w:rPr>
            </w:pPr>
          </w:p>
        </w:tc>
        <w:tc>
          <w:tcPr>
            <w:tcW w:w="140" w:type="dxa"/>
            <w:vAlign w:val="bottom"/>
          </w:tcPr>
          <w:p>
            <w:pPr>
              <w:spacing w:after="0"/>
              <w:rPr>
                <w:sz w:val="9"/>
                <w:szCs w:val="9"/>
                <w:color w:val="auto"/>
              </w:rPr>
            </w:pPr>
          </w:p>
        </w:tc>
        <w:tc>
          <w:tcPr>
            <w:tcW w:w="760" w:type="dxa"/>
            <w:vAlign w:val="bottom"/>
          </w:tcPr>
          <w:p>
            <w:pPr>
              <w:spacing w:after="0"/>
              <w:rPr>
                <w:sz w:val="9"/>
                <w:szCs w:val="9"/>
                <w:color w:val="auto"/>
              </w:rPr>
            </w:pPr>
          </w:p>
        </w:tc>
        <w:tc>
          <w:tcPr>
            <w:tcW w:w="100" w:type="dxa"/>
            <w:vAlign w:val="bottom"/>
          </w:tcPr>
          <w:p>
            <w:pPr>
              <w:spacing w:after="0"/>
              <w:rPr>
                <w:sz w:val="9"/>
                <w:szCs w:val="9"/>
                <w:color w:val="auto"/>
              </w:rPr>
            </w:pPr>
          </w:p>
        </w:tc>
        <w:tc>
          <w:tcPr>
            <w:tcW w:w="880" w:type="dxa"/>
            <w:vAlign w:val="bottom"/>
          </w:tcPr>
          <w:p>
            <w:pPr>
              <w:spacing w:after="0"/>
              <w:rPr>
                <w:sz w:val="9"/>
                <w:szCs w:val="9"/>
                <w:color w:val="auto"/>
              </w:rPr>
            </w:pPr>
          </w:p>
        </w:tc>
        <w:tc>
          <w:tcPr>
            <w:tcW w:w="100" w:type="dxa"/>
            <w:vAlign w:val="bottom"/>
          </w:tcPr>
          <w:p>
            <w:pPr>
              <w:spacing w:after="0"/>
              <w:rPr>
                <w:sz w:val="9"/>
                <w:szCs w:val="9"/>
                <w:color w:val="auto"/>
              </w:rPr>
            </w:pPr>
          </w:p>
        </w:tc>
        <w:tc>
          <w:tcPr>
            <w:tcW w:w="5800" w:type="dxa"/>
            <w:vAlign w:val="bottom"/>
          </w:tcPr>
          <w:p>
            <w:pPr>
              <w:ind w:left="20"/>
              <w:spacing w:after="0" w:line="108" w:lineRule="exact"/>
              <w:rPr>
                <w:sz w:val="20"/>
                <w:szCs w:val="20"/>
                <w:color w:val="auto"/>
              </w:rPr>
            </w:pPr>
            <w:r>
              <w:rPr>
                <w:rFonts w:ascii="Arial" w:cs="Arial" w:eastAsia="Arial" w:hAnsi="Arial"/>
                <w:sz w:val="11"/>
                <w:szCs w:val="11"/>
                <w:color w:val="auto"/>
                <w:w w:val="95"/>
              </w:rPr>
              <w:t>The Company has a portfolio of student loans that are earning interest at a fixed borrower rate which exceeds the statutorily</w:t>
            </w:r>
          </w:p>
        </w:tc>
      </w:tr>
      <w:tr>
        <w:trPr>
          <w:trHeight w:val="119"/>
        </w:trPr>
        <w:tc>
          <w:tcPr>
            <w:tcW w:w="36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800" w:type="dxa"/>
            <w:vAlign w:val="bottom"/>
          </w:tcPr>
          <w:p>
            <w:pPr>
              <w:ind w:left="20"/>
              <w:spacing w:after="0" w:line="119" w:lineRule="exact"/>
              <w:rPr>
                <w:sz w:val="20"/>
                <w:szCs w:val="20"/>
                <w:color w:val="auto"/>
              </w:rPr>
            </w:pPr>
            <w:r>
              <w:rPr>
                <w:rFonts w:ascii="Arial" w:cs="Arial" w:eastAsia="Arial" w:hAnsi="Arial"/>
                <w:sz w:val="11"/>
                <w:szCs w:val="11"/>
                <w:color w:val="auto"/>
                <w:w w:val="95"/>
              </w:rPr>
              <w:t>defined variable lender rates, generating fixed rate floor income. See Item 3, "Quantitative and Qualitative Disclosures About</w:t>
            </w:r>
          </w:p>
        </w:tc>
      </w:tr>
      <w:tr>
        <w:trPr>
          <w:trHeight w:val="147"/>
        </w:trPr>
        <w:tc>
          <w:tcPr>
            <w:tcW w:w="3680" w:type="dxa"/>
            <w:vAlign w:val="bottom"/>
          </w:tcPr>
          <w:p>
            <w:pPr>
              <w:ind w:left="20"/>
              <w:spacing w:after="0"/>
              <w:rPr>
                <w:sz w:val="20"/>
                <w:szCs w:val="20"/>
                <w:color w:val="auto"/>
              </w:rPr>
            </w:pPr>
            <w:r>
              <w:rPr>
                <w:rFonts w:ascii="Arial" w:cs="Arial" w:eastAsia="Arial" w:hAnsi="Arial"/>
                <w:sz w:val="11"/>
                <w:szCs w:val="11"/>
                <w:color w:val="auto"/>
              </w:rPr>
              <w:t>Fixed rate floor income</w:t>
            </w:r>
          </w:p>
        </w:tc>
        <w:tc>
          <w:tcPr>
            <w:tcW w:w="140" w:type="dxa"/>
            <w:vAlign w:val="bottom"/>
          </w:tcPr>
          <w:p>
            <w:pPr>
              <w:spacing w:after="0"/>
              <w:rPr>
                <w:sz w:val="12"/>
                <w:szCs w:val="12"/>
                <w:color w:val="auto"/>
              </w:rPr>
            </w:pPr>
          </w:p>
        </w:tc>
        <w:tc>
          <w:tcPr>
            <w:tcW w:w="760" w:type="dxa"/>
            <w:vAlign w:val="bottom"/>
          </w:tcPr>
          <w:p>
            <w:pPr>
              <w:jc w:val="right"/>
              <w:spacing w:after="0"/>
              <w:rPr>
                <w:sz w:val="20"/>
                <w:szCs w:val="20"/>
                <w:color w:val="auto"/>
              </w:rPr>
            </w:pPr>
            <w:r>
              <w:rPr>
                <w:rFonts w:ascii="Arial" w:cs="Arial" w:eastAsia="Arial" w:hAnsi="Arial"/>
                <w:sz w:val="11"/>
                <w:szCs w:val="11"/>
                <w:color w:val="auto"/>
              </w:rPr>
              <w:t>10,425</w:t>
            </w:r>
          </w:p>
        </w:tc>
        <w:tc>
          <w:tcPr>
            <w:tcW w:w="100" w:type="dxa"/>
            <w:vAlign w:val="bottom"/>
          </w:tcPr>
          <w:p>
            <w:pPr>
              <w:spacing w:after="0"/>
              <w:rPr>
                <w:sz w:val="12"/>
                <w:szCs w:val="12"/>
                <w:color w:val="auto"/>
              </w:rPr>
            </w:pPr>
          </w:p>
        </w:tc>
        <w:tc>
          <w:tcPr>
            <w:tcW w:w="880" w:type="dxa"/>
            <w:vAlign w:val="bottom"/>
          </w:tcPr>
          <w:p>
            <w:pPr>
              <w:jc w:val="right"/>
              <w:spacing w:after="0"/>
              <w:rPr>
                <w:sz w:val="20"/>
                <w:szCs w:val="20"/>
                <w:color w:val="auto"/>
              </w:rPr>
            </w:pPr>
            <w:r>
              <w:rPr>
                <w:rFonts w:ascii="Arial" w:cs="Arial" w:eastAsia="Arial" w:hAnsi="Arial"/>
                <w:sz w:val="11"/>
                <w:szCs w:val="11"/>
                <w:color w:val="auto"/>
              </w:rPr>
              <w:t>17,247</w:t>
            </w:r>
          </w:p>
        </w:tc>
        <w:tc>
          <w:tcPr>
            <w:tcW w:w="100" w:type="dxa"/>
            <w:vAlign w:val="bottom"/>
          </w:tcPr>
          <w:p>
            <w:pPr>
              <w:spacing w:after="0"/>
              <w:rPr>
                <w:sz w:val="12"/>
                <w:szCs w:val="12"/>
                <w:color w:val="auto"/>
              </w:rPr>
            </w:pPr>
          </w:p>
        </w:tc>
        <w:tc>
          <w:tcPr>
            <w:tcW w:w="5800" w:type="dxa"/>
            <w:vAlign w:val="bottom"/>
          </w:tcPr>
          <w:p>
            <w:pPr>
              <w:ind w:left="20"/>
              <w:spacing w:after="0"/>
              <w:rPr>
                <w:sz w:val="20"/>
                <w:szCs w:val="20"/>
                <w:color w:val="auto"/>
              </w:rPr>
            </w:pPr>
            <w:r>
              <w:rPr>
                <w:rFonts w:ascii="Arial" w:cs="Arial" w:eastAsia="Arial" w:hAnsi="Arial"/>
                <w:sz w:val="11"/>
                <w:szCs w:val="11"/>
                <w:color w:val="auto"/>
              </w:rPr>
              <w:t>Market Risk - Interest Rate Risk" for additional information.</w:t>
            </w:r>
          </w:p>
        </w:tc>
      </w:tr>
      <w:tr>
        <w:trPr>
          <w:trHeight w:val="162"/>
        </w:trPr>
        <w:tc>
          <w:tcPr>
            <w:tcW w:w="3680" w:type="dxa"/>
            <w:vAlign w:val="bottom"/>
            <w:shd w:val="clear" w:color="auto" w:fill="CCEEFF"/>
          </w:tcPr>
          <w:p>
            <w:pPr>
              <w:ind w:left="20"/>
              <w:spacing w:after="0"/>
              <w:rPr>
                <w:sz w:val="20"/>
                <w:szCs w:val="20"/>
                <w:color w:val="auto"/>
              </w:rPr>
            </w:pPr>
            <w:r>
              <w:rPr>
                <w:rFonts w:ascii="Arial" w:cs="Arial" w:eastAsia="Arial" w:hAnsi="Arial"/>
                <w:sz w:val="11"/>
                <w:szCs w:val="11"/>
                <w:color w:val="auto"/>
              </w:rPr>
              <w:t>Settlements on associated derivatives</w:t>
            </w:r>
          </w:p>
        </w:tc>
        <w:tc>
          <w:tcPr>
            <w:tcW w:w="140" w:type="dxa"/>
            <w:vAlign w:val="bottom"/>
            <w:tcBorders>
              <w:bottom w:val="single" w:sz="8" w:color="auto"/>
            </w:tcBorders>
            <w:shd w:val="clear" w:color="auto" w:fill="CCEEFF"/>
          </w:tcPr>
          <w:p>
            <w:pPr>
              <w:spacing w:after="0"/>
              <w:rPr>
                <w:sz w:val="14"/>
                <w:szCs w:val="14"/>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rPr>
              <w:t>16,701</w:t>
            </w:r>
          </w:p>
        </w:tc>
        <w:tc>
          <w:tcPr>
            <w:tcW w:w="100" w:type="dxa"/>
            <w:vAlign w:val="bottom"/>
            <w:shd w:val="clear" w:color="auto" w:fill="CCEEFF"/>
          </w:tcPr>
          <w:p>
            <w:pPr>
              <w:spacing w:after="0"/>
              <w:rPr>
                <w:sz w:val="14"/>
                <w:szCs w:val="14"/>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rPr>
              <w:t>8,590</w:t>
            </w:r>
          </w:p>
        </w:tc>
        <w:tc>
          <w:tcPr>
            <w:tcW w:w="100" w:type="dxa"/>
            <w:vAlign w:val="bottom"/>
            <w:shd w:val="clear" w:color="auto" w:fill="CCEEFF"/>
          </w:tcPr>
          <w:p>
            <w:pPr>
              <w:spacing w:after="0"/>
              <w:rPr>
                <w:sz w:val="14"/>
                <w:szCs w:val="14"/>
                <w:color w:val="auto"/>
              </w:rPr>
            </w:pPr>
          </w:p>
        </w:tc>
        <w:tc>
          <w:tcPr>
            <w:tcW w:w="5800" w:type="dxa"/>
            <w:vAlign w:val="bottom"/>
            <w:shd w:val="clear" w:color="auto" w:fill="CCEEFF"/>
          </w:tcPr>
          <w:p>
            <w:pPr>
              <w:ind w:left="20"/>
              <w:spacing w:after="0"/>
              <w:rPr>
                <w:sz w:val="20"/>
                <w:szCs w:val="20"/>
                <w:color w:val="auto"/>
              </w:rPr>
            </w:pPr>
            <w:r>
              <w:rPr>
                <w:rFonts w:ascii="Arial" w:cs="Arial" w:eastAsia="Arial" w:hAnsi="Arial"/>
                <w:sz w:val="11"/>
                <w:szCs w:val="11"/>
                <w:color w:val="auto"/>
              </w:rPr>
              <w:t>Represents the net settlements received related to the Company’s floor income interest rate swaps.</w:t>
            </w:r>
          </w:p>
        </w:tc>
      </w:tr>
      <w:tr>
        <w:trPr>
          <w:trHeight w:val="152"/>
        </w:trPr>
        <w:tc>
          <w:tcPr>
            <w:tcW w:w="3680" w:type="dxa"/>
            <w:vAlign w:val="bottom"/>
            <w:tcBorders>
              <w:bottom w:val="single" w:sz="8" w:color="CCEEFF"/>
            </w:tcBorders>
          </w:tcPr>
          <w:p>
            <w:pPr>
              <w:ind w:left="80"/>
              <w:spacing w:after="0"/>
              <w:rPr>
                <w:sz w:val="20"/>
                <w:szCs w:val="20"/>
                <w:color w:val="auto"/>
              </w:rPr>
            </w:pPr>
            <w:r>
              <w:rPr>
                <w:rFonts w:ascii="Arial" w:cs="Arial" w:eastAsia="Arial" w:hAnsi="Arial"/>
                <w:sz w:val="11"/>
                <w:szCs w:val="11"/>
                <w:color w:val="auto"/>
              </w:rPr>
              <w:t>Fixed rate floor income, net of settlements on derivatives</w:t>
            </w:r>
          </w:p>
        </w:tc>
        <w:tc>
          <w:tcPr>
            <w:tcW w:w="140" w:type="dxa"/>
            <w:vAlign w:val="bottom"/>
            <w:tcBorders>
              <w:bottom w:val="single" w:sz="8" w:color="auto"/>
            </w:tcBorders>
          </w:tcPr>
          <w:p>
            <w:pPr>
              <w:spacing w:after="0"/>
              <w:rPr>
                <w:sz w:val="13"/>
                <w:szCs w:val="13"/>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27,126</w:t>
            </w:r>
          </w:p>
        </w:tc>
        <w:tc>
          <w:tcPr>
            <w:tcW w:w="100" w:type="dxa"/>
            <w:vAlign w:val="bottom"/>
            <w:tcBorders>
              <w:bottom w:val="single" w:sz="8" w:color="CCEEFF"/>
            </w:tcBorders>
          </w:tcPr>
          <w:p>
            <w:pPr>
              <w:spacing w:after="0"/>
              <w:rPr>
                <w:sz w:val="13"/>
                <w:szCs w:val="13"/>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25,837</w:t>
            </w:r>
          </w:p>
        </w:tc>
        <w:tc>
          <w:tcPr>
            <w:tcW w:w="100" w:type="dxa"/>
            <w:vAlign w:val="bottom"/>
            <w:tcBorders>
              <w:bottom w:val="single" w:sz="8" w:color="CCEEFF"/>
            </w:tcBorders>
          </w:tcPr>
          <w:p>
            <w:pPr>
              <w:spacing w:after="0"/>
              <w:rPr>
                <w:sz w:val="13"/>
                <w:szCs w:val="13"/>
                <w:color w:val="auto"/>
              </w:rPr>
            </w:pPr>
          </w:p>
        </w:tc>
        <w:tc>
          <w:tcPr>
            <w:tcW w:w="5800" w:type="dxa"/>
            <w:vAlign w:val="bottom"/>
            <w:tcBorders>
              <w:bottom w:val="single" w:sz="8" w:color="CCEEFF"/>
            </w:tcBorders>
          </w:tcPr>
          <w:p>
            <w:pPr>
              <w:spacing w:after="0"/>
              <w:rPr>
                <w:sz w:val="13"/>
                <w:szCs w:val="13"/>
                <w:color w:val="auto"/>
              </w:rPr>
            </w:pPr>
          </w:p>
        </w:tc>
      </w:tr>
      <w:tr>
        <w:trPr>
          <w:trHeight w:val="158"/>
        </w:trPr>
        <w:tc>
          <w:tcPr>
            <w:tcW w:w="3680" w:type="dxa"/>
            <w:vAlign w:val="bottom"/>
            <w:shd w:val="clear" w:color="auto" w:fill="CCEEFF"/>
          </w:tcPr>
          <w:p>
            <w:pPr>
              <w:ind w:left="20"/>
              <w:spacing w:after="0"/>
              <w:rPr>
                <w:sz w:val="20"/>
                <w:szCs w:val="20"/>
                <w:color w:val="auto"/>
              </w:rPr>
            </w:pPr>
            <w:r>
              <w:rPr>
                <w:rFonts w:ascii="Arial" w:cs="Arial" w:eastAsia="Arial" w:hAnsi="Arial"/>
                <w:sz w:val="11"/>
                <w:szCs w:val="11"/>
                <w:color w:val="auto"/>
              </w:rPr>
              <w:t>Investment interest</w:t>
            </w:r>
          </w:p>
        </w:tc>
        <w:tc>
          <w:tcPr>
            <w:tcW w:w="140" w:type="dxa"/>
            <w:vAlign w:val="bottom"/>
            <w:shd w:val="clear" w:color="auto" w:fill="CCEEFF"/>
          </w:tcPr>
          <w:p>
            <w:pPr>
              <w:spacing w:after="0"/>
              <w:rPr>
                <w:sz w:val="13"/>
                <w:szCs w:val="13"/>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8,253</w:t>
            </w:r>
          </w:p>
        </w:tc>
        <w:tc>
          <w:tcPr>
            <w:tcW w:w="100" w:type="dxa"/>
            <w:vAlign w:val="bottom"/>
            <w:shd w:val="clear" w:color="auto" w:fill="CCEEFF"/>
          </w:tcPr>
          <w:p>
            <w:pPr>
              <w:spacing w:after="0"/>
              <w:rPr>
                <w:sz w:val="13"/>
                <w:szCs w:val="13"/>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1"/>
                <w:szCs w:val="11"/>
                <w:color w:val="auto"/>
              </w:rPr>
              <w:t>5,134</w:t>
            </w:r>
          </w:p>
        </w:tc>
        <w:tc>
          <w:tcPr>
            <w:tcW w:w="100" w:type="dxa"/>
            <w:vAlign w:val="bottom"/>
            <w:shd w:val="clear" w:color="auto" w:fill="CCEEFF"/>
          </w:tcPr>
          <w:p>
            <w:pPr>
              <w:spacing w:after="0"/>
              <w:rPr>
                <w:sz w:val="13"/>
                <w:szCs w:val="13"/>
                <w:color w:val="auto"/>
              </w:rPr>
            </w:pPr>
          </w:p>
        </w:tc>
        <w:tc>
          <w:tcPr>
            <w:tcW w:w="5800" w:type="dxa"/>
            <w:vAlign w:val="bottom"/>
            <w:shd w:val="clear" w:color="auto" w:fill="CCEEFF"/>
          </w:tcPr>
          <w:p>
            <w:pPr>
              <w:spacing w:after="0"/>
              <w:rPr>
                <w:sz w:val="13"/>
                <w:szCs w:val="13"/>
                <w:color w:val="auto"/>
              </w:rPr>
            </w:pPr>
          </w:p>
        </w:tc>
      </w:tr>
      <w:tr>
        <w:trPr>
          <w:trHeight w:val="128"/>
        </w:trPr>
        <w:tc>
          <w:tcPr>
            <w:tcW w:w="36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0" w:type="dxa"/>
            <w:vAlign w:val="bottom"/>
          </w:tcPr>
          <w:p>
            <w:pPr>
              <w:ind w:left="20"/>
              <w:spacing w:after="0"/>
              <w:rPr>
                <w:sz w:val="20"/>
                <w:szCs w:val="20"/>
                <w:color w:val="auto"/>
              </w:rPr>
            </w:pPr>
            <w:r>
              <w:rPr>
                <w:rFonts w:ascii="Arial" w:cs="Arial" w:eastAsia="Arial" w:hAnsi="Arial"/>
                <w:sz w:val="11"/>
                <w:szCs w:val="11"/>
                <w:color w:val="auto"/>
                <w:w w:val="91"/>
              </w:rPr>
              <w:t>Includes interest expense on the Junior Subordinated Hybrid Securities and unsecured line of credit. Increase due to an increase</w:t>
            </w:r>
          </w:p>
        </w:tc>
      </w:tr>
      <w:tr>
        <w:trPr>
          <w:trHeight w:val="147"/>
        </w:trPr>
        <w:tc>
          <w:tcPr>
            <w:tcW w:w="3680" w:type="dxa"/>
            <w:vAlign w:val="bottom"/>
          </w:tcPr>
          <w:p>
            <w:pPr>
              <w:ind w:left="20"/>
              <w:spacing w:after="0"/>
              <w:rPr>
                <w:sz w:val="20"/>
                <w:szCs w:val="20"/>
                <w:color w:val="auto"/>
              </w:rPr>
            </w:pPr>
            <w:r>
              <w:rPr>
                <w:rFonts w:ascii="Arial" w:cs="Arial" w:eastAsia="Arial" w:hAnsi="Arial"/>
                <w:sz w:val="11"/>
                <w:szCs w:val="11"/>
                <w:color w:val="auto"/>
              </w:rPr>
              <w:t>Corporate debt interest expense</w:t>
            </w:r>
          </w:p>
        </w:tc>
        <w:tc>
          <w:tcPr>
            <w:tcW w:w="140" w:type="dxa"/>
            <w:vAlign w:val="bottom"/>
          </w:tcPr>
          <w:p>
            <w:pPr>
              <w:spacing w:after="0"/>
              <w:rPr>
                <w:sz w:val="12"/>
                <w:szCs w:val="12"/>
                <w:color w:val="auto"/>
              </w:rPr>
            </w:pPr>
          </w:p>
        </w:tc>
        <w:tc>
          <w:tcPr>
            <w:tcW w:w="760" w:type="dxa"/>
            <w:vAlign w:val="bottom"/>
          </w:tcPr>
          <w:p>
            <w:pPr>
              <w:jc w:val="right"/>
              <w:spacing w:after="0"/>
              <w:rPr>
                <w:sz w:val="20"/>
                <w:szCs w:val="20"/>
                <w:color w:val="auto"/>
              </w:rPr>
            </w:pPr>
            <w:r>
              <w:rPr>
                <w:rFonts w:ascii="Arial" w:cs="Arial" w:eastAsia="Arial" w:hAnsi="Arial"/>
                <w:sz w:val="11"/>
                <w:szCs w:val="11"/>
                <w:color w:val="auto"/>
              </w:rPr>
              <w:t>(3,813)</w:t>
            </w:r>
          </w:p>
        </w:tc>
        <w:tc>
          <w:tcPr>
            <w:tcW w:w="100" w:type="dxa"/>
            <w:vAlign w:val="bottom"/>
          </w:tcPr>
          <w:p>
            <w:pPr>
              <w:spacing w:after="0"/>
              <w:rPr>
                <w:sz w:val="12"/>
                <w:szCs w:val="12"/>
                <w:color w:val="auto"/>
              </w:rPr>
            </w:pPr>
          </w:p>
        </w:tc>
        <w:tc>
          <w:tcPr>
            <w:tcW w:w="880" w:type="dxa"/>
            <w:vAlign w:val="bottom"/>
          </w:tcPr>
          <w:p>
            <w:pPr>
              <w:jc w:val="right"/>
              <w:spacing w:after="0"/>
              <w:rPr>
                <w:sz w:val="20"/>
                <w:szCs w:val="20"/>
                <w:color w:val="auto"/>
              </w:rPr>
            </w:pPr>
            <w:r>
              <w:rPr>
                <w:rFonts w:ascii="Arial" w:cs="Arial" w:eastAsia="Arial" w:hAnsi="Arial"/>
                <w:sz w:val="11"/>
                <w:szCs w:val="11"/>
                <w:color w:val="auto"/>
              </w:rPr>
              <w:t>(1,958)</w:t>
            </w:r>
          </w:p>
        </w:tc>
        <w:tc>
          <w:tcPr>
            <w:tcW w:w="100" w:type="dxa"/>
            <w:vAlign w:val="bottom"/>
          </w:tcPr>
          <w:p>
            <w:pPr>
              <w:spacing w:after="0"/>
              <w:rPr>
                <w:sz w:val="12"/>
                <w:szCs w:val="12"/>
                <w:color w:val="auto"/>
              </w:rPr>
            </w:pPr>
          </w:p>
        </w:tc>
        <w:tc>
          <w:tcPr>
            <w:tcW w:w="5800" w:type="dxa"/>
            <w:vAlign w:val="bottom"/>
          </w:tcPr>
          <w:p>
            <w:pPr>
              <w:ind w:left="20"/>
              <w:spacing w:after="0"/>
              <w:rPr>
                <w:sz w:val="20"/>
                <w:szCs w:val="20"/>
                <w:color w:val="auto"/>
              </w:rPr>
            </w:pPr>
            <w:r>
              <w:rPr>
                <w:rFonts w:ascii="Arial" w:cs="Arial" w:eastAsia="Arial" w:hAnsi="Arial"/>
                <w:sz w:val="11"/>
                <w:szCs w:val="11"/>
                <w:color w:val="auto"/>
              </w:rPr>
              <w:t>in interest rates and in the average balance outstanding on the Company's unsecured line of credit.</w:t>
            </w:r>
          </w:p>
        </w:tc>
      </w:tr>
      <w:tr>
        <w:trPr>
          <w:trHeight w:val="162"/>
        </w:trPr>
        <w:tc>
          <w:tcPr>
            <w:tcW w:w="3680" w:type="dxa"/>
            <w:vAlign w:val="bottom"/>
            <w:shd w:val="clear" w:color="auto" w:fill="CCEEFF"/>
          </w:tcPr>
          <w:p>
            <w:pPr>
              <w:ind w:left="20"/>
              <w:spacing w:after="0"/>
              <w:rPr>
                <w:sz w:val="20"/>
                <w:szCs w:val="20"/>
                <w:color w:val="auto"/>
              </w:rPr>
            </w:pPr>
            <w:r>
              <w:rPr>
                <w:rFonts w:ascii="Arial" w:cs="Arial" w:eastAsia="Arial" w:hAnsi="Arial"/>
                <w:sz w:val="11"/>
                <w:szCs w:val="11"/>
                <w:color w:val="auto"/>
              </w:rPr>
              <w:t>Non-portfolio related derivative settlements</w:t>
            </w:r>
          </w:p>
        </w:tc>
        <w:tc>
          <w:tcPr>
            <w:tcW w:w="140" w:type="dxa"/>
            <w:vAlign w:val="bottom"/>
            <w:shd w:val="clear" w:color="auto" w:fill="CCEEFF"/>
          </w:tcPr>
          <w:p>
            <w:pPr>
              <w:spacing w:after="0"/>
              <w:rPr>
                <w:sz w:val="14"/>
                <w:szCs w:val="14"/>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1"/>
                <w:szCs w:val="11"/>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(160)</w:t>
            </w:r>
          </w:p>
        </w:tc>
        <w:tc>
          <w:tcPr>
            <w:tcW w:w="100" w:type="dxa"/>
            <w:vAlign w:val="bottom"/>
            <w:shd w:val="clear" w:color="auto" w:fill="CCEEFF"/>
          </w:tcPr>
          <w:p>
            <w:pPr>
              <w:spacing w:after="0"/>
              <w:rPr>
                <w:sz w:val="14"/>
                <w:szCs w:val="14"/>
                <w:color w:val="auto"/>
              </w:rPr>
            </w:pPr>
          </w:p>
        </w:tc>
        <w:tc>
          <w:tcPr>
            <w:tcW w:w="5800" w:type="dxa"/>
            <w:vAlign w:val="bottom"/>
            <w:shd w:val="clear" w:color="auto" w:fill="CCEEFF"/>
          </w:tcPr>
          <w:p>
            <w:pPr>
              <w:ind w:left="20"/>
              <w:spacing w:after="0"/>
              <w:rPr>
                <w:sz w:val="20"/>
                <w:szCs w:val="20"/>
                <w:color w:val="auto"/>
              </w:rPr>
            </w:pPr>
            <w:r>
              <w:rPr>
                <w:rFonts w:ascii="Arial" w:cs="Arial" w:eastAsia="Arial" w:hAnsi="Arial"/>
                <w:sz w:val="11"/>
                <w:szCs w:val="11"/>
                <w:color w:val="auto"/>
              </w:rPr>
              <w:t>Represents the net settlements paid related to the Company’s hybrid debt hedges.</w:t>
            </w:r>
          </w:p>
        </w:tc>
      </w:tr>
      <w:tr>
        <w:trPr>
          <w:trHeight w:val="158"/>
        </w:trPr>
        <w:tc>
          <w:tcPr>
            <w:tcW w:w="3680" w:type="dxa"/>
            <w:vAlign w:val="bottom"/>
          </w:tcPr>
          <w:p>
            <w:pPr>
              <w:ind w:left="80"/>
              <w:spacing w:after="0"/>
              <w:rPr>
                <w:sz w:val="20"/>
                <w:szCs w:val="20"/>
                <w:color w:val="auto"/>
              </w:rPr>
            </w:pPr>
            <w:r>
              <w:rPr>
                <w:rFonts w:ascii="Arial" w:cs="Arial" w:eastAsia="Arial" w:hAnsi="Arial"/>
                <w:sz w:val="11"/>
                <w:szCs w:val="11"/>
                <w:color w:val="auto"/>
              </w:rPr>
              <w:t>Net interest income (net of settlements on derivatives)</w:t>
            </w:r>
          </w:p>
        </w:tc>
        <w:tc>
          <w:tcPr>
            <w:tcW w:w="140" w:type="dxa"/>
            <w:vAlign w:val="bottom"/>
            <w:tcBorders>
              <w:top w:val="single" w:sz="8" w:color="auto"/>
              <w:bottom w:val="single" w:sz="8" w:color="auto"/>
            </w:tcBorders>
          </w:tcPr>
          <w:p>
            <w:pPr>
              <w:jc w:val="right"/>
              <w:ind w:right="4"/>
              <w:spacing w:after="0"/>
              <w:rPr>
                <w:sz w:val="20"/>
                <w:szCs w:val="20"/>
                <w:color w:val="auto"/>
              </w:rPr>
            </w:pPr>
            <w:r>
              <w:rPr>
                <w:rFonts w:ascii="Arial" w:cs="Arial" w:eastAsia="Arial" w:hAnsi="Arial"/>
                <w:sz w:val="11"/>
                <w:szCs w:val="11"/>
                <w:color w:val="auto"/>
                <w:w w:val="97"/>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77,851</w:t>
            </w:r>
          </w:p>
        </w:tc>
        <w:tc>
          <w:tcPr>
            <w:tcW w:w="100" w:type="dxa"/>
            <w:vAlign w:val="bottom"/>
          </w:tcPr>
          <w:p>
            <w:pPr>
              <w:spacing w:after="0"/>
              <w:rPr>
                <w:sz w:val="13"/>
                <w:szCs w:val="13"/>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74,073</w:t>
            </w:r>
          </w:p>
        </w:tc>
        <w:tc>
          <w:tcPr>
            <w:tcW w:w="100" w:type="dxa"/>
            <w:vAlign w:val="bottom"/>
          </w:tcPr>
          <w:p>
            <w:pPr>
              <w:spacing w:after="0"/>
              <w:rPr>
                <w:sz w:val="13"/>
                <w:szCs w:val="13"/>
                <w:color w:val="auto"/>
              </w:rPr>
            </w:pPr>
          </w:p>
        </w:tc>
        <w:tc>
          <w:tcPr>
            <w:tcW w:w="5800" w:type="dxa"/>
            <w:vAlign w:val="bottom"/>
          </w:tcPr>
          <w:p>
            <w:pPr>
              <w:spacing w:after="0"/>
              <w:rPr>
                <w:sz w:val="13"/>
                <w:szCs w:val="13"/>
                <w:color w:val="auto"/>
              </w:rPr>
            </w:pPr>
          </w:p>
        </w:tc>
      </w:tr>
      <w:tr>
        <w:trPr>
          <w:trHeight w:val="20"/>
        </w:trPr>
        <w:tc>
          <w:tcPr>
            <w:tcW w:w="36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80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34</w:t>
      </w:r>
    </w:p>
    <w:p>
      <w:pPr>
        <w:sectPr>
          <w:pgSz w:w="11900" w:h="16838" w:orient="portrait"/>
          <w:cols w:equalWidth="0" w:num="1">
            <w:col w:w="11460"/>
          </w:cols>
          <w:pgMar w:left="220" w:top="861" w:right="219" w:bottom="1440" w:gutter="0" w:footer="0" w:header="0"/>
        </w:sectPr>
      </w:pPr>
    </w:p>
    <w:bookmarkStart w:id="35" w:name="page36"/>
    <w:bookmarkEnd w:id="35"/>
    <w:p>
      <w:pPr>
        <w:spacing w:after="0"/>
        <w:rPr>
          <w:sz w:val="20"/>
          <w:szCs w:val="20"/>
          <w:color w:val="auto"/>
        </w:rPr>
      </w:pPr>
      <w:r>
        <w:rPr>
          <w:rFonts w:ascii="Arial" w:cs="Arial" w:eastAsia="Arial" w:hAnsi="Arial"/>
          <w:sz w:val="14"/>
          <w:szCs w:val="14"/>
          <w:color w:val="auto"/>
        </w:rPr>
        <w:t>The following table summarizes the components of "other income."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1071245</wp:posOffset>
            </wp:positionH>
            <wp:positionV relativeFrom="paragraph">
              <wp:posOffset>294640</wp:posOffset>
            </wp:positionV>
            <wp:extent cx="5146040" cy="13716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5146040" cy="137160"/>
                    </a:xfrm>
                    <a:prstGeom prst="rect">
                      <a:avLst/>
                    </a:prstGeom>
                    <a:noFill/>
                  </pic:spPr>
                </pic:pic>
              </a:graphicData>
            </a:graphic>
          </wp:anchor>
        </w:drawing>
      </w:r>
    </w:p>
    <w:p>
      <w:pPr>
        <w:spacing w:after="0" w:line="200" w:lineRule="exact"/>
        <w:rPr>
          <w:sz w:val="20"/>
          <w:szCs w:val="20"/>
          <w:color w:val="auto"/>
        </w:rPr>
      </w:pPr>
    </w:p>
    <w:p>
      <w:pPr>
        <w:spacing w:after="0" w:line="291" w:lineRule="exact"/>
        <w:rPr>
          <w:sz w:val="20"/>
          <w:szCs w:val="20"/>
          <w:color w:val="auto"/>
        </w:rPr>
      </w:pPr>
    </w:p>
    <w:p>
      <w:pPr>
        <w:ind w:left="1700"/>
        <w:spacing w:after="0"/>
        <w:rPr>
          <w:sz w:val="20"/>
          <w:szCs w:val="20"/>
          <w:color w:val="auto"/>
        </w:rPr>
      </w:pPr>
      <w:r>
        <w:rPr>
          <w:rFonts w:ascii="Arial" w:cs="Arial" w:eastAsia="Arial" w:hAnsi="Arial"/>
          <w:sz w:val="13"/>
          <w:szCs w:val="13"/>
          <w:color w:val="auto"/>
        </w:rPr>
        <w:t>Borrower late fee income</w:t>
      </w:r>
    </w:p>
    <w:p>
      <w:pPr>
        <w:spacing w:after="0" w:line="55" w:lineRule="exact"/>
        <w:rPr>
          <w:sz w:val="20"/>
          <w:szCs w:val="20"/>
          <w:color w:val="auto"/>
        </w:rPr>
      </w:pPr>
    </w:p>
    <w:p>
      <w:pPr>
        <w:ind w:left="1700"/>
        <w:spacing w:after="0"/>
        <w:rPr>
          <w:sz w:val="20"/>
          <w:szCs w:val="20"/>
          <w:color w:val="auto"/>
        </w:rPr>
      </w:pPr>
      <w:r>
        <w:rPr>
          <w:rFonts w:ascii="Arial" w:cs="Arial" w:eastAsia="Arial" w:hAnsi="Arial"/>
          <w:sz w:val="13"/>
          <w:szCs w:val="13"/>
          <w:color w:val="auto"/>
        </w:rPr>
        <w:t>Management fee revenue (a)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1071245</wp:posOffset>
            </wp:positionH>
            <wp:positionV relativeFrom="paragraph">
              <wp:posOffset>12065</wp:posOffset>
            </wp:positionV>
            <wp:extent cx="5146040" cy="13017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5146040" cy="130175"/>
                    </a:xfrm>
                    <a:prstGeom prst="rect">
                      <a:avLst/>
                    </a:prstGeom>
                    <a:noFill/>
                  </pic:spPr>
                </pic:pic>
              </a:graphicData>
            </a:graphic>
          </wp:anchor>
        </w:drawing>
      </w:r>
    </w:p>
    <w:p>
      <w:pPr>
        <w:spacing w:after="0" w:line="14" w:lineRule="exact"/>
        <w:rPr>
          <w:sz w:val="20"/>
          <w:szCs w:val="20"/>
          <w:color w:val="auto"/>
        </w:rPr>
      </w:pPr>
    </w:p>
    <w:p>
      <w:pPr>
        <w:ind w:left="1700"/>
        <w:spacing w:after="0"/>
        <w:rPr>
          <w:sz w:val="20"/>
          <w:szCs w:val="20"/>
          <w:color w:val="auto"/>
        </w:rPr>
      </w:pPr>
      <w:r>
        <w:rPr>
          <w:rFonts w:ascii="Arial" w:cs="Arial" w:eastAsia="Arial" w:hAnsi="Arial"/>
          <w:sz w:val="13"/>
          <w:szCs w:val="13"/>
          <w:color w:val="auto"/>
        </w:rPr>
        <w:t>Investment advisory fees (b)</w:t>
      </w:r>
    </w:p>
    <w:p>
      <w:pPr>
        <w:spacing w:after="0" w:line="77" w:lineRule="exact"/>
        <w:rPr>
          <w:sz w:val="20"/>
          <w:szCs w:val="20"/>
          <w:color w:val="auto"/>
        </w:rPr>
      </w:pPr>
    </w:p>
    <w:p>
      <w:pPr>
        <w:jc w:val="right"/>
        <w:ind w:right="1600"/>
        <w:spacing w:after="0"/>
        <w:rPr>
          <w:sz w:val="20"/>
          <w:szCs w:val="20"/>
          <w:color w:val="auto"/>
        </w:rPr>
      </w:pPr>
      <w:r>
        <w:rPr>
          <w:rFonts w:ascii="Arial" w:cs="Arial" w:eastAsia="Arial" w:hAnsi="Arial"/>
          <w:sz w:val="13"/>
          <w:szCs w:val="13"/>
          <w:color w:val="auto"/>
        </w:rPr>
        <w:t>(Loss) gain on investments and notes receivable, net (c)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1071245</wp:posOffset>
            </wp:positionH>
            <wp:positionV relativeFrom="paragraph">
              <wp:posOffset>12065</wp:posOffset>
            </wp:positionV>
            <wp:extent cx="5146040" cy="13017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5146040" cy="130175"/>
                    </a:xfrm>
                    <a:prstGeom prst="rect">
                      <a:avLst/>
                    </a:prstGeom>
                    <a:noFill/>
                  </pic:spPr>
                </pic:pic>
              </a:graphicData>
            </a:graphic>
          </wp:anchor>
        </w:drawing>
      </w:r>
    </w:p>
    <w:p>
      <w:pPr>
        <w:spacing w:after="0" w:line="35" w:lineRule="exact"/>
        <w:rPr>
          <w:sz w:val="20"/>
          <w:szCs w:val="20"/>
          <w:color w:val="auto"/>
        </w:rPr>
      </w:pPr>
    </w:p>
    <w:p>
      <w:pPr>
        <w:ind w:left="1700"/>
        <w:spacing w:after="0"/>
        <w:rPr>
          <w:sz w:val="20"/>
          <w:szCs w:val="20"/>
          <w:color w:val="auto"/>
        </w:rPr>
      </w:pPr>
      <w:r>
        <w:rPr>
          <w:rFonts w:ascii="Arial" w:cs="Arial" w:eastAsia="Arial" w:hAnsi="Arial"/>
          <w:sz w:val="13"/>
          <w:szCs w:val="13"/>
          <w:color w:val="auto"/>
        </w:rPr>
        <w:t>Other</w:t>
      </w:r>
    </w:p>
    <w:p>
      <w:pPr>
        <w:spacing w:after="0" w:line="88" w:lineRule="exact"/>
        <w:rPr>
          <w:sz w:val="20"/>
          <w:szCs w:val="20"/>
          <w:color w:val="auto"/>
        </w:rPr>
      </w:pPr>
    </w:p>
    <w:p>
      <w:pPr>
        <w:ind w:left="1780"/>
        <w:spacing w:after="0"/>
        <w:rPr>
          <w:sz w:val="20"/>
          <w:szCs w:val="20"/>
          <w:color w:val="auto"/>
        </w:rPr>
      </w:pPr>
      <w:r>
        <w:rPr>
          <w:rFonts w:ascii="Arial" w:cs="Arial" w:eastAsia="Arial" w:hAnsi="Arial"/>
          <w:sz w:val="13"/>
          <w:szCs w:val="13"/>
          <w:color w:val="auto"/>
        </w:rPr>
        <w:t>Other income</w:t>
      </w:r>
    </w:p>
    <w:p>
      <w:pPr>
        <w:spacing w:after="0" w:line="20" w:lineRule="exact"/>
        <w:rPr>
          <w:sz w:val="20"/>
          <w:szCs w:val="20"/>
          <w:color w:val="auto"/>
        </w:rPr>
      </w:pPr>
      <w:r>
        <w:rPr>
          <w:sz w:val="20"/>
          <w:szCs w:val="20"/>
          <w:color w:val="auto"/>
        </w:rPr>
        <w:br w:type="column"/>
      </w:r>
    </w:p>
    <w:p>
      <w:pPr>
        <w:spacing w:after="0" w:line="196" w:lineRule="exact"/>
        <w:rPr>
          <w:sz w:val="20"/>
          <w:szCs w:val="20"/>
          <w:color w:val="auto"/>
        </w:rPr>
      </w:pPr>
    </w:p>
    <w:p>
      <w:pPr>
        <w:ind w:left="580"/>
        <w:spacing w:after="0"/>
        <w:rPr>
          <w:sz w:val="20"/>
          <w:szCs w:val="20"/>
          <w:color w:val="auto"/>
        </w:rPr>
      </w:pPr>
      <w:r>
        <w:rPr>
          <w:rFonts w:ascii="Arial" w:cs="Arial" w:eastAsia="Arial" w:hAnsi="Arial"/>
          <w:sz w:val="13"/>
          <w:szCs w:val="13"/>
          <w:b w:val="1"/>
          <w:bCs w:val="1"/>
          <w:color w:val="auto"/>
        </w:rPr>
        <w:t>Three months ended 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27940</wp:posOffset>
            </wp:positionV>
            <wp:extent cx="1833880" cy="698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1833880" cy="6985"/>
                    </a:xfrm>
                    <a:prstGeom prst="rect">
                      <a:avLst/>
                    </a:prstGeom>
                    <a:noFill/>
                  </pic:spPr>
                </pic:pic>
              </a:graphicData>
            </a:graphic>
          </wp:anchor>
        </w:drawing>
      </w:r>
    </w:p>
    <w:p>
      <w:pPr>
        <w:spacing w:after="0" w:line="46"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320" w:type="dxa"/>
            <w:vAlign w:val="bottom"/>
          </w:tcPr>
          <w:p>
            <w:pPr>
              <w:spacing w:after="0"/>
              <w:rPr>
                <w:sz w:val="14"/>
                <w:szCs w:val="14"/>
                <w:color w:val="auto"/>
              </w:rPr>
            </w:pPr>
          </w:p>
        </w:tc>
        <w:tc>
          <w:tcPr>
            <w:tcW w:w="1080" w:type="dxa"/>
            <w:vAlign w:val="bottom"/>
          </w:tcPr>
          <w:p>
            <w:pPr>
              <w:jc w:val="right"/>
              <w:ind w:right="515"/>
              <w:spacing w:after="0"/>
              <w:rPr>
                <w:sz w:val="20"/>
                <w:szCs w:val="20"/>
                <w:color w:val="auto"/>
              </w:rPr>
            </w:pPr>
            <w:r>
              <w:rPr>
                <w:rFonts w:ascii="Arial" w:cs="Arial" w:eastAsia="Arial" w:hAnsi="Arial"/>
                <w:sz w:val="13"/>
                <w:szCs w:val="13"/>
                <w:b w:val="1"/>
                <w:bCs w:val="1"/>
                <w:color w:val="auto"/>
              </w:rPr>
              <w:t>2019</w:t>
            </w:r>
          </w:p>
        </w:tc>
        <w:tc>
          <w:tcPr>
            <w:tcW w:w="80" w:type="dxa"/>
            <w:vAlign w:val="bottom"/>
          </w:tcPr>
          <w:p>
            <w:pPr>
              <w:spacing w:after="0"/>
              <w:rPr>
                <w:sz w:val="14"/>
                <w:szCs w:val="14"/>
                <w:color w:val="auto"/>
              </w:rPr>
            </w:pPr>
          </w:p>
        </w:tc>
        <w:tc>
          <w:tcPr>
            <w:tcW w:w="1420" w:type="dxa"/>
            <w:vAlign w:val="bottom"/>
          </w:tcPr>
          <w:p>
            <w:pPr>
              <w:jc w:val="right"/>
              <w:ind w:right="535"/>
              <w:spacing w:after="0"/>
              <w:rPr>
                <w:sz w:val="20"/>
                <w:szCs w:val="20"/>
                <w:color w:val="auto"/>
              </w:rPr>
            </w:pPr>
            <w:r>
              <w:rPr>
                <w:rFonts w:ascii="Arial" w:cs="Arial" w:eastAsia="Arial" w:hAnsi="Arial"/>
                <w:sz w:val="13"/>
                <w:szCs w:val="13"/>
                <w:b w:val="1"/>
                <w:bCs w:val="1"/>
                <w:color w:val="auto"/>
              </w:rPr>
              <w:t>2018</w:t>
            </w:r>
          </w:p>
        </w:tc>
      </w:tr>
      <w:tr>
        <w:trPr>
          <w:trHeight w:val="27"/>
        </w:trPr>
        <w:tc>
          <w:tcPr>
            <w:tcW w:w="3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169"/>
        </w:trPr>
        <w:tc>
          <w:tcPr>
            <w:tcW w:w="320" w:type="dxa"/>
            <w:vAlign w:val="bottom"/>
          </w:tcPr>
          <w:p>
            <w:pPr>
              <w:jc w:val="right"/>
              <w:ind w:right="175"/>
              <w:spacing w:after="0"/>
              <w:rPr>
                <w:sz w:val="20"/>
                <w:szCs w:val="20"/>
                <w:color w:val="auto"/>
              </w:rPr>
            </w:pPr>
            <w:r>
              <w:rPr>
                <w:rFonts w:ascii="Arial" w:cs="Arial" w:eastAsia="Arial" w:hAnsi="Arial"/>
                <w:sz w:val="13"/>
                <w:szCs w:val="13"/>
                <w:color w:val="auto"/>
                <w:w w:val="82"/>
              </w:rPr>
              <w:t>$</w:t>
            </w:r>
          </w:p>
        </w:tc>
        <w:tc>
          <w:tcPr>
            <w:tcW w:w="1080" w:type="dxa"/>
            <w:vAlign w:val="bottom"/>
          </w:tcPr>
          <w:p>
            <w:pPr>
              <w:jc w:val="right"/>
              <w:spacing w:after="0"/>
              <w:rPr>
                <w:sz w:val="20"/>
                <w:szCs w:val="20"/>
                <w:color w:val="auto"/>
              </w:rPr>
            </w:pPr>
            <w:r>
              <w:rPr>
                <w:rFonts w:ascii="Arial" w:cs="Arial" w:eastAsia="Arial" w:hAnsi="Arial"/>
                <w:sz w:val="13"/>
                <w:szCs w:val="13"/>
                <w:color w:val="auto"/>
              </w:rPr>
              <w:t>3,512</w:t>
            </w:r>
          </w:p>
        </w:tc>
        <w:tc>
          <w:tcPr>
            <w:tcW w:w="80" w:type="dxa"/>
            <w:vAlign w:val="bottom"/>
          </w:tcPr>
          <w:p>
            <w:pPr>
              <w:spacing w:after="0"/>
              <w:rPr>
                <w:sz w:val="14"/>
                <w:szCs w:val="14"/>
                <w:color w:val="auto"/>
              </w:rPr>
            </w:pPr>
          </w:p>
        </w:tc>
        <w:tc>
          <w:tcPr>
            <w:tcW w:w="1420" w:type="dxa"/>
            <w:vAlign w:val="bottom"/>
          </w:tcPr>
          <w:p>
            <w:pPr>
              <w:jc w:val="right"/>
              <w:spacing w:after="0"/>
              <w:rPr>
                <w:sz w:val="20"/>
                <w:szCs w:val="20"/>
                <w:color w:val="auto"/>
              </w:rPr>
            </w:pPr>
            <w:r>
              <w:rPr>
                <w:rFonts w:ascii="Arial" w:cs="Arial" w:eastAsia="Arial" w:hAnsi="Arial"/>
                <w:sz w:val="13"/>
                <w:szCs w:val="13"/>
                <w:color w:val="auto"/>
              </w:rPr>
              <w:t>2,983</w:t>
            </w:r>
          </w:p>
        </w:tc>
      </w:tr>
      <w:tr>
        <w:trPr>
          <w:trHeight w:val="205"/>
        </w:trPr>
        <w:tc>
          <w:tcPr>
            <w:tcW w:w="320" w:type="dxa"/>
            <w:vAlign w:val="bottom"/>
          </w:tcPr>
          <w:p>
            <w:pPr>
              <w:spacing w:after="0"/>
              <w:rPr>
                <w:sz w:val="17"/>
                <w:szCs w:val="17"/>
                <w:color w:val="auto"/>
              </w:rPr>
            </w:pPr>
          </w:p>
        </w:tc>
        <w:tc>
          <w:tcPr>
            <w:tcW w:w="1080" w:type="dxa"/>
            <w:vAlign w:val="bottom"/>
          </w:tcPr>
          <w:p>
            <w:pPr>
              <w:jc w:val="right"/>
              <w:spacing w:after="0"/>
              <w:rPr>
                <w:sz w:val="20"/>
                <w:szCs w:val="20"/>
                <w:color w:val="auto"/>
              </w:rPr>
            </w:pPr>
            <w:r>
              <w:rPr>
                <w:rFonts w:ascii="Arial" w:cs="Arial" w:eastAsia="Arial" w:hAnsi="Arial"/>
                <w:sz w:val="13"/>
                <w:szCs w:val="13"/>
                <w:color w:val="auto"/>
              </w:rPr>
              <w:t>1,872</w:t>
            </w:r>
          </w:p>
        </w:tc>
        <w:tc>
          <w:tcPr>
            <w:tcW w:w="80" w:type="dxa"/>
            <w:vAlign w:val="bottom"/>
          </w:tcPr>
          <w:p>
            <w:pPr>
              <w:spacing w:after="0"/>
              <w:rPr>
                <w:sz w:val="17"/>
                <w:szCs w:val="17"/>
                <w:color w:val="auto"/>
              </w:rPr>
            </w:pPr>
          </w:p>
        </w:tc>
        <w:tc>
          <w:tcPr>
            <w:tcW w:w="1420" w:type="dxa"/>
            <w:vAlign w:val="bottom"/>
          </w:tcPr>
          <w:p>
            <w:pPr>
              <w:jc w:val="right"/>
              <w:spacing w:after="0"/>
              <w:rPr>
                <w:sz w:val="20"/>
                <w:szCs w:val="20"/>
                <w:color w:val="auto"/>
              </w:rPr>
            </w:pPr>
            <w:r>
              <w:rPr>
                <w:rFonts w:ascii="Arial" w:cs="Arial" w:eastAsia="Arial" w:hAnsi="Arial"/>
                <w:sz w:val="13"/>
                <w:szCs w:val="13"/>
                <w:color w:val="auto"/>
              </w:rPr>
              <w:t>1,161</w:t>
            </w:r>
          </w:p>
        </w:tc>
      </w:tr>
      <w:tr>
        <w:trPr>
          <w:trHeight w:val="205"/>
        </w:trPr>
        <w:tc>
          <w:tcPr>
            <w:tcW w:w="320" w:type="dxa"/>
            <w:vAlign w:val="bottom"/>
          </w:tcPr>
          <w:p>
            <w:pPr>
              <w:spacing w:after="0"/>
              <w:rPr>
                <w:sz w:val="17"/>
                <w:szCs w:val="17"/>
                <w:color w:val="auto"/>
              </w:rPr>
            </w:pPr>
          </w:p>
        </w:tc>
        <w:tc>
          <w:tcPr>
            <w:tcW w:w="1080" w:type="dxa"/>
            <w:vAlign w:val="bottom"/>
          </w:tcPr>
          <w:p>
            <w:pPr>
              <w:jc w:val="right"/>
              <w:spacing w:after="0"/>
              <w:rPr>
                <w:sz w:val="20"/>
                <w:szCs w:val="20"/>
                <w:color w:val="auto"/>
              </w:rPr>
            </w:pPr>
            <w:r>
              <w:rPr>
                <w:rFonts w:ascii="Arial" w:cs="Arial" w:eastAsia="Arial" w:hAnsi="Arial"/>
                <w:sz w:val="13"/>
                <w:szCs w:val="13"/>
                <w:color w:val="auto"/>
              </w:rPr>
              <w:t>711</w:t>
            </w:r>
          </w:p>
        </w:tc>
        <w:tc>
          <w:tcPr>
            <w:tcW w:w="80" w:type="dxa"/>
            <w:vAlign w:val="bottom"/>
          </w:tcPr>
          <w:p>
            <w:pPr>
              <w:spacing w:after="0"/>
              <w:rPr>
                <w:sz w:val="17"/>
                <w:szCs w:val="17"/>
                <w:color w:val="auto"/>
              </w:rPr>
            </w:pPr>
          </w:p>
        </w:tc>
        <w:tc>
          <w:tcPr>
            <w:tcW w:w="1420" w:type="dxa"/>
            <w:vAlign w:val="bottom"/>
          </w:tcPr>
          <w:p>
            <w:pPr>
              <w:jc w:val="right"/>
              <w:spacing w:after="0"/>
              <w:rPr>
                <w:sz w:val="20"/>
                <w:szCs w:val="20"/>
                <w:color w:val="auto"/>
              </w:rPr>
            </w:pPr>
            <w:r>
              <w:rPr>
                <w:rFonts w:ascii="Arial" w:cs="Arial" w:eastAsia="Arial" w:hAnsi="Arial"/>
                <w:sz w:val="13"/>
                <w:szCs w:val="13"/>
                <w:color w:val="auto"/>
              </w:rPr>
              <w:t>1,593</w:t>
            </w:r>
          </w:p>
        </w:tc>
      </w:tr>
      <w:tr>
        <w:trPr>
          <w:trHeight w:val="205"/>
        </w:trPr>
        <w:tc>
          <w:tcPr>
            <w:tcW w:w="320" w:type="dxa"/>
            <w:vAlign w:val="bottom"/>
          </w:tcPr>
          <w:p>
            <w:pPr>
              <w:spacing w:after="0"/>
              <w:rPr>
                <w:sz w:val="17"/>
                <w:szCs w:val="17"/>
                <w:color w:val="auto"/>
              </w:rPr>
            </w:pPr>
          </w:p>
        </w:tc>
        <w:tc>
          <w:tcPr>
            <w:tcW w:w="1080" w:type="dxa"/>
            <w:vAlign w:val="bottom"/>
          </w:tcPr>
          <w:p>
            <w:pPr>
              <w:jc w:val="right"/>
              <w:spacing w:after="0"/>
              <w:rPr>
                <w:sz w:val="20"/>
                <w:szCs w:val="20"/>
                <w:color w:val="auto"/>
              </w:rPr>
            </w:pPr>
            <w:r>
              <w:rPr>
                <w:rFonts w:ascii="Arial" w:cs="Arial" w:eastAsia="Arial" w:hAnsi="Arial"/>
                <w:sz w:val="13"/>
                <w:szCs w:val="13"/>
                <w:color w:val="auto"/>
              </w:rPr>
              <w:t>(427)</w:t>
            </w:r>
          </w:p>
        </w:tc>
        <w:tc>
          <w:tcPr>
            <w:tcW w:w="80" w:type="dxa"/>
            <w:vAlign w:val="bottom"/>
          </w:tcPr>
          <w:p>
            <w:pPr>
              <w:spacing w:after="0"/>
              <w:rPr>
                <w:sz w:val="17"/>
                <w:szCs w:val="17"/>
                <w:color w:val="auto"/>
              </w:rPr>
            </w:pPr>
          </w:p>
        </w:tc>
        <w:tc>
          <w:tcPr>
            <w:tcW w:w="1420" w:type="dxa"/>
            <w:vAlign w:val="bottom"/>
          </w:tcPr>
          <w:p>
            <w:pPr>
              <w:jc w:val="right"/>
              <w:spacing w:after="0"/>
              <w:rPr>
                <w:sz w:val="20"/>
                <w:szCs w:val="20"/>
                <w:color w:val="auto"/>
              </w:rPr>
            </w:pPr>
            <w:r>
              <w:rPr>
                <w:rFonts w:ascii="Arial" w:cs="Arial" w:eastAsia="Arial" w:hAnsi="Arial"/>
                <w:sz w:val="13"/>
                <w:szCs w:val="13"/>
                <w:color w:val="auto"/>
              </w:rPr>
              <w:t>8,688</w:t>
            </w:r>
          </w:p>
        </w:tc>
      </w:tr>
      <w:tr>
        <w:trPr>
          <w:trHeight w:val="205"/>
        </w:trPr>
        <w:tc>
          <w:tcPr>
            <w:tcW w:w="320" w:type="dxa"/>
            <w:vAlign w:val="bottom"/>
          </w:tcPr>
          <w:p>
            <w:pPr>
              <w:spacing w:after="0"/>
              <w:rPr>
                <w:sz w:val="17"/>
                <w:szCs w:val="17"/>
                <w:color w:val="auto"/>
              </w:rPr>
            </w:pPr>
          </w:p>
        </w:tc>
        <w:tc>
          <w:tcPr>
            <w:tcW w:w="1080" w:type="dxa"/>
            <w:vAlign w:val="bottom"/>
          </w:tcPr>
          <w:p>
            <w:pPr>
              <w:jc w:val="right"/>
              <w:spacing w:after="0"/>
              <w:rPr>
                <w:sz w:val="20"/>
                <w:szCs w:val="20"/>
                <w:color w:val="auto"/>
              </w:rPr>
            </w:pPr>
            <w:r>
              <w:rPr>
                <w:rFonts w:ascii="Arial" w:cs="Arial" w:eastAsia="Arial" w:hAnsi="Arial"/>
                <w:sz w:val="13"/>
                <w:szCs w:val="13"/>
                <w:color w:val="auto"/>
              </w:rPr>
              <w:t>3,399</w:t>
            </w:r>
          </w:p>
        </w:tc>
        <w:tc>
          <w:tcPr>
            <w:tcW w:w="80" w:type="dxa"/>
            <w:vAlign w:val="bottom"/>
          </w:tcPr>
          <w:p>
            <w:pPr>
              <w:spacing w:after="0"/>
              <w:rPr>
                <w:sz w:val="17"/>
                <w:szCs w:val="17"/>
                <w:color w:val="auto"/>
              </w:rPr>
            </w:pPr>
          </w:p>
        </w:tc>
        <w:tc>
          <w:tcPr>
            <w:tcW w:w="1420" w:type="dxa"/>
            <w:vAlign w:val="bottom"/>
          </w:tcPr>
          <w:p>
            <w:pPr>
              <w:jc w:val="right"/>
              <w:spacing w:after="0"/>
              <w:rPr>
                <w:sz w:val="20"/>
                <w:szCs w:val="20"/>
                <w:color w:val="auto"/>
              </w:rPr>
            </w:pPr>
            <w:r>
              <w:rPr>
                <w:rFonts w:ascii="Arial" w:cs="Arial" w:eastAsia="Arial" w:hAnsi="Arial"/>
                <w:sz w:val="13"/>
                <w:szCs w:val="13"/>
                <w:color w:val="auto"/>
              </w:rPr>
              <w:t>4,132</w:t>
            </w:r>
          </w:p>
        </w:tc>
      </w:tr>
      <w:tr>
        <w:trPr>
          <w:trHeight w:val="27"/>
        </w:trPr>
        <w:tc>
          <w:tcPr>
            <w:tcW w:w="3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169"/>
        </w:trPr>
        <w:tc>
          <w:tcPr>
            <w:tcW w:w="320" w:type="dxa"/>
            <w:vAlign w:val="bottom"/>
          </w:tcPr>
          <w:p>
            <w:pPr>
              <w:jc w:val="right"/>
              <w:ind w:right="175"/>
              <w:spacing w:after="0"/>
              <w:rPr>
                <w:sz w:val="20"/>
                <w:szCs w:val="20"/>
                <w:color w:val="auto"/>
              </w:rPr>
            </w:pPr>
            <w:r>
              <w:rPr>
                <w:rFonts w:ascii="Arial" w:cs="Arial" w:eastAsia="Arial" w:hAnsi="Arial"/>
                <w:sz w:val="13"/>
                <w:szCs w:val="13"/>
                <w:color w:val="auto"/>
                <w:w w:val="82"/>
              </w:rPr>
              <w:t>$</w:t>
            </w:r>
          </w:p>
        </w:tc>
        <w:tc>
          <w:tcPr>
            <w:tcW w:w="1080" w:type="dxa"/>
            <w:vAlign w:val="bottom"/>
          </w:tcPr>
          <w:p>
            <w:pPr>
              <w:jc w:val="right"/>
              <w:spacing w:after="0"/>
              <w:rPr>
                <w:sz w:val="20"/>
                <w:szCs w:val="20"/>
                <w:color w:val="auto"/>
              </w:rPr>
            </w:pPr>
            <w:r>
              <w:rPr>
                <w:rFonts w:ascii="Arial" w:cs="Arial" w:eastAsia="Arial" w:hAnsi="Arial"/>
                <w:sz w:val="13"/>
                <w:szCs w:val="13"/>
                <w:color w:val="auto"/>
              </w:rPr>
              <w:t>9,067</w:t>
            </w:r>
          </w:p>
        </w:tc>
        <w:tc>
          <w:tcPr>
            <w:tcW w:w="80" w:type="dxa"/>
            <w:vAlign w:val="bottom"/>
          </w:tcPr>
          <w:p>
            <w:pPr>
              <w:spacing w:after="0"/>
              <w:rPr>
                <w:sz w:val="14"/>
                <w:szCs w:val="14"/>
                <w:color w:val="auto"/>
              </w:rPr>
            </w:pPr>
          </w:p>
        </w:tc>
        <w:tc>
          <w:tcPr>
            <w:tcW w:w="1420" w:type="dxa"/>
            <w:vAlign w:val="bottom"/>
          </w:tcPr>
          <w:p>
            <w:pPr>
              <w:jc w:val="right"/>
              <w:spacing w:after="0"/>
              <w:rPr>
                <w:sz w:val="20"/>
                <w:szCs w:val="20"/>
                <w:color w:val="auto"/>
              </w:rPr>
            </w:pPr>
            <w:r>
              <w:rPr>
                <w:rFonts w:ascii="Arial" w:cs="Arial" w:eastAsia="Arial" w:hAnsi="Arial"/>
                <w:sz w:val="13"/>
                <w:szCs w:val="13"/>
                <w:color w:val="auto"/>
              </w:rPr>
              <w:t>18,557</w:t>
            </w:r>
          </w:p>
        </w:tc>
      </w:tr>
      <w:tr>
        <w:trPr>
          <w:trHeight w:val="27"/>
        </w:trPr>
        <w:tc>
          <w:tcPr>
            <w:tcW w:w="3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0"/>
        </w:trPr>
        <w:tc>
          <w:tcPr>
            <w:tcW w:w="3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r>
    </w:tbl>
    <w:p>
      <w:pPr>
        <w:spacing w:after="0" w:line="119" w:lineRule="exact"/>
        <w:rPr>
          <w:sz w:val="20"/>
          <w:szCs w:val="20"/>
          <w:color w:val="auto"/>
        </w:rPr>
      </w:pPr>
    </w:p>
    <w:p>
      <w:pPr>
        <w:sectPr>
          <w:pgSz w:w="11900" w:h="16838" w:orient="portrait"/>
          <w:cols w:equalWidth="0" w:num="2">
            <w:col w:w="6180" w:space="720"/>
            <w:col w:w="4560"/>
          </w:cols>
          <w:pgMar w:left="220" w:top="916" w:right="219" w:bottom="1440" w:gutter="0" w:footer="0" w:header="0"/>
        </w:sectPr>
      </w:pPr>
    </w:p>
    <w:p>
      <w:pPr>
        <w:ind w:left="980" w:hanging="263"/>
        <w:spacing w:after="0" w:line="272" w:lineRule="auto"/>
        <w:tabs>
          <w:tab w:leader="none" w:pos="916" w:val="left"/>
        </w:tabs>
        <w:numPr>
          <w:ilvl w:val="0"/>
          <w:numId w:val="23"/>
        </w:numPr>
        <w:rPr>
          <w:rFonts w:ascii="Arial" w:cs="Arial" w:eastAsia="Arial" w:hAnsi="Arial"/>
          <w:sz w:val="14"/>
          <w:szCs w:val="14"/>
          <w:color w:val="auto"/>
        </w:rPr>
      </w:pPr>
      <w:r>
        <w:rPr>
          <w:rFonts w:ascii="Arial" w:cs="Arial" w:eastAsia="Arial" w:hAnsi="Arial"/>
          <w:sz w:val="14"/>
          <w:szCs w:val="14"/>
          <w:color w:val="auto"/>
        </w:rPr>
        <w:t>Represents revenue earned from providing administrative support services to Great Lakes’ former parent company in accordance with a one-year contract that is subject to an optional annual renewal by the former parent company. The current contract expires in October 2019. Increase was due to three months of revenue under this contract in the first quarter of 2019 as compared to approximately two months (from the Great Lakes acquisition date) in the first quarter of 2018.</w:t>
      </w:r>
    </w:p>
    <w:p>
      <w:pPr>
        <w:spacing w:after="0" w:line="99" w:lineRule="exact"/>
        <w:rPr>
          <w:rFonts w:ascii="Arial" w:cs="Arial" w:eastAsia="Arial" w:hAnsi="Arial"/>
          <w:sz w:val="14"/>
          <w:szCs w:val="14"/>
          <w:color w:val="auto"/>
        </w:rPr>
      </w:pPr>
    </w:p>
    <w:p>
      <w:pPr>
        <w:ind w:left="980" w:hanging="263"/>
        <w:spacing w:after="0" w:line="294" w:lineRule="auto"/>
        <w:tabs>
          <w:tab w:leader="none" w:pos="925" w:val="left"/>
        </w:tabs>
        <w:numPr>
          <w:ilvl w:val="0"/>
          <w:numId w:val="23"/>
        </w:numPr>
        <w:rPr>
          <w:rFonts w:ascii="Arial" w:cs="Arial" w:eastAsia="Arial" w:hAnsi="Arial"/>
          <w:sz w:val="13"/>
          <w:szCs w:val="13"/>
          <w:color w:val="auto"/>
        </w:rPr>
      </w:pPr>
      <w:r>
        <w:rPr>
          <w:rFonts w:ascii="Arial" w:cs="Arial" w:eastAsia="Arial" w:hAnsi="Arial"/>
          <w:sz w:val="13"/>
          <w:szCs w:val="13"/>
          <w:color w:val="auto"/>
        </w:rPr>
        <w:t>The Company provides investment advisory services through Whitetail Rock Capital Management, LLC, the Company's SEC-registered investment advisor subsidiary, under various arrangements and earns annual fees of 25 basis points on the majority of the outstanding balance of investments and up to 50 percent of the gains from the sale of securities or securities being called prior to the full contractual maturity for which it provides advisory services. As of March 31, 2019, the outstanding balance of investments subject to these arrangements was $946.9 million. The decrease in advisory fees in 2019 as compared to 2018 was the result of a decrease in performance fees earned.</w:t>
      </w:r>
    </w:p>
    <w:p>
      <w:pPr>
        <w:spacing w:after="0" w:line="86" w:lineRule="exact"/>
        <w:rPr>
          <w:rFonts w:ascii="Arial" w:cs="Arial" w:eastAsia="Arial" w:hAnsi="Arial"/>
          <w:sz w:val="13"/>
          <w:szCs w:val="13"/>
          <w:color w:val="auto"/>
        </w:rPr>
      </w:pPr>
    </w:p>
    <w:p>
      <w:pPr>
        <w:ind w:left="980" w:hanging="263"/>
        <w:spacing w:after="0" w:line="288" w:lineRule="auto"/>
        <w:tabs>
          <w:tab w:leader="none" w:pos="916" w:val="left"/>
        </w:tabs>
        <w:numPr>
          <w:ilvl w:val="0"/>
          <w:numId w:val="23"/>
        </w:numPr>
        <w:rPr>
          <w:rFonts w:ascii="Arial" w:cs="Arial" w:eastAsia="Arial" w:hAnsi="Arial"/>
          <w:sz w:val="14"/>
          <w:szCs w:val="14"/>
          <w:color w:val="auto"/>
        </w:rPr>
      </w:pPr>
      <w:r>
        <w:rPr>
          <w:rFonts w:ascii="Arial" w:cs="Arial" w:eastAsia="Arial" w:hAnsi="Arial"/>
          <w:sz w:val="14"/>
          <w:szCs w:val="14"/>
          <w:color w:val="auto"/>
        </w:rPr>
        <w:t>During the first quarter of 2018, the Company recognized unrealized gains totaling $6.7 million related to the change in fair value of certain equity securities and a realized gain of $1.7 million related to the sale of a real estate investment.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jc w:val="center"/>
        <w:ind w:right="-19"/>
        <w:spacing w:after="0"/>
        <w:rPr>
          <w:sz w:val="20"/>
          <w:szCs w:val="20"/>
          <w:color w:val="auto"/>
        </w:rPr>
      </w:pPr>
      <w:r>
        <w:rPr>
          <w:rFonts w:ascii="Arial" w:cs="Arial" w:eastAsia="Arial" w:hAnsi="Arial"/>
          <w:sz w:val="14"/>
          <w:szCs w:val="14"/>
          <w:color w:val="auto"/>
        </w:rPr>
        <w:t>35</w:t>
      </w:r>
    </w:p>
    <w:p>
      <w:pPr>
        <w:sectPr>
          <w:pgSz w:w="11900" w:h="16838" w:orient="portrait"/>
          <w:cols w:equalWidth="0" w:num="1">
            <w:col w:w="11460"/>
          </w:cols>
          <w:pgMar w:left="220" w:top="916" w:right="219" w:bottom="1440" w:gutter="0" w:footer="0" w:header="0"/>
          <w:type w:val="continuous"/>
        </w:sectPr>
      </w:pPr>
    </w:p>
    <w:bookmarkStart w:id="36" w:name="page37"/>
    <w:bookmarkEnd w:id="36"/>
    <w:p>
      <w:pPr>
        <w:spacing w:after="0"/>
        <w:rPr>
          <w:sz w:val="20"/>
          <w:szCs w:val="20"/>
          <w:color w:val="auto"/>
        </w:rPr>
      </w:pPr>
      <w:r>
        <w:rPr>
          <w:rFonts w:ascii="Arial" w:cs="Arial" w:eastAsia="Arial" w:hAnsi="Arial"/>
          <w:sz w:val="14"/>
          <w:szCs w:val="14"/>
          <w:b w:val="1"/>
          <w:bCs w:val="1"/>
          <w:color w:val="auto"/>
        </w:rPr>
        <w:t>LOAN SERVICING AND SYSTEMS OPERATING SEGMENT – RESULTS OF OPERATIONS</w:t>
      </w:r>
    </w:p>
    <w:p>
      <w:pPr>
        <w:spacing w:after="0" w:line="145" w:lineRule="exact"/>
        <w:rPr>
          <w:sz w:val="20"/>
          <w:szCs w:val="20"/>
          <w:color w:val="auto"/>
        </w:rPr>
      </w:pPr>
    </w:p>
    <w:p>
      <w:pPr>
        <w:spacing w:after="0"/>
        <w:rPr>
          <w:sz w:val="20"/>
          <w:szCs w:val="20"/>
          <w:color w:val="auto"/>
        </w:rPr>
      </w:pPr>
      <w:r>
        <w:rPr>
          <w:rFonts w:ascii="Arial" w:cs="Arial" w:eastAsia="Arial" w:hAnsi="Arial"/>
          <w:sz w:val="13"/>
          <w:szCs w:val="13"/>
          <w:color w:val="auto"/>
        </w:rPr>
        <w:t>The Company purchased Great Lakes on February 7, 2018. The results of Great Lakes' operations are reported in the Company's consolidated financial statements from the date of acquisition.</w:t>
      </w:r>
    </w:p>
    <w:p>
      <w:pPr>
        <w:spacing w:after="0" w:line="152" w:lineRule="exact"/>
        <w:rPr>
          <w:sz w:val="20"/>
          <w:szCs w:val="20"/>
          <w:color w:val="auto"/>
        </w:rPr>
      </w:pPr>
    </w:p>
    <w:p>
      <w:pPr>
        <w:spacing w:after="0"/>
        <w:rPr>
          <w:sz w:val="20"/>
          <w:szCs w:val="20"/>
          <w:color w:val="auto"/>
        </w:rPr>
      </w:pPr>
      <w:r>
        <w:rPr>
          <w:rFonts w:ascii="Arial" w:cs="Arial" w:eastAsia="Arial" w:hAnsi="Arial"/>
          <w:sz w:val="14"/>
          <w:szCs w:val="14"/>
          <w:b w:val="1"/>
          <w:bCs w:val="1"/>
          <w:i w:val="1"/>
          <w:iCs w:val="1"/>
          <w:color w:val="auto"/>
        </w:rPr>
        <w:t>Loan Servicing Volumes</w:t>
      </w:r>
    </w:p>
    <w:p>
      <w:pPr>
        <w:spacing w:after="0" w:line="69" w:lineRule="exact"/>
        <w:rPr>
          <w:sz w:val="20"/>
          <w:szCs w:val="20"/>
          <w:color w:val="auto"/>
        </w:rPr>
      </w:pPr>
    </w:p>
    <w:tbl>
      <w:tblPr>
        <w:tblLayout w:type="fixed"/>
        <w:tblInd w:w="20" w:type="dxa"/>
        <w:tblCellMar>
          <w:top w:w="0" w:type="dxa"/>
          <w:left w:w="0" w:type="dxa"/>
          <w:bottom w:w="0" w:type="dxa"/>
          <w:right w:w="0" w:type="dxa"/>
        </w:tblCellMar>
      </w:tblPr>
      <w:tr>
        <w:trPr>
          <w:trHeight w:val="171"/>
        </w:trPr>
        <w:tc>
          <w:tcPr>
            <w:tcW w:w="33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1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160" w:type="dxa"/>
            <w:vAlign w:val="bottom"/>
            <w:tcBorders>
              <w:bottom w:val="single" w:sz="8" w:color="auto"/>
            </w:tcBorders>
          </w:tcPr>
          <w:p>
            <w:pPr>
              <w:spacing w:after="0"/>
              <w:rPr>
                <w:sz w:val="14"/>
                <w:szCs w:val="14"/>
                <w:color w:val="auto"/>
              </w:rPr>
            </w:pPr>
          </w:p>
        </w:tc>
        <w:tc>
          <w:tcPr>
            <w:tcW w:w="1560" w:type="dxa"/>
            <w:vAlign w:val="bottom"/>
            <w:tcBorders>
              <w:bottom w:val="single" w:sz="8" w:color="auto"/>
            </w:tcBorders>
            <w:gridSpan w:val="4"/>
          </w:tcPr>
          <w:p>
            <w:pPr>
              <w:ind w:left="20"/>
              <w:spacing w:after="0"/>
              <w:rPr>
                <w:sz w:val="20"/>
                <w:szCs w:val="20"/>
                <w:color w:val="auto"/>
              </w:rPr>
            </w:pPr>
            <w:r>
              <w:rPr>
                <w:rFonts w:ascii="Arial" w:cs="Arial" w:eastAsia="Arial" w:hAnsi="Arial"/>
                <w:sz w:val="13"/>
                <w:szCs w:val="13"/>
                <w:b w:val="1"/>
                <w:bCs w:val="1"/>
                <w:color w:val="auto"/>
              </w:rPr>
              <w:t>As of</w:t>
            </w:r>
          </w:p>
        </w:tc>
        <w:tc>
          <w:tcPr>
            <w:tcW w:w="13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220" w:type="dxa"/>
            <w:vAlign w:val="bottom"/>
            <w:tcBorders>
              <w:bottom w:val="single" w:sz="8" w:color="auto"/>
            </w:tcBorders>
          </w:tcPr>
          <w:p>
            <w:pPr>
              <w:spacing w:after="0"/>
              <w:rPr>
                <w:sz w:val="14"/>
                <w:szCs w:val="14"/>
                <w:color w:val="auto"/>
              </w:rPr>
            </w:pPr>
          </w:p>
        </w:tc>
      </w:tr>
      <w:tr>
        <w:trPr>
          <w:trHeight w:val="143"/>
        </w:trPr>
        <w:tc>
          <w:tcPr>
            <w:tcW w:w="3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40" w:type="dxa"/>
            <w:vAlign w:val="bottom"/>
            <w:gridSpan w:val="2"/>
          </w:tcPr>
          <w:p>
            <w:pPr>
              <w:ind w:left="120"/>
              <w:spacing w:after="0" w:line="143" w:lineRule="exact"/>
              <w:rPr>
                <w:sz w:val="20"/>
                <w:szCs w:val="20"/>
                <w:color w:val="auto"/>
              </w:rPr>
            </w:pPr>
            <w:r>
              <w:rPr>
                <w:rFonts w:ascii="Arial" w:cs="Arial" w:eastAsia="Arial" w:hAnsi="Arial"/>
                <w:sz w:val="13"/>
                <w:szCs w:val="13"/>
                <w:b w:val="1"/>
                <w:bCs w:val="1"/>
                <w:color w:val="auto"/>
              </w:rPr>
              <w:t>December 31,</w:t>
            </w:r>
          </w:p>
        </w:tc>
        <w:tc>
          <w:tcPr>
            <w:tcW w:w="1300" w:type="dxa"/>
            <w:vAlign w:val="bottom"/>
            <w:gridSpan w:val="2"/>
          </w:tcPr>
          <w:p>
            <w:pPr>
              <w:ind w:left="320"/>
              <w:spacing w:after="0" w:line="143" w:lineRule="exact"/>
              <w:rPr>
                <w:sz w:val="20"/>
                <w:szCs w:val="20"/>
                <w:color w:val="auto"/>
              </w:rPr>
            </w:pPr>
            <w:r>
              <w:rPr>
                <w:rFonts w:ascii="Arial" w:cs="Arial" w:eastAsia="Arial" w:hAnsi="Arial"/>
                <w:sz w:val="13"/>
                <w:szCs w:val="13"/>
                <w:b w:val="1"/>
                <w:bCs w:val="1"/>
                <w:color w:val="auto"/>
              </w:rPr>
              <w:t>March 31,</w:t>
            </w:r>
          </w:p>
        </w:tc>
        <w:tc>
          <w:tcPr>
            <w:tcW w:w="1160" w:type="dxa"/>
            <w:vAlign w:val="bottom"/>
          </w:tcPr>
          <w:p>
            <w:pPr>
              <w:jc w:val="right"/>
              <w:ind w:right="277"/>
              <w:spacing w:after="0" w:line="143" w:lineRule="exact"/>
              <w:rPr>
                <w:sz w:val="20"/>
                <w:szCs w:val="20"/>
                <w:color w:val="auto"/>
              </w:rPr>
            </w:pPr>
            <w:r>
              <w:rPr>
                <w:rFonts w:ascii="Arial" w:cs="Arial" w:eastAsia="Arial" w:hAnsi="Arial"/>
                <w:sz w:val="13"/>
                <w:szCs w:val="13"/>
                <w:b w:val="1"/>
                <w:bCs w:val="1"/>
                <w:color w:val="auto"/>
              </w:rPr>
              <w:t>June 30,</w:t>
            </w: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40" w:type="dxa"/>
            <w:vAlign w:val="bottom"/>
            <w:gridSpan w:val="2"/>
          </w:tcPr>
          <w:p>
            <w:pPr>
              <w:ind w:left="280"/>
              <w:spacing w:after="0" w:line="143" w:lineRule="exact"/>
              <w:rPr>
                <w:sz w:val="20"/>
                <w:szCs w:val="20"/>
                <w:color w:val="auto"/>
              </w:rPr>
            </w:pPr>
            <w:r>
              <w:rPr>
                <w:rFonts w:ascii="Arial" w:cs="Arial" w:eastAsia="Arial" w:hAnsi="Arial"/>
                <w:sz w:val="13"/>
                <w:szCs w:val="13"/>
                <w:b w:val="1"/>
                <w:bCs w:val="1"/>
                <w:color w:val="auto"/>
              </w:rPr>
              <w:t>September 30,</w:t>
            </w:r>
          </w:p>
        </w:tc>
        <w:tc>
          <w:tcPr>
            <w:tcW w:w="1420" w:type="dxa"/>
            <w:vAlign w:val="bottom"/>
            <w:gridSpan w:val="2"/>
          </w:tcPr>
          <w:p>
            <w:pPr>
              <w:ind w:left="280"/>
              <w:spacing w:after="0" w:line="143" w:lineRule="exact"/>
              <w:rPr>
                <w:sz w:val="20"/>
                <w:szCs w:val="20"/>
                <w:color w:val="auto"/>
              </w:rPr>
            </w:pPr>
            <w:r>
              <w:rPr>
                <w:rFonts w:ascii="Arial" w:cs="Arial" w:eastAsia="Arial" w:hAnsi="Arial"/>
                <w:sz w:val="13"/>
                <w:szCs w:val="13"/>
                <w:b w:val="1"/>
                <w:bCs w:val="1"/>
                <w:color w:val="auto"/>
              </w:rPr>
              <w:t>December 31,</w:t>
            </w:r>
          </w:p>
        </w:tc>
        <w:tc>
          <w:tcPr>
            <w:tcW w:w="1220" w:type="dxa"/>
            <w:vAlign w:val="bottom"/>
          </w:tcPr>
          <w:p>
            <w:pPr>
              <w:jc w:val="right"/>
              <w:ind w:right="277"/>
              <w:spacing w:after="0" w:line="143" w:lineRule="exact"/>
              <w:rPr>
                <w:sz w:val="20"/>
                <w:szCs w:val="20"/>
                <w:color w:val="auto"/>
              </w:rPr>
            </w:pPr>
            <w:r>
              <w:rPr>
                <w:rFonts w:ascii="Arial" w:cs="Arial" w:eastAsia="Arial" w:hAnsi="Arial"/>
                <w:sz w:val="13"/>
                <w:szCs w:val="13"/>
                <w:b w:val="1"/>
                <w:bCs w:val="1"/>
                <w:color w:val="auto"/>
              </w:rPr>
              <w:t>March 31,</w:t>
            </w:r>
          </w:p>
        </w:tc>
      </w:tr>
      <w:tr>
        <w:trPr>
          <w:trHeight w:val="171"/>
        </w:trPr>
        <w:tc>
          <w:tcPr>
            <w:tcW w:w="33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160" w:type="dxa"/>
            <w:vAlign w:val="bottom"/>
          </w:tcPr>
          <w:p>
            <w:pPr>
              <w:jc w:val="right"/>
              <w:ind w:right="497"/>
              <w:spacing w:after="0"/>
              <w:rPr>
                <w:sz w:val="20"/>
                <w:szCs w:val="20"/>
                <w:color w:val="auto"/>
              </w:rPr>
            </w:pPr>
            <w:r>
              <w:rPr>
                <w:rFonts w:ascii="Arial" w:cs="Arial" w:eastAsia="Arial" w:hAnsi="Arial"/>
                <w:sz w:val="13"/>
                <w:szCs w:val="13"/>
                <w:b w:val="1"/>
                <w:bCs w:val="1"/>
                <w:color w:val="auto"/>
              </w:rPr>
              <w:t>2017</w:t>
            </w:r>
          </w:p>
        </w:tc>
        <w:tc>
          <w:tcPr>
            <w:tcW w:w="80" w:type="dxa"/>
            <w:vAlign w:val="bottom"/>
          </w:tcPr>
          <w:p>
            <w:pPr>
              <w:spacing w:after="0"/>
              <w:rPr>
                <w:sz w:val="14"/>
                <w:szCs w:val="14"/>
                <w:color w:val="auto"/>
              </w:rPr>
            </w:pPr>
          </w:p>
        </w:tc>
        <w:tc>
          <w:tcPr>
            <w:tcW w:w="1200" w:type="dxa"/>
            <w:vAlign w:val="bottom"/>
          </w:tcPr>
          <w:p>
            <w:pPr>
              <w:jc w:val="right"/>
              <w:ind w:right="417"/>
              <w:spacing w:after="0"/>
              <w:rPr>
                <w:sz w:val="20"/>
                <w:szCs w:val="20"/>
                <w:color w:val="auto"/>
              </w:rPr>
            </w:pPr>
            <w:r>
              <w:rPr>
                <w:rFonts w:ascii="Arial" w:cs="Arial" w:eastAsia="Arial" w:hAnsi="Arial"/>
                <w:sz w:val="13"/>
                <w:szCs w:val="13"/>
                <w:b w:val="1"/>
                <w:bCs w:val="1"/>
                <w:color w:val="auto"/>
              </w:rPr>
              <w:t>2018</w:t>
            </w:r>
          </w:p>
        </w:tc>
        <w:tc>
          <w:tcPr>
            <w:tcW w:w="100" w:type="dxa"/>
            <w:vAlign w:val="bottom"/>
          </w:tcPr>
          <w:p>
            <w:pPr>
              <w:spacing w:after="0"/>
              <w:rPr>
                <w:sz w:val="14"/>
                <w:szCs w:val="14"/>
                <w:color w:val="auto"/>
              </w:rPr>
            </w:pPr>
          </w:p>
        </w:tc>
        <w:tc>
          <w:tcPr>
            <w:tcW w:w="1160" w:type="dxa"/>
            <w:vAlign w:val="bottom"/>
          </w:tcPr>
          <w:p>
            <w:pPr>
              <w:jc w:val="right"/>
              <w:ind w:right="377"/>
              <w:spacing w:after="0"/>
              <w:rPr>
                <w:sz w:val="20"/>
                <w:szCs w:val="20"/>
                <w:color w:val="auto"/>
              </w:rPr>
            </w:pPr>
            <w:r>
              <w:rPr>
                <w:rFonts w:ascii="Arial" w:cs="Arial" w:eastAsia="Arial" w:hAnsi="Arial"/>
                <w:sz w:val="13"/>
                <w:szCs w:val="13"/>
                <w:b w:val="1"/>
                <w:bCs w:val="1"/>
                <w:color w:val="auto"/>
              </w:rPr>
              <w:t>2018</w:t>
            </w:r>
          </w:p>
        </w:tc>
        <w:tc>
          <w:tcPr>
            <w:tcW w:w="1460" w:type="dxa"/>
            <w:vAlign w:val="bottom"/>
            <w:gridSpan w:val="3"/>
          </w:tcPr>
          <w:p>
            <w:pPr>
              <w:jc w:val="right"/>
              <w:ind w:right="477"/>
              <w:spacing w:after="0"/>
              <w:rPr>
                <w:sz w:val="20"/>
                <w:szCs w:val="20"/>
                <w:color w:val="auto"/>
              </w:rPr>
            </w:pPr>
            <w:r>
              <w:rPr>
                <w:rFonts w:ascii="Arial" w:cs="Arial" w:eastAsia="Arial" w:hAnsi="Arial"/>
                <w:sz w:val="13"/>
                <w:szCs w:val="13"/>
                <w:b w:val="1"/>
                <w:bCs w:val="1"/>
                <w:color w:val="auto"/>
              </w:rPr>
              <w:t>2018</w:t>
            </w:r>
          </w:p>
        </w:tc>
        <w:tc>
          <w:tcPr>
            <w:tcW w:w="100" w:type="dxa"/>
            <w:vAlign w:val="bottom"/>
          </w:tcPr>
          <w:p>
            <w:pPr>
              <w:spacing w:after="0"/>
              <w:rPr>
                <w:sz w:val="14"/>
                <w:szCs w:val="14"/>
                <w:color w:val="auto"/>
              </w:rPr>
            </w:pPr>
          </w:p>
        </w:tc>
        <w:tc>
          <w:tcPr>
            <w:tcW w:w="1320" w:type="dxa"/>
            <w:vAlign w:val="bottom"/>
          </w:tcPr>
          <w:p>
            <w:pPr>
              <w:jc w:val="right"/>
              <w:ind w:right="477"/>
              <w:spacing w:after="0"/>
              <w:rPr>
                <w:sz w:val="20"/>
                <w:szCs w:val="20"/>
                <w:color w:val="auto"/>
              </w:rPr>
            </w:pPr>
            <w:r>
              <w:rPr>
                <w:rFonts w:ascii="Arial" w:cs="Arial" w:eastAsia="Arial" w:hAnsi="Arial"/>
                <w:sz w:val="13"/>
                <w:szCs w:val="13"/>
                <w:b w:val="1"/>
                <w:bCs w:val="1"/>
                <w:color w:val="auto"/>
              </w:rPr>
              <w:t>2018</w:t>
            </w:r>
          </w:p>
        </w:tc>
        <w:tc>
          <w:tcPr>
            <w:tcW w:w="100" w:type="dxa"/>
            <w:vAlign w:val="bottom"/>
          </w:tcPr>
          <w:p>
            <w:pPr>
              <w:spacing w:after="0"/>
              <w:rPr>
                <w:sz w:val="14"/>
                <w:szCs w:val="14"/>
                <w:color w:val="auto"/>
              </w:rPr>
            </w:pPr>
          </w:p>
        </w:tc>
        <w:tc>
          <w:tcPr>
            <w:tcW w:w="1220" w:type="dxa"/>
            <w:vAlign w:val="bottom"/>
          </w:tcPr>
          <w:p>
            <w:pPr>
              <w:jc w:val="right"/>
              <w:ind w:right="437"/>
              <w:spacing w:after="0"/>
              <w:rPr>
                <w:sz w:val="20"/>
                <w:szCs w:val="20"/>
                <w:color w:val="auto"/>
              </w:rPr>
            </w:pPr>
            <w:r>
              <w:rPr>
                <w:rFonts w:ascii="Arial" w:cs="Arial" w:eastAsia="Arial" w:hAnsi="Arial"/>
                <w:sz w:val="13"/>
                <w:szCs w:val="13"/>
                <w:b w:val="1"/>
                <w:bCs w:val="1"/>
                <w:color w:val="auto"/>
              </w:rPr>
              <w:t>2019</w:t>
            </w:r>
          </w:p>
        </w:tc>
      </w:tr>
      <w:tr>
        <w:trPr>
          <w:trHeight w:val="172"/>
        </w:trPr>
        <w:tc>
          <w:tcPr>
            <w:tcW w:w="33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3"/>
                <w:szCs w:val="13"/>
                <w:color w:val="auto"/>
              </w:rPr>
              <w:t>Servicing volume (dollars in millions):</w:t>
            </w:r>
          </w:p>
        </w:tc>
        <w:tc>
          <w:tcPr>
            <w:tcW w:w="180" w:type="dxa"/>
            <w:vAlign w:val="bottom"/>
            <w:tcBorders>
              <w:top w:val="single" w:sz="8" w:color="auto"/>
            </w:tcBorders>
            <w:shd w:val="clear" w:color="auto" w:fill="CCEEFF"/>
          </w:tcPr>
          <w:p>
            <w:pPr>
              <w:spacing w:after="0"/>
              <w:rPr>
                <w:sz w:val="14"/>
                <w:szCs w:val="14"/>
                <w:color w:val="auto"/>
              </w:rPr>
            </w:pPr>
          </w:p>
        </w:tc>
        <w:tc>
          <w:tcPr>
            <w:tcW w:w="1160" w:type="dxa"/>
            <w:vAlign w:val="bottom"/>
            <w:tcBorders>
              <w:top w:val="single" w:sz="8" w:color="auto"/>
            </w:tcBorders>
            <w:shd w:val="clear" w:color="auto" w:fill="CCEEFF"/>
          </w:tcPr>
          <w:p>
            <w:pPr>
              <w:spacing w:after="0"/>
              <w:rPr>
                <w:sz w:val="14"/>
                <w:szCs w:val="14"/>
                <w:color w:val="auto"/>
              </w:rPr>
            </w:pPr>
          </w:p>
        </w:tc>
        <w:tc>
          <w:tcPr>
            <w:tcW w:w="80" w:type="dxa"/>
            <w:vAlign w:val="bottom"/>
            <w:tcBorders>
              <w:top w:val="single" w:sz="8" w:color="CCEEFF"/>
            </w:tcBorders>
            <w:shd w:val="clear" w:color="auto" w:fill="CCEEFF"/>
          </w:tcPr>
          <w:p>
            <w:pPr>
              <w:spacing w:after="0"/>
              <w:rPr>
                <w:sz w:val="14"/>
                <w:szCs w:val="14"/>
                <w:color w:val="auto"/>
              </w:rPr>
            </w:pPr>
          </w:p>
        </w:tc>
        <w:tc>
          <w:tcPr>
            <w:tcW w:w="120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1160" w:type="dxa"/>
            <w:vAlign w:val="bottom"/>
            <w:tcBorders>
              <w:top w:val="single" w:sz="8" w:color="auto"/>
            </w:tcBorders>
            <w:shd w:val="clear" w:color="auto" w:fill="CCEEFF"/>
          </w:tcPr>
          <w:p>
            <w:pPr>
              <w:spacing w:after="0"/>
              <w:rPr>
                <w:sz w:val="14"/>
                <w:szCs w:val="14"/>
                <w:color w:val="auto"/>
              </w:rPr>
            </w:pPr>
          </w:p>
        </w:tc>
        <w:tc>
          <w:tcPr>
            <w:tcW w:w="40" w:type="dxa"/>
            <w:vAlign w:val="bottom"/>
            <w:tcBorders>
              <w:top w:val="single" w:sz="8" w:color="auto"/>
            </w:tcBorders>
            <w:shd w:val="clear" w:color="auto" w:fill="CCEEFF"/>
          </w:tcPr>
          <w:p>
            <w:pPr>
              <w:spacing w:after="0"/>
              <w:rPr>
                <w:sz w:val="14"/>
                <w:szCs w:val="14"/>
                <w:color w:val="auto"/>
              </w:rPr>
            </w:pPr>
          </w:p>
        </w:tc>
        <w:tc>
          <w:tcPr>
            <w:tcW w:w="80" w:type="dxa"/>
            <w:vAlign w:val="bottom"/>
            <w:tcBorders>
              <w:top w:val="single" w:sz="8" w:color="CCEEFF"/>
            </w:tcBorders>
            <w:shd w:val="clear" w:color="auto" w:fill="CCEEFF"/>
          </w:tcPr>
          <w:p>
            <w:pPr>
              <w:spacing w:after="0"/>
              <w:rPr>
                <w:sz w:val="14"/>
                <w:szCs w:val="14"/>
                <w:color w:val="auto"/>
              </w:rPr>
            </w:pPr>
          </w:p>
        </w:tc>
        <w:tc>
          <w:tcPr>
            <w:tcW w:w="134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132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1220" w:type="dxa"/>
            <w:vAlign w:val="bottom"/>
            <w:tcBorders>
              <w:top w:val="single" w:sz="8" w:color="auto"/>
            </w:tcBorders>
            <w:shd w:val="clear" w:color="auto" w:fill="CCEEFF"/>
          </w:tcPr>
          <w:p>
            <w:pPr>
              <w:spacing w:after="0"/>
              <w:rPr>
                <w:sz w:val="14"/>
                <w:szCs w:val="14"/>
                <w:color w:val="auto"/>
              </w:rPr>
            </w:pPr>
          </w:p>
        </w:tc>
      </w:tr>
      <w:tr>
        <w:trPr>
          <w:trHeight w:val="174"/>
        </w:trPr>
        <w:tc>
          <w:tcPr>
            <w:tcW w:w="3360" w:type="dxa"/>
            <w:vAlign w:val="bottom"/>
          </w:tcPr>
          <w:p>
            <w:pPr>
              <w:spacing w:after="0"/>
              <w:rPr>
                <w:sz w:val="20"/>
                <w:szCs w:val="20"/>
                <w:color w:val="auto"/>
              </w:rPr>
            </w:pPr>
            <w:r>
              <w:rPr>
                <w:rFonts w:ascii="Arial" w:cs="Arial" w:eastAsia="Arial" w:hAnsi="Arial"/>
                <w:sz w:val="13"/>
                <w:szCs w:val="13"/>
                <w:color w:val="auto"/>
              </w:rPr>
              <w:t>Nelnet</w:t>
            </w:r>
          </w:p>
        </w:tc>
        <w:tc>
          <w:tcPr>
            <w:tcW w:w="18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20" w:type="dxa"/>
            <w:vAlign w:val="bottom"/>
          </w:tcPr>
          <w:p>
            <w:pPr>
              <w:spacing w:after="0"/>
              <w:rPr>
                <w:sz w:val="15"/>
                <w:szCs w:val="15"/>
                <w:color w:val="auto"/>
              </w:rPr>
            </w:pPr>
          </w:p>
        </w:tc>
      </w:tr>
      <w:tr>
        <w:trPr>
          <w:trHeight w:val="192"/>
        </w:trPr>
        <w:tc>
          <w:tcPr>
            <w:tcW w:w="3360" w:type="dxa"/>
            <w:vAlign w:val="bottom"/>
            <w:shd w:val="clear" w:color="auto" w:fill="CCEEFF"/>
          </w:tcPr>
          <w:p>
            <w:pPr>
              <w:ind w:left="160"/>
              <w:spacing w:after="0"/>
              <w:rPr>
                <w:sz w:val="20"/>
                <w:szCs w:val="20"/>
                <w:color w:val="auto"/>
              </w:rPr>
            </w:pPr>
            <w:r>
              <w:rPr>
                <w:rFonts w:ascii="Arial" w:cs="Arial" w:eastAsia="Arial" w:hAnsi="Arial"/>
                <w:sz w:val="13"/>
                <w:szCs w:val="13"/>
                <w:color w:val="auto"/>
              </w:rPr>
              <w:t>Government</w:t>
            </w:r>
          </w:p>
        </w:tc>
        <w:tc>
          <w:tcPr>
            <w:tcW w:w="18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w w:val="82"/>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172,669</w:t>
            </w:r>
          </w:p>
        </w:tc>
        <w:tc>
          <w:tcPr>
            <w:tcW w:w="80" w:type="dxa"/>
            <w:vAlign w:val="bottom"/>
            <w:shd w:val="clear" w:color="auto" w:fill="CCEEFF"/>
          </w:tcPr>
          <w:p>
            <w:pPr>
              <w:spacing w:after="0"/>
              <w:rPr>
                <w:sz w:val="16"/>
                <w:szCs w:val="16"/>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176,605</w:t>
            </w:r>
          </w:p>
        </w:tc>
        <w:tc>
          <w:tcPr>
            <w:tcW w:w="100" w:type="dxa"/>
            <w:vAlign w:val="bottom"/>
            <w:shd w:val="clear" w:color="auto" w:fill="CCEEFF"/>
          </w:tcPr>
          <w:p>
            <w:pPr>
              <w:spacing w:after="0"/>
              <w:rPr>
                <w:sz w:val="16"/>
                <w:szCs w:val="16"/>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176,179</w:t>
            </w:r>
          </w:p>
        </w:tc>
        <w:tc>
          <w:tcPr>
            <w:tcW w:w="1460" w:type="dxa"/>
            <w:vAlign w:val="bottom"/>
            <w:gridSpan w:val="3"/>
            <w:shd w:val="clear" w:color="auto" w:fill="CCEEFF"/>
          </w:tcPr>
          <w:p>
            <w:pPr>
              <w:jc w:val="right"/>
              <w:spacing w:after="0"/>
              <w:rPr>
                <w:sz w:val="20"/>
                <w:szCs w:val="20"/>
                <w:color w:val="auto"/>
              </w:rPr>
            </w:pPr>
            <w:r>
              <w:rPr>
                <w:rFonts w:ascii="Arial" w:cs="Arial" w:eastAsia="Arial" w:hAnsi="Arial"/>
                <w:sz w:val="13"/>
                <w:szCs w:val="13"/>
                <w:color w:val="auto"/>
              </w:rPr>
              <w:t>179,283</w:t>
            </w:r>
          </w:p>
        </w:tc>
        <w:tc>
          <w:tcPr>
            <w:tcW w:w="100" w:type="dxa"/>
            <w:vAlign w:val="bottom"/>
            <w:shd w:val="clear" w:color="auto" w:fill="CCEEFF"/>
          </w:tcPr>
          <w:p>
            <w:pPr>
              <w:spacing w:after="0"/>
              <w:rPr>
                <w:sz w:val="16"/>
                <w:szCs w:val="16"/>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179,507</w:t>
            </w:r>
          </w:p>
        </w:tc>
        <w:tc>
          <w:tcPr>
            <w:tcW w:w="100" w:type="dxa"/>
            <w:vAlign w:val="bottom"/>
            <w:shd w:val="clear" w:color="auto" w:fill="CCEEFF"/>
          </w:tcPr>
          <w:p>
            <w:pPr>
              <w:spacing w:after="0"/>
              <w:rPr>
                <w:sz w:val="16"/>
                <w:szCs w:val="16"/>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183,093</w:t>
            </w:r>
          </w:p>
        </w:tc>
      </w:tr>
      <w:tr>
        <w:trPr>
          <w:trHeight w:val="174"/>
        </w:trPr>
        <w:tc>
          <w:tcPr>
            <w:tcW w:w="3360" w:type="dxa"/>
            <w:vAlign w:val="bottom"/>
          </w:tcPr>
          <w:p>
            <w:pPr>
              <w:ind w:left="160"/>
              <w:spacing w:after="0"/>
              <w:rPr>
                <w:sz w:val="20"/>
                <w:szCs w:val="20"/>
                <w:color w:val="auto"/>
              </w:rPr>
            </w:pPr>
            <w:r>
              <w:rPr>
                <w:rFonts w:ascii="Arial" w:cs="Arial" w:eastAsia="Arial" w:hAnsi="Arial"/>
                <w:sz w:val="13"/>
                <w:szCs w:val="13"/>
                <w:color w:val="auto"/>
              </w:rPr>
              <w:t>FFELP</w:t>
            </w:r>
          </w:p>
        </w:tc>
        <w:tc>
          <w:tcPr>
            <w:tcW w:w="180" w:type="dxa"/>
            <w:vAlign w:val="bottom"/>
          </w:tcPr>
          <w:p>
            <w:pPr>
              <w:spacing w:after="0"/>
              <w:rPr>
                <w:sz w:val="15"/>
                <w:szCs w:val="15"/>
                <w:color w:val="auto"/>
              </w:rPr>
            </w:pPr>
          </w:p>
        </w:tc>
        <w:tc>
          <w:tcPr>
            <w:tcW w:w="1160" w:type="dxa"/>
            <w:vAlign w:val="bottom"/>
          </w:tcPr>
          <w:p>
            <w:pPr>
              <w:jc w:val="right"/>
              <w:spacing w:after="0"/>
              <w:rPr>
                <w:sz w:val="20"/>
                <w:szCs w:val="20"/>
                <w:color w:val="auto"/>
              </w:rPr>
            </w:pPr>
            <w:r>
              <w:rPr>
                <w:rFonts w:ascii="Arial" w:cs="Arial" w:eastAsia="Arial" w:hAnsi="Arial"/>
                <w:sz w:val="13"/>
                <w:szCs w:val="13"/>
                <w:color w:val="auto"/>
              </w:rPr>
              <w:t>27,262</w:t>
            </w:r>
          </w:p>
        </w:tc>
        <w:tc>
          <w:tcPr>
            <w:tcW w:w="80" w:type="dxa"/>
            <w:vAlign w:val="bottom"/>
          </w:tcPr>
          <w:p>
            <w:pPr>
              <w:spacing w:after="0"/>
              <w:rPr>
                <w:sz w:val="15"/>
                <w:szCs w:val="15"/>
                <w:color w:val="auto"/>
              </w:rPr>
            </w:pPr>
          </w:p>
        </w:tc>
        <w:tc>
          <w:tcPr>
            <w:tcW w:w="1200" w:type="dxa"/>
            <w:vAlign w:val="bottom"/>
          </w:tcPr>
          <w:p>
            <w:pPr>
              <w:jc w:val="right"/>
              <w:spacing w:after="0"/>
              <w:rPr>
                <w:sz w:val="20"/>
                <w:szCs w:val="20"/>
                <w:color w:val="auto"/>
              </w:rPr>
            </w:pPr>
            <w:r>
              <w:rPr>
                <w:rFonts w:ascii="Arial" w:cs="Arial" w:eastAsia="Arial" w:hAnsi="Arial"/>
                <w:sz w:val="13"/>
                <w:szCs w:val="13"/>
                <w:color w:val="auto"/>
              </w:rPr>
              <w:t>26,969</w:t>
            </w:r>
          </w:p>
        </w:tc>
        <w:tc>
          <w:tcPr>
            <w:tcW w:w="100" w:type="dxa"/>
            <w:vAlign w:val="bottom"/>
          </w:tcPr>
          <w:p>
            <w:pPr>
              <w:spacing w:after="0"/>
              <w:rPr>
                <w:sz w:val="15"/>
                <w:szCs w:val="15"/>
                <w:color w:val="auto"/>
              </w:rPr>
            </w:pPr>
          </w:p>
        </w:tc>
        <w:tc>
          <w:tcPr>
            <w:tcW w:w="1160" w:type="dxa"/>
            <w:vAlign w:val="bottom"/>
          </w:tcPr>
          <w:p>
            <w:pPr>
              <w:jc w:val="right"/>
              <w:spacing w:after="0"/>
              <w:rPr>
                <w:sz w:val="20"/>
                <w:szCs w:val="20"/>
                <w:color w:val="auto"/>
              </w:rPr>
            </w:pPr>
            <w:r>
              <w:rPr>
                <w:rFonts w:ascii="Arial" w:cs="Arial" w:eastAsia="Arial" w:hAnsi="Arial"/>
                <w:sz w:val="13"/>
                <w:szCs w:val="13"/>
                <w:color w:val="auto"/>
              </w:rPr>
              <w:t>37,599</w:t>
            </w:r>
          </w:p>
        </w:tc>
        <w:tc>
          <w:tcPr>
            <w:tcW w:w="1460" w:type="dxa"/>
            <w:vAlign w:val="bottom"/>
            <w:gridSpan w:val="3"/>
          </w:tcPr>
          <w:p>
            <w:pPr>
              <w:jc w:val="right"/>
              <w:spacing w:after="0"/>
              <w:rPr>
                <w:sz w:val="20"/>
                <w:szCs w:val="20"/>
                <w:color w:val="auto"/>
              </w:rPr>
            </w:pPr>
            <w:r>
              <w:rPr>
                <w:rFonts w:ascii="Arial" w:cs="Arial" w:eastAsia="Arial" w:hAnsi="Arial"/>
                <w:sz w:val="13"/>
                <w:szCs w:val="13"/>
                <w:color w:val="auto"/>
              </w:rPr>
              <w:t>37,459</w:t>
            </w:r>
          </w:p>
        </w:tc>
        <w:tc>
          <w:tcPr>
            <w:tcW w:w="100" w:type="dxa"/>
            <w:vAlign w:val="bottom"/>
          </w:tcPr>
          <w:p>
            <w:pPr>
              <w:spacing w:after="0"/>
              <w:rPr>
                <w:sz w:val="15"/>
                <w:szCs w:val="15"/>
                <w:color w:val="auto"/>
              </w:rPr>
            </w:pPr>
          </w:p>
        </w:tc>
        <w:tc>
          <w:tcPr>
            <w:tcW w:w="1320" w:type="dxa"/>
            <w:vAlign w:val="bottom"/>
          </w:tcPr>
          <w:p>
            <w:pPr>
              <w:jc w:val="right"/>
              <w:spacing w:after="0"/>
              <w:rPr>
                <w:sz w:val="20"/>
                <w:szCs w:val="20"/>
                <w:color w:val="auto"/>
              </w:rPr>
            </w:pPr>
            <w:r>
              <w:rPr>
                <w:rFonts w:ascii="Arial" w:cs="Arial" w:eastAsia="Arial" w:hAnsi="Arial"/>
                <w:sz w:val="13"/>
                <w:szCs w:val="13"/>
                <w:color w:val="auto"/>
              </w:rPr>
              <w:t>36,748</w:t>
            </w:r>
          </w:p>
        </w:tc>
        <w:tc>
          <w:tcPr>
            <w:tcW w:w="100" w:type="dxa"/>
            <w:vAlign w:val="bottom"/>
          </w:tcPr>
          <w:p>
            <w:pPr>
              <w:spacing w:after="0"/>
              <w:rPr>
                <w:sz w:val="15"/>
                <w:szCs w:val="15"/>
                <w:color w:val="auto"/>
              </w:rPr>
            </w:pPr>
          </w:p>
        </w:tc>
        <w:tc>
          <w:tcPr>
            <w:tcW w:w="1220" w:type="dxa"/>
            <w:vAlign w:val="bottom"/>
          </w:tcPr>
          <w:p>
            <w:pPr>
              <w:jc w:val="right"/>
              <w:spacing w:after="0"/>
              <w:rPr>
                <w:sz w:val="20"/>
                <w:szCs w:val="20"/>
                <w:color w:val="auto"/>
              </w:rPr>
            </w:pPr>
            <w:r>
              <w:rPr>
                <w:rFonts w:ascii="Arial" w:cs="Arial" w:eastAsia="Arial" w:hAnsi="Arial"/>
                <w:sz w:val="13"/>
                <w:szCs w:val="13"/>
                <w:color w:val="auto"/>
              </w:rPr>
              <w:t>35,917</w:t>
            </w:r>
          </w:p>
        </w:tc>
      </w:tr>
      <w:tr>
        <w:trPr>
          <w:trHeight w:val="192"/>
        </w:trPr>
        <w:tc>
          <w:tcPr>
            <w:tcW w:w="3360" w:type="dxa"/>
            <w:vAlign w:val="bottom"/>
            <w:shd w:val="clear" w:color="auto" w:fill="CCEEFF"/>
          </w:tcPr>
          <w:p>
            <w:pPr>
              <w:ind w:left="160"/>
              <w:spacing w:after="0"/>
              <w:rPr>
                <w:sz w:val="20"/>
                <w:szCs w:val="20"/>
                <w:color w:val="auto"/>
              </w:rPr>
            </w:pPr>
            <w:r>
              <w:rPr>
                <w:rFonts w:ascii="Arial" w:cs="Arial" w:eastAsia="Arial" w:hAnsi="Arial"/>
                <w:sz w:val="13"/>
                <w:szCs w:val="13"/>
                <w:color w:val="auto"/>
              </w:rPr>
              <w:t>Private and consumer</w:t>
            </w:r>
          </w:p>
        </w:tc>
        <w:tc>
          <w:tcPr>
            <w:tcW w:w="180" w:type="dxa"/>
            <w:vAlign w:val="bottom"/>
            <w:shd w:val="clear" w:color="auto" w:fill="CCEEFF"/>
          </w:tcPr>
          <w:p>
            <w:pPr>
              <w:spacing w:after="0"/>
              <w:rPr>
                <w:sz w:val="16"/>
                <w:szCs w:val="16"/>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11,483</w:t>
            </w:r>
          </w:p>
        </w:tc>
        <w:tc>
          <w:tcPr>
            <w:tcW w:w="80" w:type="dxa"/>
            <w:vAlign w:val="bottom"/>
            <w:shd w:val="clear" w:color="auto" w:fill="CCEEFF"/>
          </w:tcPr>
          <w:p>
            <w:pPr>
              <w:spacing w:after="0"/>
              <w:rPr>
                <w:sz w:val="16"/>
                <w:szCs w:val="16"/>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12,116</w:t>
            </w:r>
          </w:p>
        </w:tc>
        <w:tc>
          <w:tcPr>
            <w:tcW w:w="100" w:type="dxa"/>
            <w:vAlign w:val="bottom"/>
            <w:shd w:val="clear" w:color="auto" w:fill="CCEEFF"/>
          </w:tcPr>
          <w:p>
            <w:pPr>
              <w:spacing w:after="0"/>
              <w:rPr>
                <w:sz w:val="16"/>
                <w:szCs w:val="16"/>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15,016</w:t>
            </w:r>
          </w:p>
        </w:tc>
        <w:tc>
          <w:tcPr>
            <w:tcW w:w="1460" w:type="dxa"/>
            <w:vAlign w:val="bottom"/>
            <w:gridSpan w:val="3"/>
            <w:shd w:val="clear" w:color="auto" w:fill="CCEEFF"/>
          </w:tcPr>
          <w:p>
            <w:pPr>
              <w:jc w:val="right"/>
              <w:spacing w:after="0"/>
              <w:rPr>
                <w:sz w:val="20"/>
                <w:szCs w:val="20"/>
                <w:color w:val="auto"/>
              </w:rPr>
            </w:pPr>
            <w:r>
              <w:rPr>
                <w:rFonts w:ascii="Arial" w:cs="Arial" w:eastAsia="Arial" w:hAnsi="Arial"/>
                <w:sz w:val="13"/>
                <w:szCs w:val="13"/>
                <w:color w:val="auto"/>
              </w:rPr>
              <w:t>15,466</w:t>
            </w:r>
          </w:p>
        </w:tc>
        <w:tc>
          <w:tcPr>
            <w:tcW w:w="100" w:type="dxa"/>
            <w:vAlign w:val="bottom"/>
            <w:shd w:val="clear" w:color="auto" w:fill="CCEEFF"/>
          </w:tcPr>
          <w:p>
            <w:pPr>
              <w:spacing w:after="0"/>
              <w:rPr>
                <w:sz w:val="16"/>
                <w:szCs w:val="16"/>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15,666</w:t>
            </w:r>
          </w:p>
        </w:tc>
        <w:tc>
          <w:tcPr>
            <w:tcW w:w="100" w:type="dxa"/>
            <w:vAlign w:val="bottom"/>
            <w:shd w:val="clear" w:color="auto" w:fill="CCEEFF"/>
          </w:tcPr>
          <w:p>
            <w:pPr>
              <w:spacing w:after="0"/>
              <w:rPr>
                <w:sz w:val="16"/>
                <w:szCs w:val="16"/>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16,065</w:t>
            </w:r>
          </w:p>
        </w:tc>
      </w:tr>
      <w:tr>
        <w:trPr>
          <w:trHeight w:val="174"/>
        </w:trPr>
        <w:tc>
          <w:tcPr>
            <w:tcW w:w="3360" w:type="dxa"/>
            <w:vAlign w:val="bottom"/>
          </w:tcPr>
          <w:p>
            <w:pPr>
              <w:spacing w:after="0"/>
              <w:rPr>
                <w:sz w:val="20"/>
                <w:szCs w:val="20"/>
                <w:color w:val="auto"/>
              </w:rPr>
            </w:pPr>
            <w:r>
              <w:rPr>
                <w:rFonts w:ascii="Arial" w:cs="Arial" w:eastAsia="Arial" w:hAnsi="Arial"/>
                <w:sz w:val="13"/>
                <w:szCs w:val="13"/>
                <w:color w:val="auto"/>
              </w:rPr>
              <w:t>Great Lakes</w:t>
            </w:r>
          </w:p>
        </w:tc>
        <w:tc>
          <w:tcPr>
            <w:tcW w:w="18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20" w:type="dxa"/>
            <w:vAlign w:val="bottom"/>
          </w:tcPr>
          <w:p>
            <w:pPr>
              <w:spacing w:after="0"/>
              <w:rPr>
                <w:sz w:val="15"/>
                <w:szCs w:val="15"/>
                <w:color w:val="auto"/>
              </w:rPr>
            </w:pPr>
          </w:p>
        </w:tc>
      </w:tr>
      <w:tr>
        <w:trPr>
          <w:trHeight w:val="192"/>
        </w:trPr>
        <w:tc>
          <w:tcPr>
            <w:tcW w:w="3360" w:type="dxa"/>
            <w:vAlign w:val="bottom"/>
            <w:shd w:val="clear" w:color="auto" w:fill="CCEEFF"/>
          </w:tcPr>
          <w:p>
            <w:pPr>
              <w:ind w:left="160"/>
              <w:spacing w:after="0"/>
              <w:rPr>
                <w:sz w:val="20"/>
                <w:szCs w:val="20"/>
                <w:color w:val="auto"/>
              </w:rPr>
            </w:pPr>
            <w:r>
              <w:rPr>
                <w:rFonts w:ascii="Arial" w:cs="Arial" w:eastAsia="Arial" w:hAnsi="Arial"/>
                <w:sz w:val="13"/>
                <w:szCs w:val="13"/>
                <w:color w:val="auto"/>
              </w:rPr>
              <w:t>Government</w:t>
            </w:r>
          </w:p>
        </w:tc>
        <w:tc>
          <w:tcPr>
            <w:tcW w:w="180" w:type="dxa"/>
            <w:vAlign w:val="bottom"/>
            <w:shd w:val="clear" w:color="auto" w:fill="CCEEFF"/>
          </w:tcPr>
          <w:p>
            <w:pPr>
              <w:spacing w:after="0"/>
              <w:rPr>
                <w:sz w:val="16"/>
                <w:szCs w:val="16"/>
                <w:color w:val="auto"/>
              </w:rPr>
            </w:pPr>
          </w:p>
        </w:tc>
        <w:tc>
          <w:tcPr>
            <w:tcW w:w="124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242,063</w:t>
            </w:r>
          </w:p>
        </w:tc>
        <w:tc>
          <w:tcPr>
            <w:tcW w:w="100" w:type="dxa"/>
            <w:vAlign w:val="bottom"/>
            <w:shd w:val="clear" w:color="auto" w:fill="CCEEFF"/>
          </w:tcPr>
          <w:p>
            <w:pPr>
              <w:spacing w:after="0"/>
              <w:rPr>
                <w:sz w:val="16"/>
                <w:szCs w:val="16"/>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241,902</w:t>
            </w:r>
          </w:p>
        </w:tc>
        <w:tc>
          <w:tcPr>
            <w:tcW w:w="1460" w:type="dxa"/>
            <w:vAlign w:val="bottom"/>
            <w:gridSpan w:val="3"/>
            <w:shd w:val="clear" w:color="auto" w:fill="CCEEFF"/>
          </w:tcPr>
          <w:p>
            <w:pPr>
              <w:jc w:val="right"/>
              <w:spacing w:after="0"/>
              <w:rPr>
                <w:sz w:val="20"/>
                <w:szCs w:val="20"/>
                <w:color w:val="auto"/>
              </w:rPr>
            </w:pPr>
            <w:r>
              <w:rPr>
                <w:rFonts w:ascii="Arial" w:cs="Arial" w:eastAsia="Arial" w:hAnsi="Arial"/>
                <w:sz w:val="13"/>
                <w:szCs w:val="13"/>
                <w:color w:val="auto"/>
              </w:rPr>
              <w:t>232,741</w:t>
            </w:r>
          </w:p>
        </w:tc>
        <w:tc>
          <w:tcPr>
            <w:tcW w:w="100" w:type="dxa"/>
            <w:vAlign w:val="bottom"/>
            <w:shd w:val="clear" w:color="auto" w:fill="CCEEFF"/>
          </w:tcPr>
          <w:p>
            <w:pPr>
              <w:spacing w:after="0"/>
              <w:rPr>
                <w:sz w:val="16"/>
                <w:szCs w:val="16"/>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232,694</w:t>
            </w:r>
          </w:p>
        </w:tc>
        <w:tc>
          <w:tcPr>
            <w:tcW w:w="100" w:type="dxa"/>
            <w:vAlign w:val="bottom"/>
            <w:shd w:val="clear" w:color="auto" w:fill="CCEEFF"/>
          </w:tcPr>
          <w:p>
            <w:pPr>
              <w:spacing w:after="0"/>
              <w:rPr>
                <w:sz w:val="16"/>
                <w:szCs w:val="16"/>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237,050</w:t>
            </w:r>
          </w:p>
        </w:tc>
      </w:tr>
      <w:tr>
        <w:trPr>
          <w:trHeight w:val="174"/>
        </w:trPr>
        <w:tc>
          <w:tcPr>
            <w:tcW w:w="3360" w:type="dxa"/>
            <w:vAlign w:val="bottom"/>
          </w:tcPr>
          <w:p>
            <w:pPr>
              <w:ind w:left="160"/>
              <w:spacing w:after="0"/>
              <w:rPr>
                <w:sz w:val="20"/>
                <w:szCs w:val="20"/>
                <w:color w:val="auto"/>
              </w:rPr>
            </w:pPr>
            <w:r>
              <w:rPr>
                <w:rFonts w:ascii="Arial" w:cs="Arial" w:eastAsia="Arial" w:hAnsi="Arial"/>
                <w:sz w:val="13"/>
                <w:szCs w:val="13"/>
                <w:color w:val="auto"/>
              </w:rPr>
              <w:t>FFELP (a)</w:t>
            </w:r>
          </w:p>
        </w:tc>
        <w:tc>
          <w:tcPr>
            <w:tcW w:w="180" w:type="dxa"/>
            <w:vAlign w:val="bottom"/>
          </w:tcPr>
          <w:p>
            <w:pPr>
              <w:spacing w:after="0"/>
              <w:rPr>
                <w:sz w:val="15"/>
                <w:szCs w:val="15"/>
                <w:color w:val="auto"/>
              </w:rPr>
            </w:pPr>
          </w:p>
        </w:tc>
        <w:tc>
          <w:tcPr>
            <w:tcW w:w="124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200" w:type="dxa"/>
            <w:vAlign w:val="bottom"/>
          </w:tcPr>
          <w:p>
            <w:pPr>
              <w:jc w:val="right"/>
              <w:spacing w:after="0"/>
              <w:rPr>
                <w:sz w:val="20"/>
                <w:szCs w:val="20"/>
                <w:color w:val="auto"/>
              </w:rPr>
            </w:pPr>
            <w:r>
              <w:rPr>
                <w:rFonts w:ascii="Arial" w:cs="Arial" w:eastAsia="Arial" w:hAnsi="Arial"/>
                <w:sz w:val="13"/>
                <w:szCs w:val="13"/>
                <w:color w:val="auto"/>
              </w:rPr>
              <w:t>11,136</w:t>
            </w:r>
          </w:p>
        </w:tc>
        <w:tc>
          <w:tcPr>
            <w:tcW w:w="100" w:type="dxa"/>
            <w:vAlign w:val="bottom"/>
          </w:tcPr>
          <w:p>
            <w:pPr>
              <w:spacing w:after="0"/>
              <w:rPr>
                <w:sz w:val="15"/>
                <w:szCs w:val="15"/>
                <w:color w:val="auto"/>
              </w:rPr>
            </w:pPr>
          </w:p>
        </w:tc>
        <w:tc>
          <w:tcPr>
            <w:tcW w:w="1160" w:type="dxa"/>
            <w:vAlign w:val="bottom"/>
          </w:tcPr>
          <w:p>
            <w:pPr>
              <w:jc w:val="right"/>
              <w:spacing w:after="0"/>
              <w:rPr>
                <w:sz w:val="20"/>
                <w:szCs w:val="20"/>
                <w:color w:val="auto"/>
              </w:rPr>
            </w:pPr>
            <w:r>
              <w:rPr>
                <w:rFonts w:ascii="Arial" w:cs="Arial" w:eastAsia="Arial" w:hAnsi="Arial"/>
                <w:sz w:val="13"/>
                <w:szCs w:val="13"/>
                <w:color w:val="auto"/>
              </w:rPr>
              <w:t>—</w:t>
            </w:r>
          </w:p>
        </w:tc>
        <w:tc>
          <w:tcPr>
            <w:tcW w:w="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4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42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220" w:type="dxa"/>
            <w:vAlign w:val="bottom"/>
          </w:tcPr>
          <w:p>
            <w:pPr>
              <w:jc w:val="right"/>
              <w:spacing w:after="0"/>
              <w:rPr>
                <w:sz w:val="20"/>
                <w:szCs w:val="20"/>
                <w:color w:val="auto"/>
              </w:rPr>
            </w:pPr>
            <w:r>
              <w:rPr>
                <w:rFonts w:ascii="Arial" w:cs="Arial" w:eastAsia="Arial" w:hAnsi="Arial"/>
                <w:sz w:val="13"/>
                <w:szCs w:val="13"/>
                <w:color w:val="auto"/>
              </w:rPr>
              <w:t>—</w:t>
            </w:r>
          </w:p>
        </w:tc>
      </w:tr>
      <w:tr>
        <w:trPr>
          <w:trHeight w:val="183"/>
        </w:trPr>
        <w:tc>
          <w:tcPr>
            <w:tcW w:w="3360" w:type="dxa"/>
            <w:vAlign w:val="bottom"/>
            <w:shd w:val="clear" w:color="auto" w:fill="CCEEFF"/>
          </w:tcPr>
          <w:p>
            <w:pPr>
              <w:ind w:left="160"/>
              <w:spacing w:after="0"/>
              <w:rPr>
                <w:sz w:val="20"/>
                <w:szCs w:val="20"/>
                <w:color w:val="auto"/>
              </w:rPr>
            </w:pPr>
            <w:r>
              <w:rPr>
                <w:rFonts w:ascii="Arial" w:cs="Arial" w:eastAsia="Arial" w:hAnsi="Arial"/>
                <w:sz w:val="13"/>
                <w:szCs w:val="13"/>
                <w:color w:val="auto"/>
              </w:rPr>
              <w:t>Private and consumer (a)</w:t>
            </w:r>
          </w:p>
        </w:tc>
        <w:tc>
          <w:tcPr>
            <w:tcW w:w="180" w:type="dxa"/>
            <w:vAlign w:val="bottom"/>
            <w:tcBorders>
              <w:bottom w:val="single" w:sz="8" w:color="auto"/>
            </w:tcBorders>
            <w:shd w:val="clear" w:color="auto" w:fill="CCEEFF"/>
          </w:tcPr>
          <w:p>
            <w:pPr>
              <w:spacing w:after="0"/>
              <w:rPr>
                <w:sz w:val="15"/>
                <w:szCs w:val="15"/>
                <w:color w:val="auto"/>
              </w:rPr>
            </w:pP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5"/>
                <w:szCs w:val="15"/>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1,927</w:t>
            </w:r>
          </w:p>
        </w:tc>
        <w:tc>
          <w:tcPr>
            <w:tcW w:w="100" w:type="dxa"/>
            <w:vAlign w:val="bottom"/>
            <w:shd w:val="clear" w:color="auto" w:fill="CCEEFF"/>
          </w:tcPr>
          <w:p>
            <w:pPr>
              <w:spacing w:after="0"/>
              <w:rPr>
                <w:sz w:val="15"/>
                <w:szCs w:val="15"/>
                <w:color w:val="auto"/>
              </w:rPr>
            </w:pP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31</w:t>
            </w:r>
          </w:p>
        </w:tc>
        <w:tc>
          <w:tcPr>
            <w:tcW w:w="40" w:type="dxa"/>
            <w:vAlign w:val="bottom"/>
            <w:tcBorders>
              <w:bottom w:val="single" w:sz="8" w:color="auto"/>
            </w:tcBorders>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5"/>
                <w:szCs w:val="15"/>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5"/>
                <w:szCs w:val="15"/>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r>
      <w:tr>
        <w:trPr>
          <w:trHeight w:val="183"/>
        </w:trPr>
        <w:tc>
          <w:tcPr>
            <w:tcW w:w="3360" w:type="dxa"/>
            <w:vAlign w:val="bottom"/>
          </w:tcPr>
          <w:p>
            <w:pPr>
              <w:spacing w:after="0"/>
              <w:rPr>
                <w:sz w:val="20"/>
                <w:szCs w:val="20"/>
                <w:color w:val="auto"/>
              </w:rPr>
            </w:pPr>
            <w:r>
              <w:rPr>
                <w:rFonts w:ascii="Arial" w:cs="Arial" w:eastAsia="Arial" w:hAnsi="Arial"/>
                <w:sz w:val="13"/>
                <w:szCs w:val="13"/>
                <w:color w:val="auto"/>
              </w:rPr>
              <w:t>Total</w:t>
            </w:r>
          </w:p>
        </w:tc>
        <w:tc>
          <w:tcPr>
            <w:tcW w:w="180" w:type="dxa"/>
            <w:vAlign w:val="bottom"/>
          </w:tcPr>
          <w:p>
            <w:pPr>
              <w:jc w:val="right"/>
              <w:ind w:right="37"/>
              <w:spacing w:after="0"/>
              <w:rPr>
                <w:sz w:val="20"/>
                <w:szCs w:val="20"/>
                <w:color w:val="auto"/>
              </w:rPr>
            </w:pPr>
            <w:r>
              <w:rPr>
                <w:rFonts w:ascii="Arial" w:cs="Arial" w:eastAsia="Arial" w:hAnsi="Arial"/>
                <w:sz w:val="13"/>
                <w:szCs w:val="13"/>
                <w:color w:val="auto"/>
                <w:w w:val="82"/>
              </w:rPr>
              <w:t>$</w:t>
            </w:r>
          </w:p>
        </w:tc>
        <w:tc>
          <w:tcPr>
            <w:tcW w:w="1160" w:type="dxa"/>
            <w:vAlign w:val="bottom"/>
          </w:tcPr>
          <w:p>
            <w:pPr>
              <w:jc w:val="right"/>
              <w:spacing w:after="0"/>
              <w:rPr>
                <w:sz w:val="20"/>
                <w:szCs w:val="20"/>
                <w:color w:val="auto"/>
              </w:rPr>
            </w:pPr>
            <w:r>
              <w:rPr>
                <w:rFonts w:ascii="Arial" w:cs="Arial" w:eastAsia="Arial" w:hAnsi="Arial"/>
                <w:sz w:val="13"/>
                <w:szCs w:val="13"/>
                <w:color w:val="auto"/>
              </w:rPr>
              <w:t>211,414</w:t>
            </w:r>
          </w:p>
        </w:tc>
        <w:tc>
          <w:tcPr>
            <w:tcW w:w="80" w:type="dxa"/>
            <w:vAlign w:val="bottom"/>
          </w:tcPr>
          <w:p>
            <w:pPr>
              <w:spacing w:after="0"/>
              <w:rPr>
                <w:sz w:val="15"/>
                <w:szCs w:val="15"/>
                <w:color w:val="auto"/>
              </w:rPr>
            </w:pPr>
          </w:p>
        </w:tc>
        <w:tc>
          <w:tcPr>
            <w:tcW w:w="1200" w:type="dxa"/>
            <w:vAlign w:val="bottom"/>
          </w:tcPr>
          <w:p>
            <w:pPr>
              <w:jc w:val="right"/>
              <w:spacing w:after="0"/>
              <w:rPr>
                <w:sz w:val="20"/>
                <w:szCs w:val="20"/>
                <w:color w:val="auto"/>
              </w:rPr>
            </w:pPr>
            <w:r>
              <w:rPr>
                <w:rFonts w:ascii="Arial" w:cs="Arial" w:eastAsia="Arial" w:hAnsi="Arial"/>
                <w:sz w:val="13"/>
                <w:szCs w:val="13"/>
                <w:color w:val="auto"/>
              </w:rPr>
              <w:t>470,816</w:t>
            </w:r>
          </w:p>
        </w:tc>
        <w:tc>
          <w:tcPr>
            <w:tcW w:w="100" w:type="dxa"/>
            <w:vAlign w:val="bottom"/>
          </w:tcPr>
          <w:p>
            <w:pPr>
              <w:spacing w:after="0"/>
              <w:rPr>
                <w:sz w:val="15"/>
                <w:szCs w:val="15"/>
                <w:color w:val="auto"/>
              </w:rPr>
            </w:pPr>
          </w:p>
        </w:tc>
        <w:tc>
          <w:tcPr>
            <w:tcW w:w="1160" w:type="dxa"/>
            <w:vAlign w:val="bottom"/>
          </w:tcPr>
          <w:p>
            <w:pPr>
              <w:jc w:val="right"/>
              <w:spacing w:after="0"/>
              <w:rPr>
                <w:sz w:val="20"/>
                <w:szCs w:val="20"/>
                <w:color w:val="auto"/>
              </w:rPr>
            </w:pPr>
            <w:r>
              <w:rPr>
                <w:rFonts w:ascii="Arial" w:cs="Arial" w:eastAsia="Arial" w:hAnsi="Arial"/>
                <w:sz w:val="13"/>
                <w:szCs w:val="13"/>
                <w:color w:val="auto"/>
              </w:rPr>
              <w:t>470,727</w:t>
            </w:r>
          </w:p>
        </w:tc>
        <w:tc>
          <w:tcPr>
            <w:tcW w:w="1460" w:type="dxa"/>
            <w:vAlign w:val="bottom"/>
            <w:gridSpan w:val="3"/>
          </w:tcPr>
          <w:p>
            <w:pPr>
              <w:jc w:val="right"/>
              <w:spacing w:after="0"/>
              <w:rPr>
                <w:sz w:val="20"/>
                <w:szCs w:val="20"/>
                <w:color w:val="auto"/>
              </w:rPr>
            </w:pPr>
            <w:r>
              <w:rPr>
                <w:rFonts w:ascii="Arial" w:cs="Arial" w:eastAsia="Arial" w:hAnsi="Arial"/>
                <w:sz w:val="13"/>
                <w:szCs w:val="13"/>
                <w:color w:val="auto"/>
              </w:rPr>
              <w:t>464,949</w:t>
            </w:r>
          </w:p>
        </w:tc>
        <w:tc>
          <w:tcPr>
            <w:tcW w:w="100" w:type="dxa"/>
            <w:vAlign w:val="bottom"/>
          </w:tcPr>
          <w:p>
            <w:pPr>
              <w:spacing w:after="0"/>
              <w:rPr>
                <w:sz w:val="15"/>
                <w:szCs w:val="15"/>
                <w:color w:val="auto"/>
              </w:rPr>
            </w:pPr>
          </w:p>
        </w:tc>
        <w:tc>
          <w:tcPr>
            <w:tcW w:w="1320" w:type="dxa"/>
            <w:vAlign w:val="bottom"/>
          </w:tcPr>
          <w:p>
            <w:pPr>
              <w:jc w:val="right"/>
              <w:spacing w:after="0"/>
              <w:rPr>
                <w:sz w:val="20"/>
                <w:szCs w:val="20"/>
                <w:color w:val="auto"/>
              </w:rPr>
            </w:pPr>
            <w:r>
              <w:rPr>
                <w:rFonts w:ascii="Arial" w:cs="Arial" w:eastAsia="Arial" w:hAnsi="Arial"/>
                <w:sz w:val="13"/>
                <w:szCs w:val="13"/>
                <w:color w:val="auto"/>
              </w:rPr>
              <w:t>464,615</w:t>
            </w:r>
          </w:p>
        </w:tc>
        <w:tc>
          <w:tcPr>
            <w:tcW w:w="100" w:type="dxa"/>
            <w:vAlign w:val="bottom"/>
          </w:tcPr>
          <w:p>
            <w:pPr>
              <w:spacing w:after="0"/>
              <w:rPr>
                <w:sz w:val="15"/>
                <w:szCs w:val="15"/>
                <w:color w:val="auto"/>
              </w:rPr>
            </w:pPr>
          </w:p>
        </w:tc>
        <w:tc>
          <w:tcPr>
            <w:tcW w:w="1220" w:type="dxa"/>
            <w:vAlign w:val="bottom"/>
          </w:tcPr>
          <w:p>
            <w:pPr>
              <w:jc w:val="right"/>
              <w:spacing w:after="0"/>
              <w:rPr>
                <w:sz w:val="20"/>
                <w:szCs w:val="20"/>
                <w:color w:val="auto"/>
              </w:rPr>
            </w:pPr>
            <w:r>
              <w:rPr>
                <w:rFonts w:ascii="Arial" w:cs="Arial" w:eastAsia="Arial" w:hAnsi="Arial"/>
                <w:sz w:val="13"/>
                <w:szCs w:val="13"/>
                <w:color w:val="auto"/>
              </w:rPr>
              <w:t>472,125</w:t>
            </w:r>
          </w:p>
        </w:tc>
      </w:tr>
      <w:tr>
        <w:trPr>
          <w:trHeight w:val="20"/>
        </w:trPr>
        <w:tc>
          <w:tcPr>
            <w:tcW w:w="3360" w:type="dxa"/>
            <w:vAlign w:val="bottom"/>
            <w:tcBorders>
              <w:bottom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r>
      <w:tr>
        <w:trPr>
          <w:trHeight w:val="134"/>
        </w:trPr>
        <w:tc>
          <w:tcPr>
            <w:tcW w:w="33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2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16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3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3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20" w:type="dxa"/>
            <w:vAlign w:val="bottom"/>
            <w:shd w:val="clear" w:color="auto" w:fill="CCEEFF"/>
          </w:tcPr>
          <w:p>
            <w:pPr>
              <w:spacing w:after="0"/>
              <w:rPr>
                <w:sz w:val="11"/>
                <w:szCs w:val="11"/>
                <w:color w:val="auto"/>
              </w:rPr>
            </w:pPr>
          </w:p>
        </w:tc>
      </w:tr>
      <w:tr>
        <w:trPr>
          <w:trHeight w:val="174"/>
        </w:trPr>
        <w:tc>
          <w:tcPr>
            <w:tcW w:w="3360" w:type="dxa"/>
            <w:vAlign w:val="bottom"/>
          </w:tcPr>
          <w:p>
            <w:pPr>
              <w:spacing w:after="0"/>
              <w:rPr>
                <w:sz w:val="20"/>
                <w:szCs w:val="20"/>
                <w:color w:val="auto"/>
              </w:rPr>
            </w:pPr>
            <w:r>
              <w:rPr>
                <w:rFonts w:ascii="Arial" w:cs="Arial" w:eastAsia="Arial" w:hAnsi="Arial"/>
                <w:sz w:val="13"/>
                <w:szCs w:val="13"/>
                <w:color w:val="auto"/>
              </w:rPr>
              <w:t>Number of servicing borrowers:</w:t>
            </w:r>
          </w:p>
        </w:tc>
        <w:tc>
          <w:tcPr>
            <w:tcW w:w="18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20" w:type="dxa"/>
            <w:vAlign w:val="bottom"/>
          </w:tcPr>
          <w:p>
            <w:pPr>
              <w:spacing w:after="0"/>
              <w:rPr>
                <w:sz w:val="15"/>
                <w:szCs w:val="15"/>
                <w:color w:val="auto"/>
              </w:rPr>
            </w:pPr>
          </w:p>
        </w:tc>
      </w:tr>
      <w:tr>
        <w:trPr>
          <w:trHeight w:val="192"/>
        </w:trPr>
        <w:tc>
          <w:tcPr>
            <w:tcW w:w="3360" w:type="dxa"/>
            <w:vAlign w:val="bottom"/>
            <w:shd w:val="clear" w:color="auto" w:fill="CCEEFF"/>
          </w:tcPr>
          <w:p>
            <w:pPr>
              <w:spacing w:after="0"/>
              <w:rPr>
                <w:sz w:val="20"/>
                <w:szCs w:val="20"/>
                <w:color w:val="auto"/>
              </w:rPr>
            </w:pPr>
            <w:r>
              <w:rPr>
                <w:rFonts w:ascii="Arial" w:cs="Arial" w:eastAsia="Arial" w:hAnsi="Arial"/>
                <w:sz w:val="13"/>
                <w:szCs w:val="13"/>
                <w:color w:val="auto"/>
              </w:rPr>
              <w:t>Nelnet</w:t>
            </w:r>
          </w:p>
        </w:tc>
        <w:tc>
          <w:tcPr>
            <w:tcW w:w="180" w:type="dxa"/>
            <w:vAlign w:val="bottom"/>
            <w:shd w:val="clear" w:color="auto" w:fill="CCEEFF"/>
          </w:tcPr>
          <w:p>
            <w:pPr>
              <w:spacing w:after="0"/>
              <w:rPr>
                <w:sz w:val="16"/>
                <w:szCs w:val="16"/>
                <w:color w:val="auto"/>
              </w:rPr>
            </w:pPr>
          </w:p>
        </w:tc>
        <w:tc>
          <w:tcPr>
            <w:tcW w:w="11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2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16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3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3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20" w:type="dxa"/>
            <w:vAlign w:val="bottom"/>
            <w:shd w:val="clear" w:color="auto" w:fill="CCEEFF"/>
          </w:tcPr>
          <w:p>
            <w:pPr>
              <w:spacing w:after="0"/>
              <w:rPr>
                <w:sz w:val="16"/>
                <w:szCs w:val="16"/>
                <w:color w:val="auto"/>
              </w:rPr>
            </w:pPr>
          </w:p>
        </w:tc>
      </w:tr>
      <w:tr>
        <w:trPr>
          <w:trHeight w:val="174"/>
        </w:trPr>
        <w:tc>
          <w:tcPr>
            <w:tcW w:w="3360" w:type="dxa"/>
            <w:vAlign w:val="bottom"/>
          </w:tcPr>
          <w:p>
            <w:pPr>
              <w:ind w:left="160"/>
              <w:spacing w:after="0"/>
              <w:rPr>
                <w:sz w:val="20"/>
                <w:szCs w:val="20"/>
                <w:color w:val="auto"/>
              </w:rPr>
            </w:pPr>
            <w:r>
              <w:rPr>
                <w:rFonts w:ascii="Arial" w:cs="Arial" w:eastAsia="Arial" w:hAnsi="Arial"/>
                <w:sz w:val="13"/>
                <w:szCs w:val="13"/>
                <w:color w:val="auto"/>
              </w:rPr>
              <w:t>Government</w:t>
            </w:r>
          </w:p>
        </w:tc>
        <w:tc>
          <w:tcPr>
            <w:tcW w:w="180" w:type="dxa"/>
            <w:vAlign w:val="bottom"/>
          </w:tcPr>
          <w:p>
            <w:pPr>
              <w:spacing w:after="0"/>
              <w:rPr>
                <w:sz w:val="15"/>
                <w:szCs w:val="15"/>
                <w:color w:val="auto"/>
              </w:rPr>
            </w:pPr>
          </w:p>
        </w:tc>
        <w:tc>
          <w:tcPr>
            <w:tcW w:w="1160" w:type="dxa"/>
            <w:vAlign w:val="bottom"/>
          </w:tcPr>
          <w:p>
            <w:pPr>
              <w:jc w:val="right"/>
              <w:spacing w:after="0"/>
              <w:rPr>
                <w:sz w:val="20"/>
                <w:szCs w:val="20"/>
                <w:color w:val="auto"/>
              </w:rPr>
            </w:pPr>
            <w:r>
              <w:rPr>
                <w:rFonts w:ascii="Arial" w:cs="Arial" w:eastAsia="Arial" w:hAnsi="Arial"/>
                <w:sz w:val="13"/>
                <w:szCs w:val="13"/>
                <w:color w:val="auto"/>
              </w:rPr>
              <w:t>5,877,414</w:t>
            </w:r>
          </w:p>
        </w:tc>
        <w:tc>
          <w:tcPr>
            <w:tcW w:w="80" w:type="dxa"/>
            <w:vAlign w:val="bottom"/>
          </w:tcPr>
          <w:p>
            <w:pPr>
              <w:spacing w:after="0"/>
              <w:rPr>
                <w:sz w:val="15"/>
                <w:szCs w:val="15"/>
                <w:color w:val="auto"/>
              </w:rPr>
            </w:pPr>
          </w:p>
        </w:tc>
        <w:tc>
          <w:tcPr>
            <w:tcW w:w="1200" w:type="dxa"/>
            <w:vAlign w:val="bottom"/>
          </w:tcPr>
          <w:p>
            <w:pPr>
              <w:jc w:val="right"/>
              <w:spacing w:after="0"/>
              <w:rPr>
                <w:sz w:val="20"/>
                <w:szCs w:val="20"/>
                <w:color w:val="auto"/>
              </w:rPr>
            </w:pPr>
            <w:r>
              <w:rPr>
                <w:rFonts w:ascii="Arial" w:cs="Arial" w:eastAsia="Arial" w:hAnsi="Arial"/>
                <w:sz w:val="13"/>
                <w:szCs w:val="13"/>
                <w:color w:val="auto"/>
              </w:rPr>
              <w:t>5,819,286</w:t>
            </w:r>
          </w:p>
        </w:tc>
        <w:tc>
          <w:tcPr>
            <w:tcW w:w="100" w:type="dxa"/>
            <w:vAlign w:val="bottom"/>
          </w:tcPr>
          <w:p>
            <w:pPr>
              <w:spacing w:after="0"/>
              <w:rPr>
                <w:sz w:val="15"/>
                <w:szCs w:val="15"/>
                <w:color w:val="auto"/>
              </w:rPr>
            </w:pPr>
          </w:p>
        </w:tc>
        <w:tc>
          <w:tcPr>
            <w:tcW w:w="1160" w:type="dxa"/>
            <w:vAlign w:val="bottom"/>
          </w:tcPr>
          <w:p>
            <w:pPr>
              <w:jc w:val="right"/>
              <w:spacing w:after="0"/>
              <w:rPr>
                <w:sz w:val="20"/>
                <w:szCs w:val="20"/>
                <w:color w:val="auto"/>
              </w:rPr>
            </w:pPr>
            <w:r>
              <w:rPr>
                <w:rFonts w:ascii="Arial" w:cs="Arial" w:eastAsia="Arial" w:hAnsi="Arial"/>
                <w:sz w:val="13"/>
                <w:szCs w:val="13"/>
                <w:color w:val="auto"/>
              </w:rPr>
              <w:t>5,745,181</w:t>
            </w:r>
          </w:p>
        </w:tc>
        <w:tc>
          <w:tcPr>
            <w:tcW w:w="1460" w:type="dxa"/>
            <w:vAlign w:val="bottom"/>
            <w:gridSpan w:val="3"/>
          </w:tcPr>
          <w:p>
            <w:pPr>
              <w:jc w:val="right"/>
              <w:spacing w:after="0"/>
              <w:rPr>
                <w:sz w:val="20"/>
                <w:szCs w:val="20"/>
                <w:color w:val="auto"/>
              </w:rPr>
            </w:pPr>
            <w:r>
              <w:rPr>
                <w:rFonts w:ascii="Arial" w:cs="Arial" w:eastAsia="Arial" w:hAnsi="Arial"/>
                <w:sz w:val="13"/>
                <w:szCs w:val="13"/>
                <w:color w:val="auto"/>
              </w:rPr>
              <w:t>5,805,307</w:t>
            </w:r>
          </w:p>
        </w:tc>
        <w:tc>
          <w:tcPr>
            <w:tcW w:w="100" w:type="dxa"/>
            <w:vAlign w:val="bottom"/>
          </w:tcPr>
          <w:p>
            <w:pPr>
              <w:spacing w:after="0"/>
              <w:rPr>
                <w:sz w:val="15"/>
                <w:szCs w:val="15"/>
                <w:color w:val="auto"/>
              </w:rPr>
            </w:pPr>
          </w:p>
        </w:tc>
        <w:tc>
          <w:tcPr>
            <w:tcW w:w="1320" w:type="dxa"/>
            <w:vAlign w:val="bottom"/>
          </w:tcPr>
          <w:p>
            <w:pPr>
              <w:jc w:val="right"/>
              <w:spacing w:after="0"/>
              <w:rPr>
                <w:sz w:val="20"/>
                <w:szCs w:val="20"/>
                <w:color w:val="auto"/>
              </w:rPr>
            </w:pPr>
            <w:r>
              <w:rPr>
                <w:rFonts w:ascii="Arial" w:cs="Arial" w:eastAsia="Arial" w:hAnsi="Arial"/>
                <w:sz w:val="13"/>
                <w:szCs w:val="13"/>
                <w:color w:val="auto"/>
              </w:rPr>
              <w:t>5,771,923</w:t>
            </w:r>
          </w:p>
        </w:tc>
        <w:tc>
          <w:tcPr>
            <w:tcW w:w="100" w:type="dxa"/>
            <w:vAlign w:val="bottom"/>
          </w:tcPr>
          <w:p>
            <w:pPr>
              <w:spacing w:after="0"/>
              <w:rPr>
                <w:sz w:val="15"/>
                <w:szCs w:val="15"/>
                <w:color w:val="auto"/>
              </w:rPr>
            </w:pPr>
          </w:p>
        </w:tc>
        <w:tc>
          <w:tcPr>
            <w:tcW w:w="1220" w:type="dxa"/>
            <w:vAlign w:val="bottom"/>
          </w:tcPr>
          <w:p>
            <w:pPr>
              <w:jc w:val="right"/>
              <w:spacing w:after="0"/>
              <w:rPr>
                <w:sz w:val="20"/>
                <w:szCs w:val="20"/>
                <w:color w:val="auto"/>
              </w:rPr>
            </w:pPr>
            <w:r>
              <w:rPr>
                <w:rFonts w:ascii="Arial" w:cs="Arial" w:eastAsia="Arial" w:hAnsi="Arial"/>
                <w:sz w:val="13"/>
                <w:szCs w:val="13"/>
                <w:color w:val="auto"/>
              </w:rPr>
              <w:t>5,708,582</w:t>
            </w:r>
          </w:p>
        </w:tc>
      </w:tr>
      <w:tr>
        <w:trPr>
          <w:trHeight w:val="192"/>
        </w:trPr>
        <w:tc>
          <w:tcPr>
            <w:tcW w:w="3360" w:type="dxa"/>
            <w:vAlign w:val="bottom"/>
            <w:shd w:val="clear" w:color="auto" w:fill="CCEEFF"/>
          </w:tcPr>
          <w:p>
            <w:pPr>
              <w:ind w:left="160"/>
              <w:spacing w:after="0"/>
              <w:rPr>
                <w:sz w:val="20"/>
                <w:szCs w:val="20"/>
                <w:color w:val="auto"/>
              </w:rPr>
            </w:pPr>
            <w:r>
              <w:rPr>
                <w:rFonts w:ascii="Arial" w:cs="Arial" w:eastAsia="Arial" w:hAnsi="Arial"/>
                <w:sz w:val="13"/>
                <w:szCs w:val="13"/>
                <w:color w:val="auto"/>
              </w:rPr>
              <w:t>FFELP</w:t>
            </w:r>
          </w:p>
        </w:tc>
        <w:tc>
          <w:tcPr>
            <w:tcW w:w="180" w:type="dxa"/>
            <w:vAlign w:val="bottom"/>
            <w:shd w:val="clear" w:color="auto" w:fill="CCEEFF"/>
          </w:tcPr>
          <w:p>
            <w:pPr>
              <w:spacing w:after="0"/>
              <w:rPr>
                <w:sz w:val="16"/>
                <w:szCs w:val="16"/>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1,420,311</w:t>
            </w:r>
          </w:p>
        </w:tc>
        <w:tc>
          <w:tcPr>
            <w:tcW w:w="80" w:type="dxa"/>
            <w:vAlign w:val="bottom"/>
            <w:shd w:val="clear" w:color="auto" w:fill="CCEEFF"/>
          </w:tcPr>
          <w:p>
            <w:pPr>
              <w:spacing w:after="0"/>
              <w:rPr>
                <w:sz w:val="16"/>
                <w:szCs w:val="16"/>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1,399,280</w:t>
            </w:r>
          </w:p>
        </w:tc>
        <w:tc>
          <w:tcPr>
            <w:tcW w:w="100" w:type="dxa"/>
            <w:vAlign w:val="bottom"/>
            <w:shd w:val="clear" w:color="auto" w:fill="CCEEFF"/>
          </w:tcPr>
          <w:p>
            <w:pPr>
              <w:spacing w:after="0"/>
              <w:rPr>
                <w:sz w:val="16"/>
                <w:szCs w:val="16"/>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1,787,419</w:t>
            </w:r>
          </w:p>
        </w:tc>
        <w:tc>
          <w:tcPr>
            <w:tcW w:w="1460" w:type="dxa"/>
            <w:vAlign w:val="bottom"/>
            <w:gridSpan w:val="3"/>
            <w:shd w:val="clear" w:color="auto" w:fill="CCEEFF"/>
          </w:tcPr>
          <w:p>
            <w:pPr>
              <w:jc w:val="right"/>
              <w:spacing w:after="0"/>
              <w:rPr>
                <w:sz w:val="20"/>
                <w:szCs w:val="20"/>
                <w:color w:val="auto"/>
              </w:rPr>
            </w:pPr>
            <w:r>
              <w:rPr>
                <w:rFonts w:ascii="Arial" w:cs="Arial" w:eastAsia="Arial" w:hAnsi="Arial"/>
                <w:sz w:val="13"/>
                <w:szCs w:val="13"/>
                <w:color w:val="auto"/>
              </w:rPr>
              <w:t>1,754,247</w:t>
            </w:r>
          </w:p>
        </w:tc>
        <w:tc>
          <w:tcPr>
            <w:tcW w:w="100" w:type="dxa"/>
            <w:vAlign w:val="bottom"/>
            <w:shd w:val="clear" w:color="auto" w:fill="CCEEFF"/>
          </w:tcPr>
          <w:p>
            <w:pPr>
              <w:spacing w:after="0"/>
              <w:rPr>
                <w:sz w:val="16"/>
                <w:szCs w:val="16"/>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1,709,853</w:t>
            </w:r>
          </w:p>
        </w:tc>
        <w:tc>
          <w:tcPr>
            <w:tcW w:w="100" w:type="dxa"/>
            <w:vAlign w:val="bottom"/>
            <w:shd w:val="clear" w:color="auto" w:fill="CCEEFF"/>
          </w:tcPr>
          <w:p>
            <w:pPr>
              <w:spacing w:after="0"/>
              <w:rPr>
                <w:sz w:val="16"/>
                <w:szCs w:val="16"/>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1,650,785</w:t>
            </w:r>
          </w:p>
        </w:tc>
      </w:tr>
      <w:tr>
        <w:trPr>
          <w:trHeight w:val="174"/>
        </w:trPr>
        <w:tc>
          <w:tcPr>
            <w:tcW w:w="3360" w:type="dxa"/>
            <w:vAlign w:val="bottom"/>
          </w:tcPr>
          <w:p>
            <w:pPr>
              <w:ind w:left="160"/>
              <w:spacing w:after="0"/>
              <w:rPr>
                <w:sz w:val="20"/>
                <w:szCs w:val="20"/>
                <w:color w:val="auto"/>
              </w:rPr>
            </w:pPr>
            <w:r>
              <w:rPr>
                <w:rFonts w:ascii="Arial" w:cs="Arial" w:eastAsia="Arial" w:hAnsi="Arial"/>
                <w:sz w:val="13"/>
                <w:szCs w:val="13"/>
                <w:color w:val="auto"/>
              </w:rPr>
              <w:t>Private and consumer</w:t>
            </w:r>
          </w:p>
        </w:tc>
        <w:tc>
          <w:tcPr>
            <w:tcW w:w="180" w:type="dxa"/>
            <w:vAlign w:val="bottom"/>
          </w:tcPr>
          <w:p>
            <w:pPr>
              <w:spacing w:after="0"/>
              <w:rPr>
                <w:sz w:val="15"/>
                <w:szCs w:val="15"/>
                <w:color w:val="auto"/>
              </w:rPr>
            </w:pPr>
          </w:p>
        </w:tc>
        <w:tc>
          <w:tcPr>
            <w:tcW w:w="1160" w:type="dxa"/>
            <w:vAlign w:val="bottom"/>
          </w:tcPr>
          <w:p>
            <w:pPr>
              <w:jc w:val="right"/>
              <w:spacing w:after="0"/>
              <w:rPr>
                <w:sz w:val="20"/>
                <w:szCs w:val="20"/>
                <w:color w:val="auto"/>
              </w:rPr>
            </w:pPr>
            <w:r>
              <w:rPr>
                <w:rFonts w:ascii="Arial" w:cs="Arial" w:eastAsia="Arial" w:hAnsi="Arial"/>
                <w:sz w:val="13"/>
                <w:szCs w:val="13"/>
                <w:color w:val="auto"/>
              </w:rPr>
              <w:t>502,114</w:t>
            </w:r>
          </w:p>
        </w:tc>
        <w:tc>
          <w:tcPr>
            <w:tcW w:w="80" w:type="dxa"/>
            <w:vAlign w:val="bottom"/>
          </w:tcPr>
          <w:p>
            <w:pPr>
              <w:spacing w:after="0"/>
              <w:rPr>
                <w:sz w:val="15"/>
                <w:szCs w:val="15"/>
                <w:color w:val="auto"/>
              </w:rPr>
            </w:pPr>
          </w:p>
        </w:tc>
        <w:tc>
          <w:tcPr>
            <w:tcW w:w="1200" w:type="dxa"/>
            <w:vAlign w:val="bottom"/>
          </w:tcPr>
          <w:p>
            <w:pPr>
              <w:jc w:val="right"/>
              <w:spacing w:after="0"/>
              <w:rPr>
                <w:sz w:val="20"/>
                <w:szCs w:val="20"/>
                <w:color w:val="auto"/>
              </w:rPr>
            </w:pPr>
            <w:r>
              <w:rPr>
                <w:rFonts w:ascii="Arial" w:cs="Arial" w:eastAsia="Arial" w:hAnsi="Arial"/>
                <w:sz w:val="13"/>
                <w:szCs w:val="13"/>
                <w:color w:val="auto"/>
              </w:rPr>
              <w:t>508,750</w:t>
            </w:r>
          </w:p>
        </w:tc>
        <w:tc>
          <w:tcPr>
            <w:tcW w:w="100" w:type="dxa"/>
            <w:vAlign w:val="bottom"/>
          </w:tcPr>
          <w:p>
            <w:pPr>
              <w:spacing w:after="0"/>
              <w:rPr>
                <w:sz w:val="15"/>
                <w:szCs w:val="15"/>
                <w:color w:val="auto"/>
              </w:rPr>
            </w:pPr>
          </w:p>
        </w:tc>
        <w:tc>
          <w:tcPr>
            <w:tcW w:w="1160" w:type="dxa"/>
            <w:vAlign w:val="bottom"/>
          </w:tcPr>
          <w:p>
            <w:pPr>
              <w:jc w:val="right"/>
              <w:spacing w:after="0"/>
              <w:rPr>
                <w:sz w:val="20"/>
                <w:szCs w:val="20"/>
                <w:color w:val="auto"/>
              </w:rPr>
            </w:pPr>
            <w:r>
              <w:rPr>
                <w:rFonts w:ascii="Arial" w:cs="Arial" w:eastAsia="Arial" w:hAnsi="Arial"/>
                <w:sz w:val="13"/>
                <w:szCs w:val="13"/>
                <w:color w:val="auto"/>
              </w:rPr>
              <w:t>672,520</w:t>
            </w:r>
          </w:p>
        </w:tc>
        <w:tc>
          <w:tcPr>
            <w:tcW w:w="1460" w:type="dxa"/>
            <w:vAlign w:val="bottom"/>
            <w:gridSpan w:val="3"/>
          </w:tcPr>
          <w:p>
            <w:pPr>
              <w:jc w:val="right"/>
              <w:spacing w:after="0"/>
              <w:rPr>
                <w:sz w:val="20"/>
                <w:szCs w:val="20"/>
                <w:color w:val="auto"/>
              </w:rPr>
            </w:pPr>
            <w:r>
              <w:rPr>
                <w:rFonts w:ascii="Arial" w:cs="Arial" w:eastAsia="Arial" w:hAnsi="Arial"/>
                <w:sz w:val="13"/>
                <w:szCs w:val="13"/>
                <w:color w:val="auto"/>
              </w:rPr>
              <w:t>692,763</w:t>
            </w:r>
          </w:p>
        </w:tc>
        <w:tc>
          <w:tcPr>
            <w:tcW w:w="100" w:type="dxa"/>
            <w:vAlign w:val="bottom"/>
          </w:tcPr>
          <w:p>
            <w:pPr>
              <w:spacing w:after="0"/>
              <w:rPr>
                <w:sz w:val="15"/>
                <w:szCs w:val="15"/>
                <w:color w:val="auto"/>
              </w:rPr>
            </w:pPr>
          </w:p>
        </w:tc>
        <w:tc>
          <w:tcPr>
            <w:tcW w:w="1320" w:type="dxa"/>
            <w:vAlign w:val="bottom"/>
          </w:tcPr>
          <w:p>
            <w:pPr>
              <w:jc w:val="right"/>
              <w:spacing w:after="0"/>
              <w:rPr>
                <w:sz w:val="20"/>
                <w:szCs w:val="20"/>
                <w:color w:val="auto"/>
              </w:rPr>
            </w:pPr>
            <w:r>
              <w:rPr>
                <w:rFonts w:ascii="Arial" w:cs="Arial" w:eastAsia="Arial" w:hAnsi="Arial"/>
                <w:sz w:val="13"/>
                <w:szCs w:val="13"/>
                <w:color w:val="auto"/>
              </w:rPr>
              <w:t>696,933</w:t>
            </w:r>
          </w:p>
        </w:tc>
        <w:tc>
          <w:tcPr>
            <w:tcW w:w="100" w:type="dxa"/>
            <w:vAlign w:val="bottom"/>
          </w:tcPr>
          <w:p>
            <w:pPr>
              <w:spacing w:after="0"/>
              <w:rPr>
                <w:sz w:val="15"/>
                <w:szCs w:val="15"/>
                <w:color w:val="auto"/>
              </w:rPr>
            </w:pPr>
          </w:p>
        </w:tc>
        <w:tc>
          <w:tcPr>
            <w:tcW w:w="1220" w:type="dxa"/>
            <w:vAlign w:val="bottom"/>
          </w:tcPr>
          <w:p>
            <w:pPr>
              <w:jc w:val="right"/>
              <w:spacing w:after="0"/>
              <w:rPr>
                <w:sz w:val="20"/>
                <w:szCs w:val="20"/>
                <w:color w:val="auto"/>
              </w:rPr>
            </w:pPr>
            <w:r>
              <w:rPr>
                <w:rFonts w:ascii="Arial" w:cs="Arial" w:eastAsia="Arial" w:hAnsi="Arial"/>
                <w:sz w:val="13"/>
                <w:szCs w:val="13"/>
                <w:color w:val="auto"/>
              </w:rPr>
              <w:t>699,768</w:t>
            </w:r>
          </w:p>
        </w:tc>
      </w:tr>
      <w:tr>
        <w:trPr>
          <w:trHeight w:val="192"/>
        </w:trPr>
        <w:tc>
          <w:tcPr>
            <w:tcW w:w="3360" w:type="dxa"/>
            <w:vAlign w:val="bottom"/>
            <w:shd w:val="clear" w:color="auto" w:fill="CCEEFF"/>
          </w:tcPr>
          <w:p>
            <w:pPr>
              <w:spacing w:after="0"/>
              <w:rPr>
                <w:sz w:val="20"/>
                <w:szCs w:val="20"/>
                <w:color w:val="auto"/>
              </w:rPr>
            </w:pPr>
            <w:r>
              <w:rPr>
                <w:rFonts w:ascii="Arial" w:cs="Arial" w:eastAsia="Arial" w:hAnsi="Arial"/>
                <w:sz w:val="13"/>
                <w:szCs w:val="13"/>
                <w:color w:val="auto"/>
              </w:rPr>
              <w:t>Great Lakes</w:t>
            </w:r>
          </w:p>
        </w:tc>
        <w:tc>
          <w:tcPr>
            <w:tcW w:w="180" w:type="dxa"/>
            <w:vAlign w:val="bottom"/>
            <w:shd w:val="clear" w:color="auto" w:fill="CCEEFF"/>
          </w:tcPr>
          <w:p>
            <w:pPr>
              <w:spacing w:after="0"/>
              <w:rPr>
                <w:sz w:val="16"/>
                <w:szCs w:val="16"/>
                <w:color w:val="auto"/>
              </w:rPr>
            </w:pPr>
          </w:p>
        </w:tc>
        <w:tc>
          <w:tcPr>
            <w:tcW w:w="11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2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16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3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3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20" w:type="dxa"/>
            <w:vAlign w:val="bottom"/>
            <w:shd w:val="clear" w:color="auto" w:fill="CCEEFF"/>
          </w:tcPr>
          <w:p>
            <w:pPr>
              <w:spacing w:after="0"/>
              <w:rPr>
                <w:sz w:val="16"/>
                <w:szCs w:val="16"/>
                <w:color w:val="auto"/>
              </w:rPr>
            </w:pPr>
          </w:p>
        </w:tc>
      </w:tr>
      <w:tr>
        <w:trPr>
          <w:trHeight w:val="174"/>
        </w:trPr>
        <w:tc>
          <w:tcPr>
            <w:tcW w:w="3360" w:type="dxa"/>
            <w:vAlign w:val="bottom"/>
          </w:tcPr>
          <w:p>
            <w:pPr>
              <w:ind w:left="160"/>
              <w:spacing w:after="0"/>
              <w:rPr>
                <w:sz w:val="20"/>
                <w:szCs w:val="20"/>
                <w:color w:val="auto"/>
              </w:rPr>
            </w:pPr>
            <w:r>
              <w:rPr>
                <w:rFonts w:ascii="Arial" w:cs="Arial" w:eastAsia="Arial" w:hAnsi="Arial"/>
                <w:sz w:val="13"/>
                <w:szCs w:val="13"/>
                <w:color w:val="auto"/>
              </w:rPr>
              <w:t>Government</w:t>
            </w:r>
          </w:p>
        </w:tc>
        <w:tc>
          <w:tcPr>
            <w:tcW w:w="180" w:type="dxa"/>
            <w:vAlign w:val="bottom"/>
          </w:tcPr>
          <w:p>
            <w:pPr>
              <w:spacing w:after="0"/>
              <w:rPr>
                <w:sz w:val="15"/>
                <w:szCs w:val="15"/>
                <w:color w:val="auto"/>
              </w:rPr>
            </w:pPr>
          </w:p>
        </w:tc>
        <w:tc>
          <w:tcPr>
            <w:tcW w:w="124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200" w:type="dxa"/>
            <w:vAlign w:val="bottom"/>
          </w:tcPr>
          <w:p>
            <w:pPr>
              <w:jc w:val="right"/>
              <w:spacing w:after="0"/>
              <w:rPr>
                <w:sz w:val="20"/>
                <w:szCs w:val="20"/>
                <w:color w:val="auto"/>
              </w:rPr>
            </w:pPr>
            <w:r>
              <w:rPr>
                <w:rFonts w:ascii="Arial" w:cs="Arial" w:eastAsia="Arial" w:hAnsi="Arial"/>
                <w:sz w:val="13"/>
                <w:szCs w:val="13"/>
                <w:color w:val="auto"/>
              </w:rPr>
              <w:t>7,456,830</w:t>
            </w:r>
          </w:p>
        </w:tc>
        <w:tc>
          <w:tcPr>
            <w:tcW w:w="100" w:type="dxa"/>
            <w:vAlign w:val="bottom"/>
          </w:tcPr>
          <w:p>
            <w:pPr>
              <w:spacing w:after="0"/>
              <w:rPr>
                <w:sz w:val="15"/>
                <w:szCs w:val="15"/>
                <w:color w:val="auto"/>
              </w:rPr>
            </w:pPr>
          </w:p>
        </w:tc>
        <w:tc>
          <w:tcPr>
            <w:tcW w:w="1160" w:type="dxa"/>
            <w:vAlign w:val="bottom"/>
          </w:tcPr>
          <w:p>
            <w:pPr>
              <w:jc w:val="right"/>
              <w:spacing w:after="0"/>
              <w:rPr>
                <w:sz w:val="20"/>
                <w:szCs w:val="20"/>
                <w:color w:val="auto"/>
              </w:rPr>
            </w:pPr>
            <w:r>
              <w:rPr>
                <w:rFonts w:ascii="Arial" w:cs="Arial" w:eastAsia="Arial" w:hAnsi="Arial"/>
                <w:sz w:val="13"/>
                <w:szCs w:val="13"/>
                <w:color w:val="auto"/>
              </w:rPr>
              <w:t>7,378,875</w:t>
            </w:r>
          </w:p>
        </w:tc>
        <w:tc>
          <w:tcPr>
            <w:tcW w:w="1460" w:type="dxa"/>
            <w:vAlign w:val="bottom"/>
            <w:gridSpan w:val="3"/>
          </w:tcPr>
          <w:p>
            <w:pPr>
              <w:jc w:val="right"/>
              <w:spacing w:after="0"/>
              <w:rPr>
                <w:sz w:val="20"/>
                <w:szCs w:val="20"/>
                <w:color w:val="auto"/>
              </w:rPr>
            </w:pPr>
            <w:r>
              <w:rPr>
                <w:rFonts w:ascii="Arial" w:cs="Arial" w:eastAsia="Arial" w:hAnsi="Arial"/>
                <w:sz w:val="13"/>
                <w:szCs w:val="13"/>
                <w:color w:val="auto"/>
              </w:rPr>
              <w:t>7,486,311</w:t>
            </w:r>
          </w:p>
        </w:tc>
        <w:tc>
          <w:tcPr>
            <w:tcW w:w="100" w:type="dxa"/>
            <w:vAlign w:val="bottom"/>
          </w:tcPr>
          <w:p>
            <w:pPr>
              <w:spacing w:after="0"/>
              <w:rPr>
                <w:sz w:val="15"/>
                <w:szCs w:val="15"/>
                <w:color w:val="auto"/>
              </w:rPr>
            </w:pPr>
          </w:p>
        </w:tc>
        <w:tc>
          <w:tcPr>
            <w:tcW w:w="1320" w:type="dxa"/>
            <w:vAlign w:val="bottom"/>
          </w:tcPr>
          <w:p>
            <w:pPr>
              <w:jc w:val="right"/>
              <w:spacing w:after="0"/>
              <w:rPr>
                <w:sz w:val="20"/>
                <w:szCs w:val="20"/>
                <w:color w:val="auto"/>
              </w:rPr>
            </w:pPr>
            <w:r>
              <w:rPr>
                <w:rFonts w:ascii="Arial" w:cs="Arial" w:eastAsia="Arial" w:hAnsi="Arial"/>
                <w:sz w:val="13"/>
                <w:szCs w:val="13"/>
                <w:color w:val="auto"/>
              </w:rPr>
              <w:t>7,458,684</w:t>
            </w:r>
          </w:p>
        </w:tc>
        <w:tc>
          <w:tcPr>
            <w:tcW w:w="100" w:type="dxa"/>
            <w:vAlign w:val="bottom"/>
          </w:tcPr>
          <w:p>
            <w:pPr>
              <w:spacing w:after="0"/>
              <w:rPr>
                <w:sz w:val="15"/>
                <w:szCs w:val="15"/>
                <w:color w:val="auto"/>
              </w:rPr>
            </w:pPr>
          </w:p>
        </w:tc>
        <w:tc>
          <w:tcPr>
            <w:tcW w:w="1220" w:type="dxa"/>
            <w:vAlign w:val="bottom"/>
          </w:tcPr>
          <w:p>
            <w:pPr>
              <w:jc w:val="right"/>
              <w:spacing w:after="0"/>
              <w:rPr>
                <w:sz w:val="20"/>
                <w:szCs w:val="20"/>
                <w:color w:val="auto"/>
              </w:rPr>
            </w:pPr>
            <w:r>
              <w:rPr>
                <w:rFonts w:ascii="Arial" w:cs="Arial" w:eastAsia="Arial" w:hAnsi="Arial"/>
                <w:sz w:val="13"/>
                <w:szCs w:val="13"/>
                <w:color w:val="auto"/>
              </w:rPr>
              <w:t>7,385,284</w:t>
            </w:r>
          </w:p>
        </w:tc>
      </w:tr>
      <w:tr>
        <w:trPr>
          <w:trHeight w:val="192"/>
        </w:trPr>
        <w:tc>
          <w:tcPr>
            <w:tcW w:w="3360" w:type="dxa"/>
            <w:vAlign w:val="bottom"/>
            <w:shd w:val="clear" w:color="auto" w:fill="CCEEFF"/>
          </w:tcPr>
          <w:p>
            <w:pPr>
              <w:ind w:left="160"/>
              <w:spacing w:after="0"/>
              <w:rPr>
                <w:sz w:val="20"/>
                <w:szCs w:val="20"/>
                <w:color w:val="auto"/>
              </w:rPr>
            </w:pPr>
            <w:r>
              <w:rPr>
                <w:rFonts w:ascii="Arial" w:cs="Arial" w:eastAsia="Arial" w:hAnsi="Arial"/>
                <w:sz w:val="13"/>
                <w:szCs w:val="13"/>
                <w:color w:val="auto"/>
              </w:rPr>
              <w:t>FFELP (a)</w:t>
            </w:r>
          </w:p>
        </w:tc>
        <w:tc>
          <w:tcPr>
            <w:tcW w:w="180" w:type="dxa"/>
            <w:vAlign w:val="bottom"/>
            <w:shd w:val="clear" w:color="auto" w:fill="CCEEFF"/>
          </w:tcPr>
          <w:p>
            <w:pPr>
              <w:spacing w:after="0"/>
              <w:rPr>
                <w:sz w:val="16"/>
                <w:szCs w:val="16"/>
                <w:color w:val="auto"/>
              </w:rPr>
            </w:pPr>
          </w:p>
        </w:tc>
        <w:tc>
          <w:tcPr>
            <w:tcW w:w="124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461,553</w:t>
            </w:r>
          </w:p>
        </w:tc>
        <w:tc>
          <w:tcPr>
            <w:tcW w:w="100" w:type="dxa"/>
            <w:vAlign w:val="bottom"/>
            <w:shd w:val="clear" w:color="auto" w:fill="CCEEFF"/>
          </w:tcPr>
          <w:p>
            <w:pPr>
              <w:spacing w:after="0"/>
              <w:rPr>
                <w:sz w:val="16"/>
                <w:szCs w:val="16"/>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44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r>
      <w:tr>
        <w:trPr>
          <w:trHeight w:val="174"/>
        </w:trPr>
        <w:tc>
          <w:tcPr>
            <w:tcW w:w="3360" w:type="dxa"/>
            <w:vAlign w:val="bottom"/>
            <w:tcBorders>
              <w:bottom w:val="single" w:sz="8" w:color="CCEEFF"/>
            </w:tcBorders>
          </w:tcPr>
          <w:p>
            <w:pPr>
              <w:ind w:left="160"/>
              <w:spacing w:after="0"/>
              <w:rPr>
                <w:sz w:val="20"/>
                <w:szCs w:val="20"/>
                <w:color w:val="auto"/>
              </w:rPr>
            </w:pPr>
            <w:r>
              <w:rPr>
                <w:rFonts w:ascii="Arial" w:cs="Arial" w:eastAsia="Arial" w:hAnsi="Arial"/>
                <w:sz w:val="13"/>
                <w:szCs w:val="13"/>
                <w:color w:val="auto"/>
              </w:rPr>
              <w:t>Private and consumer (a)</w:t>
            </w:r>
          </w:p>
        </w:tc>
        <w:tc>
          <w:tcPr>
            <w:tcW w:w="180" w:type="dxa"/>
            <w:vAlign w:val="bottom"/>
            <w:tcBorders>
              <w:bottom w:val="single" w:sz="8" w:color="auto"/>
            </w:tcBorders>
          </w:tcPr>
          <w:p>
            <w:pPr>
              <w:spacing w:after="0"/>
              <w:rPr>
                <w:sz w:val="15"/>
                <w:szCs w:val="15"/>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80" w:type="dxa"/>
            <w:vAlign w:val="bottom"/>
            <w:tcBorders>
              <w:bottom w:val="single" w:sz="8" w:color="CCEEFF"/>
            </w:tcBorders>
          </w:tcPr>
          <w:p>
            <w:pPr>
              <w:spacing w:after="0"/>
              <w:rPr>
                <w:sz w:val="15"/>
                <w:szCs w:val="15"/>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118,609</w:t>
            </w:r>
          </w:p>
        </w:tc>
        <w:tc>
          <w:tcPr>
            <w:tcW w:w="100" w:type="dxa"/>
            <w:vAlign w:val="bottom"/>
            <w:tcBorders>
              <w:bottom w:val="single" w:sz="8" w:color="CCEEFF"/>
            </w:tcBorders>
          </w:tcPr>
          <w:p>
            <w:pPr>
              <w:spacing w:after="0"/>
              <w:rPr>
                <w:sz w:val="15"/>
                <w:szCs w:val="15"/>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3,987</w:t>
            </w:r>
          </w:p>
        </w:tc>
        <w:tc>
          <w:tcPr>
            <w:tcW w:w="40" w:type="dxa"/>
            <w:vAlign w:val="bottom"/>
            <w:tcBorders>
              <w:bottom w:val="single" w:sz="8" w:color="auto"/>
            </w:tcBorders>
          </w:tcPr>
          <w:p>
            <w:pPr>
              <w:spacing w:after="0"/>
              <w:rPr>
                <w:sz w:val="15"/>
                <w:szCs w:val="15"/>
                <w:color w:val="auto"/>
              </w:rPr>
            </w:pPr>
          </w:p>
        </w:tc>
        <w:tc>
          <w:tcPr>
            <w:tcW w:w="80" w:type="dxa"/>
            <w:vAlign w:val="bottom"/>
            <w:tcBorders>
              <w:bottom w:val="single" w:sz="8" w:color="CCEEFF"/>
            </w:tcBorders>
          </w:tcPr>
          <w:p>
            <w:pPr>
              <w:spacing w:after="0"/>
              <w:rPr>
                <w:sz w:val="15"/>
                <w:szCs w:val="15"/>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tcPr>
          <w:p>
            <w:pPr>
              <w:spacing w:after="0"/>
              <w:rPr>
                <w:sz w:val="15"/>
                <w:szCs w:val="15"/>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tcPr>
          <w:p>
            <w:pPr>
              <w:spacing w:after="0"/>
              <w:rPr>
                <w:sz w:val="15"/>
                <w:szCs w:val="15"/>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w:t>
            </w:r>
          </w:p>
        </w:tc>
      </w:tr>
      <w:tr>
        <w:trPr>
          <w:trHeight w:val="203"/>
        </w:trPr>
        <w:tc>
          <w:tcPr>
            <w:tcW w:w="3360" w:type="dxa"/>
            <w:vAlign w:val="bottom"/>
            <w:shd w:val="clear" w:color="auto" w:fill="CCEEFF"/>
          </w:tcPr>
          <w:p>
            <w:pPr>
              <w:spacing w:after="0"/>
              <w:rPr>
                <w:sz w:val="20"/>
                <w:szCs w:val="20"/>
                <w:color w:val="auto"/>
              </w:rPr>
            </w:pPr>
            <w:r>
              <w:rPr>
                <w:rFonts w:ascii="Arial" w:cs="Arial" w:eastAsia="Arial" w:hAnsi="Arial"/>
                <w:sz w:val="13"/>
                <w:szCs w:val="13"/>
                <w:color w:val="auto"/>
              </w:rPr>
              <w:t>Total</w:t>
            </w:r>
          </w:p>
        </w:tc>
        <w:tc>
          <w:tcPr>
            <w:tcW w:w="180" w:type="dxa"/>
            <w:vAlign w:val="bottom"/>
            <w:shd w:val="clear" w:color="auto" w:fill="CCEEFF"/>
          </w:tcPr>
          <w:p>
            <w:pPr>
              <w:spacing w:after="0"/>
              <w:rPr>
                <w:sz w:val="17"/>
                <w:szCs w:val="17"/>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7,799,839</w:t>
            </w:r>
          </w:p>
        </w:tc>
        <w:tc>
          <w:tcPr>
            <w:tcW w:w="80" w:type="dxa"/>
            <w:vAlign w:val="bottom"/>
            <w:shd w:val="clear" w:color="auto" w:fill="CCEEFF"/>
          </w:tcPr>
          <w:p>
            <w:pPr>
              <w:spacing w:after="0"/>
              <w:rPr>
                <w:sz w:val="17"/>
                <w:szCs w:val="17"/>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15,764,308</w:t>
            </w:r>
          </w:p>
        </w:tc>
        <w:tc>
          <w:tcPr>
            <w:tcW w:w="100" w:type="dxa"/>
            <w:vAlign w:val="bottom"/>
            <w:shd w:val="clear" w:color="auto" w:fill="CCEEFF"/>
          </w:tcPr>
          <w:p>
            <w:pPr>
              <w:spacing w:after="0"/>
              <w:rPr>
                <w:sz w:val="17"/>
                <w:szCs w:val="17"/>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15,587,982</w:t>
            </w:r>
          </w:p>
        </w:tc>
        <w:tc>
          <w:tcPr>
            <w:tcW w:w="1460" w:type="dxa"/>
            <w:vAlign w:val="bottom"/>
            <w:gridSpan w:val="3"/>
            <w:shd w:val="clear" w:color="auto" w:fill="CCEEFF"/>
          </w:tcPr>
          <w:p>
            <w:pPr>
              <w:jc w:val="right"/>
              <w:spacing w:after="0"/>
              <w:rPr>
                <w:sz w:val="20"/>
                <w:szCs w:val="20"/>
                <w:color w:val="auto"/>
              </w:rPr>
            </w:pPr>
            <w:r>
              <w:rPr>
                <w:rFonts w:ascii="Arial" w:cs="Arial" w:eastAsia="Arial" w:hAnsi="Arial"/>
                <w:sz w:val="13"/>
                <w:szCs w:val="13"/>
                <w:color w:val="auto"/>
              </w:rPr>
              <w:t>15,738,628</w:t>
            </w:r>
          </w:p>
        </w:tc>
        <w:tc>
          <w:tcPr>
            <w:tcW w:w="100" w:type="dxa"/>
            <w:vAlign w:val="bottom"/>
            <w:shd w:val="clear" w:color="auto" w:fill="CCEEFF"/>
          </w:tcPr>
          <w:p>
            <w:pPr>
              <w:spacing w:after="0"/>
              <w:rPr>
                <w:sz w:val="17"/>
                <w:szCs w:val="17"/>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15,637,393</w:t>
            </w:r>
          </w:p>
        </w:tc>
        <w:tc>
          <w:tcPr>
            <w:tcW w:w="100" w:type="dxa"/>
            <w:vAlign w:val="bottom"/>
            <w:shd w:val="clear" w:color="auto" w:fill="CCEEFF"/>
          </w:tcPr>
          <w:p>
            <w:pPr>
              <w:spacing w:after="0"/>
              <w:rPr>
                <w:sz w:val="17"/>
                <w:szCs w:val="17"/>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15,444,419</w:t>
            </w:r>
          </w:p>
        </w:tc>
      </w:tr>
      <w:tr>
        <w:trPr>
          <w:trHeight w:val="20"/>
        </w:trPr>
        <w:tc>
          <w:tcPr>
            <w:tcW w:w="336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r>
      <w:tr>
        <w:trPr>
          <w:trHeight w:val="114"/>
        </w:trPr>
        <w:tc>
          <w:tcPr>
            <w:tcW w:w="3360" w:type="dxa"/>
            <w:vAlign w:val="bottom"/>
          </w:tcPr>
          <w:p>
            <w:pPr>
              <w:spacing w:after="0"/>
              <w:rPr>
                <w:sz w:val="9"/>
                <w:szCs w:val="9"/>
                <w:color w:val="auto"/>
              </w:rPr>
            </w:pPr>
          </w:p>
        </w:tc>
        <w:tc>
          <w:tcPr>
            <w:tcW w:w="180" w:type="dxa"/>
            <w:vAlign w:val="bottom"/>
          </w:tcPr>
          <w:p>
            <w:pPr>
              <w:spacing w:after="0"/>
              <w:rPr>
                <w:sz w:val="9"/>
                <w:szCs w:val="9"/>
                <w:color w:val="auto"/>
              </w:rPr>
            </w:pPr>
          </w:p>
        </w:tc>
        <w:tc>
          <w:tcPr>
            <w:tcW w:w="1160" w:type="dxa"/>
            <w:vAlign w:val="bottom"/>
          </w:tcPr>
          <w:p>
            <w:pPr>
              <w:spacing w:after="0"/>
              <w:rPr>
                <w:sz w:val="9"/>
                <w:szCs w:val="9"/>
                <w:color w:val="auto"/>
              </w:rPr>
            </w:pPr>
          </w:p>
        </w:tc>
        <w:tc>
          <w:tcPr>
            <w:tcW w:w="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60" w:type="dxa"/>
            <w:vAlign w:val="bottom"/>
          </w:tcPr>
          <w:p>
            <w:pPr>
              <w:spacing w:after="0"/>
              <w:rPr>
                <w:sz w:val="9"/>
                <w:szCs w:val="9"/>
                <w:color w:val="auto"/>
              </w:rPr>
            </w:pPr>
          </w:p>
        </w:tc>
        <w:tc>
          <w:tcPr>
            <w:tcW w:w="40" w:type="dxa"/>
            <w:vAlign w:val="bottom"/>
          </w:tcPr>
          <w:p>
            <w:pPr>
              <w:spacing w:after="0"/>
              <w:rPr>
                <w:sz w:val="9"/>
                <w:szCs w:val="9"/>
                <w:color w:val="auto"/>
              </w:rPr>
            </w:pPr>
          </w:p>
        </w:tc>
        <w:tc>
          <w:tcPr>
            <w:tcW w:w="80" w:type="dxa"/>
            <w:vAlign w:val="bottom"/>
          </w:tcPr>
          <w:p>
            <w:pPr>
              <w:spacing w:after="0"/>
              <w:rPr>
                <w:sz w:val="9"/>
                <w:szCs w:val="9"/>
                <w:color w:val="auto"/>
              </w:rPr>
            </w:pPr>
          </w:p>
        </w:tc>
        <w:tc>
          <w:tcPr>
            <w:tcW w:w="13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3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20" w:type="dxa"/>
            <w:vAlign w:val="bottom"/>
          </w:tcPr>
          <w:p>
            <w:pPr>
              <w:spacing w:after="0"/>
              <w:rPr>
                <w:sz w:val="9"/>
                <w:szCs w:val="9"/>
                <w:color w:val="auto"/>
              </w:rPr>
            </w:pPr>
          </w:p>
        </w:tc>
      </w:tr>
      <w:tr>
        <w:trPr>
          <w:trHeight w:val="203"/>
        </w:trPr>
        <w:tc>
          <w:tcPr>
            <w:tcW w:w="3360" w:type="dxa"/>
            <w:vAlign w:val="bottom"/>
            <w:shd w:val="clear" w:color="auto" w:fill="CCEEFF"/>
          </w:tcPr>
          <w:p>
            <w:pPr>
              <w:spacing w:after="0"/>
              <w:rPr>
                <w:sz w:val="20"/>
                <w:szCs w:val="20"/>
                <w:color w:val="auto"/>
              </w:rPr>
            </w:pPr>
            <w:r>
              <w:rPr>
                <w:rFonts w:ascii="Arial" w:cs="Arial" w:eastAsia="Arial" w:hAnsi="Arial"/>
                <w:sz w:val="13"/>
                <w:szCs w:val="13"/>
                <w:color w:val="auto"/>
              </w:rPr>
              <w:t>Number of remote hosted borrowers:</w:t>
            </w:r>
          </w:p>
        </w:tc>
        <w:tc>
          <w:tcPr>
            <w:tcW w:w="180" w:type="dxa"/>
            <w:vAlign w:val="bottom"/>
            <w:shd w:val="clear" w:color="auto" w:fill="CCEEFF"/>
          </w:tcPr>
          <w:p>
            <w:pPr>
              <w:spacing w:after="0"/>
              <w:rPr>
                <w:sz w:val="17"/>
                <w:szCs w:val="17"/>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2,812,713</w:t>
            </w:r>
          </w:p>
        </w:tc>
        <w:tc>
          <w:tcPr>
            <w:tcW w:w="80" w:type="dxa"/>
            <w:vAlign w:val="bottom"/>
            <w:shd w:val="clear" w:color="auto" w:fill="CCEEFF"/>
          </w:tcPr>
          <w:p>
            <w:pPr>
              <w:spacing w:after="0"/>
              <w:rPr>
                <w:sz w:val="17"/>
                <w:szCs w:val="17"/>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6,207,747</w:t>
            </w:r>
          </w:p>
        </w:tc>
        <w:tc>
          <w:tcPr>
            <w:tcW w:w="100" w:type="dxa"/>
            <w:vAlign w:val="bottom"/>
            <w:shd w:val="clear" w:color="auto" w:fill="CCEEFF"/>
          </w:tcPr>
          <w:p>
            <w:pPr>
              <w:spacing w:after="0"/>
              <w:rPr>
                <w:sz w:val="17"/>
                <w:szCs w:val="17"/>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6,145,981</w:t>
            </w:r>
          </w:p>
        </w:tc>
        <w:tc>
          <w:tcPr>
            <w:tcW w:w="1460" w:type="dxa"/>
            <w:vAlign w:val="bottom"/>
            <w:gridSpan w:val="3"/>
            <w:shd w:val="clear" w:color="auto" w:fill="CCEEFF"/>
          </w:tcPr>
          <w:p>
            <w:pPr>
              <w:jc w:val="right"/>
              <w:spacing w:after="0"/>
              <w:rPr>
                <w:sz w:val="20"/>
                <w:szCs w:val="20"/>
                <w:color w:val="auto"/>
              </w:rPr>
            </w:pPr>
            <w:r>
              <w:rPr>
                <w:rFonts w:ascii="Arial" w:cs="Arial" w:eastAsia="Arial" w:hAnsi="Arial"/>
                <w:sz w:val="13"/>
                <w:szCs w:val="13"/>
                <w:color w:val="auto"/>
              </w:rPr>
              <w:t>6,406,923</w:t>
            </w:r>
          </w:p>
        </w:tc>
        <w:tc>
          <w:tcPr>
            <w:tcW w:w="100" w:type="dxa"/>
            <w:vAlign w:val="bottom"/>
            <w:shd w:val="clear" w:color="auto" w:fill="CCEEFF"/>
          </w:tcPr>
          <w:p>
            <w:pPr>
              <w:spacing w:after="0"/>
              <w:rPr>
                <w:sz w:val="17"/>
                <w:szCs w:val="17"/>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6,393,151</w:t>
            </w:r>
          </w:p>
        </w:tc>
        <w:tc>
          <w:tcPr>
            <w:tcW w:w="100" w:type="dxa"/>
            <w:vAlign w:val="bottom"/>
            <w:shd w:val="clear" w:color="auto" w:fill="CCEEFF"/>
          </w:tcPr>
          <w:p>
            <w:pPr>
              <w:spacing w:after="0"/>
              <w:rPr>
                <w:sz w:val="17"/>
                <w:szCs w:val="17"/>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6,332,261</w:t>
            </w:r>
          </w:p>
        </w:tc>
      </w:tr>
      <w:tr>
        <w:trPr>
          <w:trHeight w:val="20"/>
        </w:trPr>
        <w:tc>
          <w:tcPr>
            <w:tcW w:w="336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r>
    </w:tbl>
    <w:p>
      <w:pPr>
        <w:spacing w:after="0" w:line="270" w:lineRule="exact"/>
        <w:rPr>
          <w:sz w:val="20"/>
          <w:szCs w:val="20"/>
          <w:color w:val="auto"/>
        </w:rPr>
      </w:pPr>
    </w:p>
    <w:p>
      <w:pPr>
        <w:jc w:val="both"/>
        <w:ind w:firstLine="517"/>
        <w:spacing w:after="0" w:line="288" w:lineRule="auto"/>
        <w:rPr>
          <w:sz w:val="20"/>
          <w:szCs w:val="20"/>
          <w:color w:val="auto"/>
        </w:rPr>
      </w:pPr>
      <w:r>
        <w:rPr>
          <w:rFonts w:ascii="Arial" w:cs="Arial" w:eastAsia="Arial" w:hAnsi="Arial"/>
          <w:sz w:val="14"/>
          <w:szCs w:val="14"/>
          <w:color w:val="auto"/>
        </w:rPr>
        <w:t>(a) During the second quarter of 2018, the Company converted Great Lakes' FFELP and private education servicing volume to Nelnet Servicing's platform to leverage the efficiencies of supporting more volume on fewer systems.</w:t>
      </w:r>
    </w:p>
    <w:p>
      <w:pPr>
        <w:spacing w:after="0" w:line="200" w:lineRule="exact"/>
        <w:rPr>
          <w:sz w:val="20"/>
          <w:szCs w:val="20"/>
          <w:color w:val="auto"/>
        </w:rPr>
      </w:pPr>
    </w:p>
    <w:p>
      <w:pPr>
        <w:spacing w:after="0" w:line="287"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36</w:t>
      </w:r>
    </w:p>
    <w:p>
      <w:pPr>
        <w:sectPr>
          <w:pgSz w:w="11900" w:h="16838" w:orient="portrait"/>
          <w:cols w:equalWidth="0" w:num="1">
            <w:col w:w="11460"/>
          </w:cols>
          <w:pgMar w:left="220" w:top="739" w:right="219" w:bottom="1440" w:gutter="0" w:footer="0" w:header="0"/>
        </w:sectPr>
      </w:pPr>
    </w:p>
    <w:bookmarkStart w:id="37" w:name="page38"/>
    <w:bookmarkEnd w:id="37"/>
    <w:p>
      <w:pPr>
        <w:spacing w:after="0"/>
        <w:rPr>
          <w:sz w:val="20"/>
          <w:szCs w:val="20"/>
          <w:color w:val="auto"/>
        </w:rPr>
      </w:pPr>
      <w:r>
        <w:rPr>
          <w:rFonts w:ascii="Arial" w:cs="Arial" w:eastAsia="Arial" w:hAnsi="Arial"/>
          <w:sz w:val="14"/>
          <w:szCs w:val="14"/>
          <w:b w:val="1"/>
          <w:bCs w:val="1"/>
          <w:i w:val="1"/>
          <w:iCs w:val="1"/>
          <w:color w:val="auto"/>
        </w:rPr>
        <w:t>Summary and Comparison of Operating Results</w:t>
      </w:r>
    </w:p>
    <w:p>
      <w:pPr>
        <w:spacing w:after="0" w:line="141" w:lineRule="exact"/>
        <w:rPr>
          <w:sz w:val="20"/>
          <w:szCs w:val="20"/>
          <w:color w:val="auto"/>
        </w:rPr>
      </w:pPr>
    </w:p>
    <w:p>
      <w:pPr>
        <w:jc w:val="right"/>
        <w:ind w:right="2520"/>
        <w:spacing w:after="0"/>
        <w:tabs>
          <w:tab w:leader="none" w:pos="1260" w:val="left"/>
        </w:tabs>
        <w:rPr>
          <w:sz w:val="20"/>
          <w:szCs w:val="20"/>
          <w:color w:val="auto"/>
        </w:rPr>
      </w:pPr>
      <w:r>
        <w:rPr>
          <w:rFonts w:ascii="Arial" w:cs="Arial" w:eastAsia="Arial" w:hAnsi="Arial"/>
          <w:sz w:val="13"/>
          <w:szCs w:val="13"/>
          <w:b w:val="1"/>
          <w:bCs w:val="1"/>
          <w:color w:val="auto"/>
        </w:rPr>
        <w:t>Three months ended March 31,</w:t>
      </w:r>
      <w:r>
        <w:rPr>
          <w:sz w:val="20"/>
          <w:szCs w:val="20"/>
          <w:color w:val="auto"/>
        </w:rPr>
        <w:tab/>
      </w:r>
      <w:r>
        <w:rPr>
          <w:rFonts w:ascii="Arial" w:cs="Arial" w:eastAsia="Arial" w:hAnsi="Arial"/>
          <w:sz w:val="11"/>
          <w:szCs w:val="11"/>
          <w:b w:val="1"/>
          <w:bCs w:val="1"/>
          <w:color w:val="auto"/>
        </w:rPr>
        <w:t>Additional information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1974850</wp:posOffset>
            </wp:positionH>
            <wp:positionV relativeFrom="paragraph">
              <wp:posOffset>27940</wp:posOffset>
            </wp:positionV>
            <wp:extent cx="5296535" cy="698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5296535" cy="6985"/>
                    </a:xfrm>
                    <a:prstGeom prst="rect">
                      <a:avLst/>
                    </a:prstGeom>
                    <a:noFill/>
                  </pic:spPr>
                </pic:pic>
              </a:graphicData>
            </a:graphic>
          </wp:anchor>
        </w:drawing>
      </w:r>
    </w:p>
    <w:p>
      <w:pPr>
        <w:spacing w:after="0" w:line="46" w:lineRule="exact"/>
        <w:rPr>
          <w:sz w:val="20"/>
          <w:szCs w:val="20"/>
          <w:color w:val="auto"/>
        </w:rPr>
      </w:pPr>
    </w:p>
    <w:p>
      <w:pPr>
        <w:ind w:left="3440"/>
        <w:spacing w:after="0"/>
        <w:tabs>
          <w:tab w:leader="none" w:pos="4420" w:val="left"/>
        </w:tabs>
        <w:rPr>
          <w:sz w:val="20"/>
          <w:szCs w:val="20"/>
          <w:color w:val="auto"/>
        </w:rPr>
      </w:pPr>
      <w:r>
        <w:rPr>
          <w:rFonts w:ascii="Arial" w:cs="Arial" w:eastAsia="Arial" w:hAnsi="Arial"/>
          <w:sz w:val="13"/>
          <w:szCs w:val="13"/>
          <w:b w:val="1"/>
          <w:bCs w:val="1"/>
          <w:color w:val="auto"/>
        </w:rPr>
        <w:t>2019</w:t>
      </w:r>
      <w:r>
        <w:rPr>
          <w:sz w:val="20"/>
          <w:szCs w:val="20"/>
          <w:color w:val="auto"/>
        </w:rPr>
        <w:tab/>
      </w:r>
      <w:r>
        <w:rPr>
          <w:rFonts w:ascii="Arial" w:cs="Arial" w:eastAsia="Arial" w:hAnsi="Arial"/>
          <w:sz w:val="13"/>
          <w:szCs w:val="13"/>
          <w:b w:val="1"/>
          <w:bCs w:val="1"/>
          <w:color w:val="auto"/>
        </w:rPr>
        <w:t>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27940</wp:posOffset>
            </wp:positionV>
            <wp:extent cx="7267575" cy="13017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67575" cy="130175"/>
                    </a:xfrm>
                    <a:prstGeom prst="rect">
                      <a:avLst/>
                    </a:prstGeom>
                    <a:noFill/>
                  </pic:spPr>
                </pic:pic>
              </a:graphicData>
            </a:graphic>
          </wp:anchor>
        </w:drawing>
      </w:r>
    </w:p>
    <w:p>
      <w:pPr>
        <w:sectPr>
          <w:pgSz w:w="11900" w:h="16838" w:orient="portrait"/>
          <w:cols w:equalWidth="0" w:num="1">
            <w:col w:w="11440"/>
          </w:cols>
          <w:pgMar w:left="220" w:top="743" w:right="239" w:bottom="1440" w:gutter="0" w:footer="0" w:header="0"/>
        </w:sectPr>
      </w:pPr>
    </w:p>
    <w:p>
      <w:pPr>
        <w:spacing w:after="0" w:line="59" w:lineRule="exact"/>
        <w:rPr>
          <w:sz w:val="20"/>
          <w:szCs w:val="20"/>
          <w:color w:val="auto"/>
        </w:rPr>
      </w:pPr>
    </w:p>
    <w:p>
      <w:pPr>
        <w:ind w:left="20"/>
        <w:spacing w:after="0"/>
        <w:rPr>
          <w:sz w:val="20"/>
          <w:szCs w:val="20"/>
          <w:color w:val="auto"/>
        </w:rPr>
      </w:pPr>
      <w:r>
        <w:rPr>
          <w:rFonts w:ascii="Arial" w:cs="Arial" w:eastAsia="Arial" w:hAnsi="Arial"/>
          <w:sz w:val="13"/>
          <w:szCs w:val="13"/>
          <w:color w:val="auto"/>
        </w:rPr>
        <w:t>Net interest income</w:t>
      </w:r>
    </w:p>
    <w:p>
      <w:pPr>
        <w:spacing w:after="0" w:line="44" w:lineRule="exact"/>
        <w:rPr>
          <w:sz w:val="20"/>
          <w:szCs w:val="20"/>
          <w:color w:val="auto"/>
        </w:rPr>
      </w:pPr>
    </w:p>
    <w:p>
      <w:pPr>
        <w:ind w:left="20"/>
        <w:spacing w:after="0"/>
        <w:rPr>
          <w:sz w:val="20"/>
          <w:szCs w:val="20"/>
          <w:color w:val="auto"/>
        </w:rPr>
      </w:pPr>
      <w:r>
        <w:rPr>
          <w:rFonts w:ascii="Arial" w:cs="Arial" w:eastAsia="Arial" w:hAnsi="Arial"/>
          <w:sz w:val="13"/>
          <w:szCs w:val="13"/>
          <w:color w:val="auto"/>
        </w:rPr>
        <w:t>Loan servicing and systems revenue</w:t>
      </w:r>
    </w:p>
    <w:p>
      <w:pPr>
        <w:spacing w:after="0" w:line="368" w:lineRule="exact"/>
        <w:rPr>
          <w:sz w:val="20"/>
          <w:szCs w:val="20"/>
          <w:color w:val="auto"/>
        </w:rPr>
      </w:pPr>
    </w:p>
    <w:p>
      <w:pPr>
        <w:ind w:left="20"/>
        <w:spacing w:after="0"/>
        <w:rPr>
          <w:sz w:val="20"/>
          <w:szCs w:val="20"/>
          <w:color w:val="auto"/>
        </w:rPr>
      </w:pPr>
      <w:r>
        <w:rPr>
          <w:rFonts w:ascii="Arial" w:cs="Arial" w:eastAsia="Arial" w:hAnsi="Arial"/>
          <w:sz w:val="13"/>
          <w:szCs w:val="13"/>
          <w:color w:val="auto"/>
        </w:rPr>
        <w:t>Intersegment servicing revenue</w:t>
      </w:r>
    </w:p>
    <w:p>
      <w:pPr>
        <w:spacing w:after="0" w:line="346" w:lineRule="exact"/>
        <w:rPr>
          <w:sz w:val="20"/>
          <w:szCs w:val="20"/>
          <w:color w:val="auto"/>
        </w:rPr>
      </w:pPr>
    </w:p>
    <w:p>
      <w:pPr>
        <w:ind w:left="20"/>
        <w:spacing w:after="0"/>
        <w:rPr>
          <w:sz w:val="20"/>
          <w:szCs w:val="20"/>
          <w:color w:val="auto"/>
        </w:rPr>
      </w:pPr>
      <w:r>
        <w:rPr>
          <w:rFonts w:ascii="Arial" w:cs="Arial" w:eastAsia="Arial" w:hAnsi="Arial"/>
          <w:sz w:val="13"/>
          <w:szCs w:val="13"/>
          <w:color w:val="auto"/>
        </w:rPr>
        <w:t>Other income</w:t>
      </w:r>
    </w:p>
    <w:p>
      <w:pPr>
        <w:spacing w:after="0" w:line="55" w:lineRule="exact"/>
        <w:rPr>
          <w:sz w:val="20"/>
          <w:szCs w:val="20"/>
          <w:color w:val="auto"/>
        </w:rPr>
      </w:pPr>
    </w:p>
    <w:p>
      <w:pPr>
        <w:ind w:left="180"/>
        <w:spacing w:after="0"/>
        <w:rPr>
          <w:sz w:val="20"/>
          <w:szCs w:val="20"/>
          <w:color w:val="auto"/>
        </w:rPr>
      </w:pPr>
      <w:r>
        <w:rPr>
          <w:rFonts w:ascii="Arial" w:cs="Arial" w:eastAsia="Arial" w:hAnsi="Arial"/>
          <w:sz w:val="13"/>
          <w:szCs w:val="13"/>
          <w:color w:val="auto"/>
        </w:rPr>
        <w:t>Total other income</w:t>
      </w:r>
    </w:p>
    <w:p>
      <w:pPr>
        <w:spacing w:after="0" w:line="131" w:lineRule="exact"/>
        <w:rPr>
          <w:sz w:val="20"/>
          <w:szCs w:val="20"/>
          <w:color w:val="auto"/>
        </w:rPr>
      </w:pPr>
    </w:p>
    <w:p>
      <w:pPr>
        <w:ind w:left="20"/>
        <w:spacing w:after="0"/>
        <w:rPr>
          <w:sz w:val="20"/>
          <w:szCs w:val="20"/>
          <w:color w:val="auto"/>
        </w:rPr>
      </w:pPr>
      <w:r>
        <w:rPr>
          <w:rFonts w:ascii="Arial" w:cs="Arial" w:eastAsia="Arial" w:hAnsi="Arial"/>
          <w:sz w:val="13"/>
          <w:szCs w:val="13"/>
          <w:color w:val="auto"/>
        </w:rPr>
        <w:t>Salaries and benefits</w:t>
      </w:r>
    </w:p>
    <w:p>
      <w:pPr>
        <w:spacing w:after="0" w:line="152" w:lineRule="exact"/>
        <w:rPr>
          <w:sz w:val="20"/>
          <w:szCs w:val="20"/>
          <w:color w:val="auto"/>
        </w:rPr>
      </w:pPr>
    </w:p>
    <w:p>
      <w:pPr>
        <w:ind w:left="20" w:right="1400"/>
        <w:spacing w:after="0" w:line="362" w:lineRule="auto"/>
        <w:rPr>
          <w:sz w:val="20"/>
          <w:szCs w:val="20"/>
          <w:color w:val="auto"/>
        </w:rPr>
      </w:pPr>
      <w:r>
        <w:rPr>
          <w:rFonts w:ascii="Arial" w:cs="Arial" w:eastAsia="Arial" w:hAnsi="Arial"/>
          <w:sz w:val="12"/>
          <w:szCs w:val="12"/>
          <w:color w:val="auto"/>
        </w:rPr>
        <w:t>Depreciation and amortization Other expenses</w:t>
      </w:r>
    </w:p>
    <w:p>
      <w:pPr>
        <w:spacing w:after="0" w:line="47" w:lineRule="exact"/>
        <w:rPr>
          <w:sz w:val="20"/>
          <w:szCs w:val="20"/>
          <w:color w:val="auto"/>
        </w:rPr>
      </w:pPr>
    </w:p>
    <w:p>
      <w:pPr>
        <w:ind w:left="20"/>
        <w:spacing w:after="0"/>
        <w:rPr>
          <w:sz w:val="20"/>
          <w:szCs w:val="20"/>
          <w:color w:val="auto"/>
        </w:rPr>
      </w:pPr>
      <w:r>
        <w:rPr>
          <w:rFonts w:ascii="Arial" w:cs="Arial" w:eastAsia="Arial" w:hAnsi="Arial"/>
          <w:sz w:val="13"/>
          <w:szCs w:val="13"/>
          <w:color w:val="auto"/>
        </w:rPr>
        <w:t>Intersegment expenses</w:t>
      </w:r>
    </w:p>
    <w:p>
      <w:pPr>
        <w:spacing w:after="0" w:line="55" w:lineRule="exact"/>
        <w:rPr>
          <w:sz w:val="20"/>
          <w:szCs w:val="20"/>
          <w:color w:val="auto"/>
        </w:rPr>
      </w:pPr>
    </w:p>
    <w:p>
      <w:pPr>
        <w:ind w:left="180"/>
        <w:spacing w:after="0"/>
        <w:rPr>
          <w:sz w:val="20"/>
          <w:szCs w:val="20"/>
          <w:color w:val="auto"/>
        </w:rPr>
      </w:pPr>
      <w:r>
        <w:rPr>
          <w:rFonts w:ascii="Arial" w:cs="Arial" w:eastAsia="Arial" w:hAnsi="Arial"/>
          <w:sz w:val="13"/>
          <w:szCs w:val="13"/>
          <w:color w:val="auto"/>
        </w:rPr>
        <w:t>Total operating expenses</w:t>
      </w:r>
    </w:p>
    <w:p>
      <w:pPr>
        <w:spacing w:after="0" w:line="44" w:lineRule="exact"/>
        <w:rPr>
          <w:sz w:val="20"/>
          <w:szCs w:val="20"/>
          <w:color w:val="auto"/>
        </w:rPr>
      </w:pPr>
    </w:p>
    <w:p>
      <w:pPr>
        <w:ind w:left="200"/>
        <w:spacing w:after="0"/>
        <w:rPr>
          <w:sz w:val="20"/>
          <w:szCs w:val="20"/>
          <w:color w:val="auto"/>
        </w:rPr>
      </w:pPr>
      <w:r>
        <w:rPr>
          <w:rFonts w:ascii="Arial" w:cs="Arial" w:eastAsia="Arial" w:hAnsi="Arial"/>
          <w:sz w:val="13"/>
          <w:szCs w:val="13"/>
          <w:color w:val="auto"/>
        </w:rPr>
        <w:t>Income before income taxes</w:t>
      </w:r>
    </w:p>
    <w:p>
      <w:pPr>
        <w:spacing w:after="0" w:line="109" w:lineRule="exact"/>
        <w:rPr>
          <w:sz w:val="20"/>
          <w:szCs w:val="20"/>
          <w:color w:val="auto"/>
        </w:rPr>
      </w:pPr>
    </w:p>
    <w:p>
      <w:pPr>
        <w:ind w:left="20"/>
        <w:spacing w:after="0"/>
        <w:rPr>
          <w:sz w:val="20"/>
          <w:szCs w:val="20"/>
          <w:color w:val="auto"/>
        </w:rPr>
      </w:pPr>
      <w:r>
        <w:rPr>
          <w:rFonts w:ascii="Arial" w:cs="Arial" w:eastAsia="Arial" w:hAnsi="Arial"/>
          <w:sz w:val="13"/>
          <w:szCs w:val="13"/>
          <w:color w:val="auto"/>
        </w:rPr>
        <w:t>Income tax expense</w:t>
      </w:r>
    </w:p>
    <w:p>
      <w:pPr>
        <w:spacing w:after="0" w:line="55" w:lineRule="exact"/>
        <w:rPr>
          <w:sz w:val="20"/>
          <w:szCs w:val="20"/>
          <w:color w:val="auto"/>
        </w:rPr>
      </w:pPr>
    </w:p>
    <w:p>
      <w:pPr>
        <w:ind w:left="180"/>
        <w:spacing w:after="0"/>
        <w:rPr>
          <w:sz w:val="20"/>
          <w:szCs w:val="20"/>
          <w:color w:val="auto"/>
        </w:rPr>
      </w:pPr>
      <w:r>
        <w:rPr>
          <w:rFonts w:ascii="Arial" w:cs="Arial" w:eastAsia="Arial" w:hAnsi="Arial"/>
          <w:sz w:val="13"/>
          <w:szCs w:val="13"/>
          <w:color w:val="auto"/>
        </w:rPr>
        <w:t>Net income</w:t>
      </w:r>
    </w:p>
    <w:p>
      <w:pPr>
        <w:spacing w:after="0" w:line="152" w:lineRule="exact"/>
        <w:rPr>
          <w:sz w:val="20"/>
          <w:szCs w:val="20"/>
          <w:color w:val="auto"/>
        </w:rPr>
      </w:pPr>
    </w:p>
    <w:p>
      <w:pPr>
        <w:ind w:left="20"/>
        <w:spacing w:after="0"/>
        <w:rPr>
          <w:sz w:val="20"/>
          <w:szCs w:val="20"/>
          <w:color w:val="auto"/>
        </w:rPr>
      </w:pPr>
      <w:r>
        <w:rPr>
          <w:rFonts w:ascii="Arial" w:cs="Arial" w:eastAsia="Arial" w:hAnsi="Arial"/>
          <w:sz w:val="13"/>
          <w:szCs w:val="13"/>
          <w:color w:val="auto"/>
        </w:rPr>
        <w:t>Net loss attributable to noncontrolling interest</w:t>
      </w:r>
    </w:p>
    <w:p>
      <w:pPr>
        <w:spacing w:after="0" w:line="13" w:lineRule="exact"/>
        <w:rPr>
          <w:sz w:val="20"/>
          <w:szCs w:val="20"/>
          <w:color w:val="auto"/>
        </w:rPr>
      </w:pPr>
    </w:p>
    <w:p>
      <w:pPr>
        <w:ind w:left="20"/>
        <w:spacing w:after="0"/>
        <w:rPr>
          <w:sz w:val="20"/>
          <w:szCs w:val="20"/>
          <w:color w:val="auto"/>
        </w:rPr>
      </w:pPr>
      <w:r>
        <w:rPr>
          <w:rFonts w:ascii="Arial" w:cs="Arial" w:eastAsia="Arial" w:hAnsi="Arial"/>
          <w:sz w:val="13"/>
          <w:szCs w:val="13"/>
          <w:color w:val="auto"/>
        </w:rPr>
        <w:t>Net income attributable to</w:t>
      </w:r>
    </w:p>
    <w:p>
      <w:pPr>
        <w:ind w:left="220"/>
        <w:spacing w:after="0"/>
        <w:rPr>
          <w:sz w:val="20"/>
          <w:szCs w:val="20"/>
          <w:color w:val="auto"/>
        </w:rPr>
      </w:pPr>
      <w:r>
        <w:rPr>
          <w:rFonts w:ascii="Arial" w:cs="Arial" w:eastAsia="Arial" w:hAnsi="Arial"/>
          <w:sz w:val="13"/>
          <w:szCs w:val="13"/>
          <w:color w:val="auto"/>
        </w:rPr>
        <w:t>Nelnet, Inc.</w:t>
      </w:r>
    </w:p>
    <w:p>
      <w:pPr>
        <w:spacing w:after="0" w:line="239" w:lineRule="exact"/>
        <w:rPr>
          <w:sz w:val="20"/>
          <w:szCs w:val="20"/>
          <w:color w:val="auto"/>
        </w:rPr>
      </w:pPr>
    </w:p>
    <w:p>
      <w:pPr>
        <w:ind w:left="100"/>
        <w:spacing w:after="0"/>
        <w:rPr>
          <w:sz w:val="20"/>
          <w:szCs w:val="20"/>
          <w:color w:val="auto"/>
        </w:rPr>
      </w:pPr>
      <w:r>
        <w:rPr>
          <w:rFonts w:ascii="Arial" w:cs="Arial" w:eastAsia="Arial" w:hAnsi="Arial"/>
          <w:sz w:val="11"/>
          <w:szCs w:val="11"/>
          <w:color w:val="auto"/>
        </w:rPr>
        <w:t>Before tax and noncontrolling interest operating margin</w:t>
      </w:r>
    </w:p>
    <w:p>
      <w:pPr>
        <w:spacing w:after="0" w:line="20" w:lineRule="exact"/>
        <w:rPr>
          <w:sz w:val="20"/>
          <w:szCs w:val="20"/>
          <w:color w:val="auto"/>
        </w:rPr>
      </w:pPr>
      <w:r>
        <w:rPr>
          <w:sz w:val="20"/>
          <w:szCs w:val="20"/>
          <w:color w:val="auto"/>
        </w:rPr>
        <w:br w:type="column"/>
      </w:r>
    </w:p>
    <w:p>
      <w:pPr>
        <w:spacing w:after="0" w:line="74" w:lineRule="exact"/>
        <w:rPr>
          <w:sz w:val="20"/>
          <w:szCs w:val="20"/>
          <w:color w:val="auto"/>
        </w:rPr>
      </w:pPr>
    </w:p>
    <w:p>
      <w:pPr>
        <w:ind w:left="680" w:hanging="676"/>
        <w:spacing w:after="0"/>
        <w:tabs>
          <w:tab w:leader="none" w:pos="680" w:val="left"/>
        </w:tabs>
        <w:numPr>
          <w:ilvl w:val="0"/>
          <w:numId w:val="24"/>
        </w:numPr>
        <w:rPr>
          <w:rFonts w:ascii="Arial" w:cs="Arial" w:eastAsia="Arial" w:hAnsi="Arial"/>
          <w:sz w:val="11"/>
          <w:szCs w:val="11"/>
          <w:color w:val="auto"/>
        </w:rPr>
      </w:pPr>
      <w:r>
        <w:rPr>
          <w:rFonts w:ascii="Arial" w:cs="Arial" w:eastAsia="Arial" w:hAnsi="Arial"/>
          <w:sz w:val="11"/>
          <w:szCs w:val="11"/>
          <w:color w:val="auto"/>
        </w:rPr>
        <w:t>497</w:t>
      </w:r>
    </w:p>
    <w:p>
      <w:pPr>
        <w:spacing w:after="0" w:line="45" w:lineRule="exact"/>
        <w:rPr>
          <w:rFonts w:ascii="Arial" w:cs="Arial" w:eastAsia="Arial" w:hAnsi="Arial"/>
          <w:sz w:val="11"/>
          <w:szCs w:val="11"/>
          <w:color w:val="auto"/>
        </w:rPr>
      </w:pPr>
    </w:p>
    <w:p>
      <w:pPr>
        <w:ind w:left="480"/>
        <w:spacing w:after="0"/>
        <w:rPr>
          <w:rFonts w:ascii="Arial" w:cs="Arial" w:eastAsia="Arial" w:hAnsi="Arial"/>
          <w:sz w:val="11"/>
          <w:szCs w:val="11"/>
          <w:color w:val="auto"/>
        </w:rPr>
      </w:pPr>
      <w:r>
        <w:rPr>
          <w:rFonts w:ascii="Arial" w:cs="Arial" w:eastAsia="Arial" w:hAnsi="Arial"/>
          <w:sz w:val="11"/>
          <w:szCs w:val="11"/>
          <w:color w:val="auto"/>
        </w:rPr>
        <w:t>114,898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-90170</wp:posOffset>
            </wp:positionV>
            <wp:extent cx="574675" cy="698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574675" cy="6985"/>
                    </a:xfrm>
                    <a:prstGeom prst="rect">
                      <a:avLst/>
                    </a:prstGeom>
                    <a:noFill/>
                  </pic:spPr>
                </pic:pic>
              </a:graphicData>
            </a:graphic>
          </wp:anchor>
        </w:drawing>
      </w:r>
    </w:p>
    <w:p>
      <w:pPr>
        <w:spacing w:after="0" w:line="371" w:lineRule="exact"/>
        <w:rPr>
          <w:sz w:val="20"/>
          <w:szCs w:val="20"/>
          <w:color w:val="auto"/>
        </w:rPr>
      </w:pPr>
    </w:p>
    <w:p>
      <w:pPr>
        <w:jc w:val="center"/>
        <w:ind w:left="-499"/>
        <w:spacing w:after="0"/>
        <w:rPr>
          <w:sz w:val="20"/>
          <w:szCs w:val="20"/>
          <w:color w:val="auto"/>
        </w:rPr>
      </w:pPr>
      <w:r>
        <w:rPr>
          <w:rFonts w:ascii="Arial" w:cs="Arial" w:eastAsia="Arial" w:hAnsi="Arial"/>
          <w:sz w:val="11"/>
          <w:szCs w:val="11"/>
          <w:color w:val="auto"/>
        </w:rPr>
        <w:t>12,217</w:t>
      </w:r>
    </w:p>
    <w:p>
      <w:pPr>
        <w:spacing w:after="0" w:line="391" w:lineRule="exact"/>
        <w:rPr>
          <w:sz w:val="20"/>
          <w:szCs w:val="20"/>
          <w:color w:val="auto"/>
        </w:rPr>
      </w:pPr>
    </w:p>
    <w:p>
      <w:pPr>
        <w:ind w:left="600"/>
        <w:spacing w:after="0"/>
        <w:rPr>
          <w:sz w:val="20"/>
          <w:szCs w:val="20"/>
          <w:color w:val="auto"/>
        </w:rPr>
      </w:pPr>
      <w:r>
        <w:rPr>
          <w:rFonts w:ascii="Arial" w:cs="Arial" w:eastAsia="Arial" w:hAnsi="Arial"/>
          <w:sz w:val="11"/>
          <w:szCs w:val="11"/>
          <w:color w:val="auto"/>
        </w:rPr>
        <w:t>2,074</w:t>
      </w:r>
    </w:p>
    <w:p>
      <w:pPr>
        <w:spacing w:after="0" w:line="78" w:lineRule="exact"/>
        <w:rPr>
          <w:sz w:val="20"/>
          <w:szCs w:val="20"/>
          <w:color w:val="auto"/>
        </w:rPr>
      </w:pPr>
    </w:p>
    <w:p>
      <w:pPr>
        <w:ind w:left="480"/>
        <w:spacing w:after="0"/>
        <w:rPr>
          <w:sz w:val="20"/>
          <w:szCs w:val="20"/>
          <w:color w:val="auto"/>
        </w:rPr>
      </w:pPr>
      <w:r>
        <w:rPr>
          <w:rFonts w:ascii="Arial" w:cs="Arial" w:eastAsia="Arial" w:hAnsi="Arial"/>
          <w:sz w:val="11"/>
          <w:szCs w:val="11"/>
          <w:color w:val="auto"/>
        </w:rPr>
        <w:t>129,189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18415</wp:posOffset>
            </wp:positionV>
            <wp:extent cx="574675" cy="698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574675" cy="6985"/>
                    </a:xfrm>
                    <a:prstGeom prst="rect">
                      <a:avLst/>
                    </a:prstGeom>
                    <a:noFill/>
                  </pic:spPr>
                </pic:pic>
              </a:graphicData>
            </a:graphic>
          </wp:anchor>
        </w:drawing>
      </w:r>
    </w:p>
    <w:p>
      <w:pPr>
        <w:spacing w:after="0" w:line="134" w:lineRule="exact"/>
        <w:rPr>
          <w:sz w:val="20"/>
          <w:szCs w:val="20"/>
          <w:color w:val="auto"/>
        </w:rPr>
      </w:pPr>
    </w:p>
    <w:p>
      <w:pPr>
        <w:ind w:left="540"/>
        <w:spacing w:after="0"/>
        <w:rPr>
          <w:sz w:val="20"/>
          <w:szCs w:val="20"/>
          <w:color w:val="auto"/>
        </w:rPr>
      </w:pPr>
      <w:r>
        <w:rPr>
          <w:rFonts w:ascii="Arial" w:cs="Arial" w:eastAsia="Arial" w:hAnsi="Arial"/>
          <w:sz w:val="11"/>
          <w:szCs w:val="11"/>
          <w:color w:val="auto"/>
        </w:rPr>
        <w:t>66,220</w:t>
      </w:r>
    </w:p>
    <w:p>
      <w:pPr>
        <w:spacing w:after="0" w:line="154" w:lineRule="exact"/>
        <w:rPr>
          <w:sz w:val="20"/>
          <w:szCs w:val="20"/>
          <w:color w:val="auto"/>
        </w:rPr>
      </w:pPr>
    </w:p>
    <w:p>
      <w:pPr>
        <w:ind w:left="600"/>
        <w:spacing w:after="0"/>
        <w:rPr>
          <w:sz w:val="20"/>
          <w:szCs w:val="20"/>
          <w:color w:val="auto"/>
        </w:rPr>
      </w:pPr>
      <w:r>
        <w:rPr>
          <w:rFonts w:ascii="Arial" w:cs="Arial" w:eastAsia="Arial" w:hAnsi="Arial"/>
          <w:sz w:val="11"/>
          <w:szCs w:val="11"/>
          <w:color w:val="auto"/>
        </w:rPr>
        <w:t>8,871</w:t>
      </w:r>
    </w:p>
    <w:p>
      <w:pPr>
        <w:spacing w:after="0" w:line="78" w:lineRule="exact"/>
        <w:rPr>
          <w:sz w:val="20"/>
          <w:szCs w:val="20"/>
          <w:color w:val="auto"/>
        </w:rPr>
      </w:pPr>
    </w:p>
    <w:p>
      <w:pPr>
        <w:ind w:left="540"/>
        <w:spacing w:after="0"/>
        <w:rPr>
          <w:sz w:val="20"/>
          <w:szCs w:val="20"/>
          <w:color w:val="auto"/>
        </w:rPr>
      </w:pPr>
      <w:r>
        <w:rPr>
          <w:rFonts w:ascii="Arial" w:cs="Arial" w:eastAsia="Arial" w:hAnsi="Arial"/>
          <w:sz w:val="11"/>
          <w:szCs w:val="11"/>
          <w:color w:val="auto"/>
        </w:rPr>
        <w:t>18,928</w:t>
      </w:r>
    </w:p>
    <w:p>
      <w:pPr>
        <w:spacing w:after="0" w:line="154" w:lineRule="exact"/>
        <w:rPr>
          <w:sz w:val="20"/>
          <w:szCs w:val="20"/>
          <w:color w:val="auto"/>
        </w:rPr>
      </w:pPr>
    </w:p>
    <w:p>
      <w:pPr>
        <w:ind w:left="540"/>
        <w:spacing w:after="0"/>
        <w:rPr>
          <w:sz w:val="20"/>
          <w:szCs w:val="20"/>
          <w:color w:val="auto"/>
        </w:rPr>
      </w:pPr>
      <w:r>
        <w:rPr>
          <w:rFonts w:ascii="Arial" w:cs="Arial" w:eastAsia="Arial" w:hAnsi="Arial"/>
          <w:sz w:val="11"/>
          <w:szCs w:val="11"/>
          <w:color w:val="auto"/>
        </w:rPr>
        <w:t>13,758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18415</wp:posOffset>
            </wp:positionV>
            <wp:extent cx="574675" cy="698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574675" cy="6985"/>
                    </a:xfrm>
                    <a:prstGeom prst="rect">
                      <a:avLst/>
                    </a:prstGeom>
                    <a:noFill/>
                  </pic:spPr>
                </pic:pic>
              </a:graphicData>
            </a:graphic>
          </wp:anchor>
        </w:drawing>
      </w:r>
    </w:p>
    <w:p>
      <w:pPr>
        <w:spacing w:after="0" w:line="58" w:lineRule="exact"/>
        <w:rPr>
          <w:sz w:val="20"/>
          <w:szCs w:val="20"/>
          <w:color w:val="auto"/>
        </w:rPr>
      </w:pPr>
    </w:p>
    <w:p>
      <w:pPr>
        <w:ind w:left="480"/>
        <w:spacing w:after="0"/>
        <w:rPr>
          <w:sz w:val="20"/>
          <w:szCs w:val="20"/>
          <w:color w:val="auto"/>
        </w:rPr>
      </w:pPr>
      <w:r>
        <w:rPr>
          <w:rFonts w:ascii="Arial" w:cs="Arial" w:eastAsia="Arial" w:hAnsi="Arial"/>
          <w:sz w:val="11"/>
          <w:szCs w:val="11"/>
          <w:color w:val="auto"/>
        </w:rPr>
        <w:t>107,777</w:t>
      </w:r>
    </w:p>
    <w:p>
      <w:pPr>
        <w:spacing w:after="0" w:line="46" w:lineRule="exact"/>
        <w:rPr>
          <w:sz w:val="20"/>
          <w:szCs w:val="20"/>
          <w:color w:val="auto"/>
        </w:rPr>
      </w:pPr>
    </w:p>
    <w:p>
      <w:pPr>
        <w:jc w:val="center"/>
        <w:ind w:left="-499"/>
        <w:spacing w:after="0"/>
        <w:rPr>
          <w:sz w:val="20"/>
          <w:szCs w:val="20"/>
          <w:color w:val="auto"/>
        </w:rPr>
      </w:pPr>
      <w:r>
        <w:rPr>
          <w:rFonts w:ascii="Arial" w:cs="Arial" w:eastAsia="Arial" w:hAnsi="Arial"/>
          <w:sz w:val="11"/>
          <w:szCs w:val="11"/>
          <w:color w:val="auto"/>
        </w:rPr>
        <w:t>21,909</w:t>
      </w:r>
    </w:p>
    <w:p>
      <w:pPr>
        <w:spacing w:after="0" w:line="154" w:lineRule="exact"/>
        <w:rPr>
          <w:sz w:val="20"/>
          <w:szCs w:val="20"/>
          <w:color w:val="auto"/>
        </w:rPr>
      </w:pPr>
    </w:p>
    <w:p>
      <w:pPr>
        <w:jc w:val="right"/>
        <w:spacing w:after="0"/>
        <w:rPr>
          <w:sz w:val="20"/>
          <w:szCs w:val="20"/>
          <w:color w:val="auto"/>
        </w:rPr>
      </w:pPr>
      <w:r>
        <w:rPr>
          <w:rFonts w:ascii="Arial" w:cs="Arial" w:eastAsia="Arial" w:hAnsi="Arial"/>
          <w:sz w:val="11"/>
          <w:szCs w:val="11"/>
          <w:color w:val="auto"/>
        </w:rPr>
        <w:t>(5,258)</w:t>
      </w:r>
    </w:p>
    <w:p>
      <w:pPr>
        <w:spacing w:after="0" w:line="78" w:lineRule="exact"/>
        <w:rPr>
          <w:sz w:val="20"/>
          <w:szCs w:val="20"/>
          <w:color w:val="auto"/>
        </w:rPr>
      </w:pPr>
    </w:p>
    <w:p>
      <w:pPr>
        <w:ind w:left="540"/>
        <w:spacing w:after="0"/>
        <w:rPr>
          <w:sz w:val="20"/>
          <w:szCs w:val="20"/>
          <w:color w:val="auto"/>
        </w:rPr>
      </w:pPr>
      <w:r>
        <w:rPr>
          <w:rFonts w:ascii="Arial" w:cs="Arial" w:eastAsia="Arial" w:hAnsi="Arial"/>
          <w:sz w:val="11"/>
          <w:szCs w:val="11"/>
          <w:color w:val="auto"/>
        </w:rPr>
        <w:t>16,651</w:t>
      </w:r>
    </w:p>
    <w:p>
      <w:pPr>
        <w:spacing w:after="0" w:line="154" w:lineRule="exact"/>
        <w:rPr>
          <w:sz w:val="20"/>
          <w:szCs w:val="20"/>
          <w:color w:val="auto"/>
        </w:rPr>
      </w:pPr>
    </w:p>
    <w:p>
      <w:pPr>
        <w:ind w:left="740"/>
        <w:spacing w:after="0"/>
        <w:rPr>
          <w:sz w:val="20"/>
          <w:szCs w:val="20"/>
          <w:color w:val="auto"/>
        </w:rPr>
      </w:pPr>
      <w:r>
        <w:rPr>
          <w:rFonts w:ascii="Arial" w:cs="Arial" w:eastAsia="Arial" w:hAnsi="Arial"/>
          <w:sz w:val="11"/>
          <w:szCs w:val="11"/>
          <w:color w:val="auto"/>
        </w:rPr>
        <w:t>—</w:t>
      </w:r>
    </w:p>
    <w:p>
      <w:pPr>
        <w:spacing w:after="0" w:line="154" w:lineRule="exact"/>
        <w:rPr>
          <w:sz w:val="20"/>
          <w:szCs w:val="20"/>
          <w:color w:val="auto"/>
        </w:rPr>
      </w:pPr>
    </w:p>
    <w:p>
      <w:pPr>
        <w:ind w:left="540" w:hanging="536"/>
        <w:spacing w:after="0"/>
        <w:tabs>
          <w:tab w:leader="none" w:pos="540" w:val="left"/>
        </w:tabs>
        <w:numPr>
          <w:ilvl w:val="0"/>
          <w:numId w:val="25"/>
        </w:numPr>
        <w:rPr>
          <w:rFonts w:ascii="Arial" w:cs="Arial" w:eastAsia="Arial" w:hAnsi="Arial"/>
          <w:sz w:val="11"/>
          <w:szCs w:val="11"/>
          <w:color w:val="auto"/>
        </w:rPr>
      </w:pPr>
      <w:r>
        <w:rPr>
          <w:rFonts w:ascii="Arial" w:cs="Arial" w:eastAsia="Arial" w:hAnsi="Arial"/>
          <w:sz w:val="11"/>
          <w:szCs w:val="11"/>
          <w:color w:val="auto"/>
        </w:rPr>
        <w:t>16,651</w:t>
      </w:r>
    </w:p>
    <w:p>
      <w:pPr>
        <w:spacing w:after="0" w:line="293" w:lineRule="exact"/>
        <w:rPr>
          <w:rFonts w:ascii="Arial" w:cs="Arial" w:eastAsia="Arial" w:hAnsi="Arial"/>
          <w:sz w:val="11"/>
          <w:szCs w:val="11"/>
          <w:color w:val="auto"/>
        </w:rPr>
      </w:pPr>
    </w:p>
    <w:p>
      <w:pPr>
        <w:ind w:left="540"/>
        <w:spacing w:after="0"/>
        <w:rPr>
          <w:rFonts w:ascii="Arial" w:cs="Arial" w:eastAsia="Arial" w:hAnsi="Arial"/>
          <w:sz w:val="11"/>
          <w:szCs w:val="11"/>
          <w:color w:val="auto"/>
        </w:rPr>
      </w:pPr>
      <w:r>
        <w:rPr>
          <w:rFonts w:ascii="Arial" w:cs="Arial" w:eastAsia="Arial" w:hAnsi="Arial"/>
          <w:sz w:val="10"/>
          <w:szCs w:val="10"/>
          <w:color w:val="auto"/>
        </w:rPr>
        <w:t>17.0 %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-219710</wp:posOffset>
            </wp:positionV>
            <wp:extent cx="574675" cy="698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574675" cy="698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74" w:lineRule="exact"/>
        <w:rPr>
          <w:sz w:val="20"/>
          <w:szCs w:val="20"/>
          <w:color w:val="auto"/>
        </w:rPr>
      </w:pPr>
    </w:p>
    <w:p>
      <w:pPr>
        <w:jc w:val="right"/>
        <w:ind w:right="20"/>
        <w:spacing w:after="0"/>
        <w:rPr>
          <w:sz w:val="20"/>
          <w:szCs w:val="20"/>
          <w:color w:val="auto"/>
        </w:rPr>
      </w:pPr>
      <w:r>
        <w:rPr>
          <w:rFonts w:ascii="Arial" w:cs="Arial" w:eastAsia="Arial" w:hAnsi="Arial"/>
          <w:sz w:val="11"/>
          <w:szCs w:val="11"/>
          <w:color w:val="auto"/>
        </w:rPr>
        <w:t>257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-309245</wp:posOffset>
            </wp:positionH>
            <wp:positionV relativeFrom="paragraph">
              <wp:posOffset>18415</wp:posOffset>
            </wp:positionV>
            <wp:extent cx="574675" cy="698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574675" cy="6985"/>
                    </a:xfrm>
                    <a:prstGeom prst="rect">
                      <a:avLst/>
                    </a:prstGeom>
                    <a:noFill/>
                  </pic:spPr>
                </pic:pic>
              </a:graphicData>
            </a:graphic>
          </wp:anchor>
        </w:drawing>
      </w:r>
    </w:p>
    <w:p>
      <w:pPr>
        <w:spacing w:after="0" w:line="26" w:lineRule="exact"/>
        <w:rPr>
          <w:sz w:val="20"/>
          <w:szCs w:val="20"/>
          <w:color w:val="auto"/>
        </w:rPr>
      </w:pPr>
    </w:p>
    <w:p>
      <w:pPr>
        <w:jc w:val="right"/>
        <w:ind w:right="20"/>
        <w:spacing w:after="0"/>
        <w:rPr>
          <w:sz w:val="20"/>
          <w:szCs w:val="20"/>
          <w:color w:val="auto"/>
        </w:rPr>
      </w:pPr>
      <w:r>
        <w:rPr>
          <w:rFonts w:ascii="Arial" w:cs="Arial" w:eastAsia="Arial" w:hAnsi="Arial"/>
          <w:sz w:val="10"/>
          <w:szCs w:val="10"/>
          <w:color w:val="auto"/>
        </w:rPr>
        <w:t>100,141</w:t>
      </w:r>
    </w:p>
    <w:p>
      <w:pPr>
        <w:spacing w:after="0" w:line="200" w:lineRule="exact"/>
        <w:rPr>
          <w:sz w:val="20"/>
          <w:szCs w:val="20"/>
          <w:color w:val="auto"/>
        </w:rPr>
      </w:pPr>
    </w:p>
    <w:p>
      <w:pPr>
        <w:spacing w:after="0" w:line="202" w:lineRule="exact"/>
        <w:rPr>
          <w:sz w:val="20"/>
          <w:szCs w:val="20"/>
          <w:color w:val="auto"/>
        </w:rPr>
      </w:pPr>
    </w:p>
    <w:p>
      <w:pPr>
        <w:ind w:left="60"/>
        <w:spacing w:after="0"/>
        <w:rPr>
          <w:sz w:val="20"/>
          <w:szCs w:val="20"/>
          <w:color w:val="auto"/>
        </w:rPr>
      </w:pPr>
      <w:r>
        <w:rPr>
          <w:rFonts w:ascii="Arial" w:cs="Arial" w:eastAsia="Arial" w:hAnsi="Arial"/>
          <w:sz w:val="11"/>
          <w:szCs w:val="11"/>
          <w:color w:val="auto"/>
        </w:rPr>
        <w:t>10,771</w:t>
      </w:r>
    </w:p>
    <w:p>
      <w:pPr>
        <w:spacing w:after="0" w:line="391" w:lineRule="exact"/>
        <w:rPr>
          <w:sz w:val="20"/>
          <w:szCs w:val="20"/>
          <w:color w:val="auto"/>
        </w:rPr>
      </w:pPr>
    </w:p>
    <w:p>
      <w:pPr>
        <w:ind w:left="120"/>
        <w:spacing w:after="0"/>
        <w:rPr>
          <w:sz w:val="20"/>
          <w:szCs w:val="20"/>
          <w:color w:val="auto"/>
        </w:rPr>
      </w:pPr>
      <w:r>
        <w:rPr>
          <w:rFonts w:ascii="Arial" w:cs="Arial" w:eastAsia="Arial" w:hAnsi="Arial"/>
          <w:sz w:val="11"/>
          <w:szCs w:val="11"/>
          <w:color w:val="auto"/>
        </w:rPr>
        <w:t>1,292</w:t>
      </w:r>
    </w:p>
    <w:p>
      <w:pPr>
        <w:spacing w:after="0" w:line="78" w:lineRule="exact"/>
        <w:rPr>
          <w:sz w:val="20"/>
          <w:szCs w:val="20"/>
          <w:color w:val="auto"/>
        </w:rPr>
      </w:pPr>
    </w:p>
    <w:p>
      <w:pPr>
        <w:spacing w:after="0"/>
        <w:rPr>
          <w:sz w:val="20"/>
          <w:szCs w:val="20"/>
          <w:color w:val="auto"/>
        </w:rPr>
      </w:pPr>
      <w:r>
        <w:rPr>
          <w:rFonts w:ascii="Arial" w:cs="Arial" w:eastAsia="Arial" w:hAnsi="Arial"/>
          <w:sz w:val="11"/>
          <w:szCs w:val="11"/>
          <w:color w:val="auto"/>
        </w:rPr>
        <w:t>112,204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-309245</wp:posOffset>
            </wp:positionH>
            <wp:positionV relativeFrom="paragraph">
              <wp:posOffset>18415</wp:posOffset>
            </wp:positionV>
            <wp:extent cx="574675" cy="698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574675" cy="6985"/>
                    </a:xfrm>
                    <a:prstGeom prst="rect">
                      <a:avLst/>
                    </a:prstGeom>
                    <a:noFill/>
                  </pic:spPr>
                </pic:pic>
              </a:graphicData>
            </a:graphic>
          </wp:anchor>
        </w:drawing>
      </w:r>
    </w:p>
    <w:p>
      <w:pPr>
        <w:spacing w:after="0" w:line="134" w:lineRule="exact"/>
        <w:rPr>
          <w:sz w:val="20"/>
          <w:szCs w:val="20"/>
          <w:color w:val="auto"/>
        </w:rPr>
      </w:pPr>
    </w:p>
    <w:p>
      <w:pPr>
        <w:ind w:left="60"/>
        <w:spacing w:after="0"/>
        <w:rPr>
          <w:sz w:val="20"/>
          <w:szCs w:val="20"/>
          <w:color w:val="auto"/>
        </w:rPr>
      </w:pPr>
      <w:r>
        <w:rPr>
          <w:rFonts w:ascii="Arial" w:cs="Arial" w:eastAsia="Arial" w:hAnsi="Arial"/>
          <w:sz w:val="11"/>
          <w:szCs w:val="11"/>
          <w:color w:val="auto"/>
        </w:rPr>
        <w:t>58,537</w:t>
      </w:r>
    </w:p>
    <w:p>
      <w:pPr>
        <w:spacing w:after="0" w:line="154" w:lineRule="exact"/>
        <w:rPr>
          <w:sz w:val="20"/>
          <w:szCs w:val="20"/>
          <w:color w:val="auto"/>
        </w:rPr>
      </w:pPr>
    </w:p>
    <w:p>
      <w:pPr>
        <w:ind w:left="120"/>
        <w:spacing w:after="0"/>
        <w:rPr>
          <w:sz w:val="20"/>
          <w:szCs w:val="20"/>
          <w:color w:val="auto"/>
        </w:rPr>
      </w:pPr>
      <w:r>
        <w:rPr>
          <w:rFonts w:ascii="Arial" w:cs="Arial" w:eastAsia="Arial" w:hAnsi="Arial"/>
          <w:sz w:val="11"/>
          <w:szCs w:val="11"/>
          <w:color w:val="auto"/>
        </w:rPr>
        <w:t>6,069</w:t>
      </w:r>
    </w:p>
    <w:p>
      <w:pPr>
        <w:spacing w:after="0" w:line="78" w:lineRule="exact"/>
        <w:rPr>
          <w:sz w:val="20"/>
          <w:szCs w:val="20"/>
          <w:color w:val="auto"/>
        </w:rPr>
      </w:pPr>
    </w:p>
    <w:p>
      <w:pPr>
        <w:ind w:left="60"/>
        <w:spacing w:after="0"/>
        <w:rPr>
          <w:sz w:val="20"/>
          <w:szCs w:val="20"/>
          <w:color w:val="auto"/>
        </w:rPr>
      </w:pPr>
      <w:r>
        <w:rPr>
          <w:rFonts w:ascii="Arial" w:cs="Arial" w:eastAsia="Arial" w:hAnsi="Arial"/>
          <w:sz w:val="11"/>
          <w:szCs w:val="11"/>
          <w:color w:val="auto"/>
        </w:rPr>
        <w:t>14,463</w:t>
      </w:r>
    </w:p>
    <w:p>
      <w:pPr>
        <w:spacing w:after="0" w:line="154" w:lineRule="exact"/>
        <w:rPr>
          <w:sz w:val="20"/>
          <w:szCs w:val="20"/>
          <w:color w:val="auto"/>
        </w:rPr>
      </w:pPr>
    </w:p>
    <w:p>
      <w:pPr>
        <w:ind w:left="60"/>
        <w:spacing w:after="0"/>
        <w:rPr>
          <w:sz w:val="20"/>
          <w:szCs w:val="20"/>
          <w:color w:val="auto"/>
        </w:rPr>
      </w:pPr>
      <w:r>
        <w:rPr>
          <w:rFonts w:ascii="Arial" w:cs="Arial" w:eastAsia="Arial" w:hAnsi="Arial"/>
          <w:sz w:val="11"/>
          <w:szCs w:val="11"/>
          <w:color w:val="auto"/>
        </w:rPr>
        <w:t>13,356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-309245</wp:posOffset>
            </wp:positionH>
            <wp:positionV relativeFrom="paragraph">
              <wp:posOffset>18415</wp:posOffset>
            </wp:positionV>
            <wp:extent cx="574675" cy="698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574675" cy="6985"/>
                    </a:xfrm>
                    <a:prstGeom prst="rect">
                      <a:avLst/>
                    </a:prstGeom>
                    <a:noFill/>
                  </pic:spPr>
                </pic:pic>
              </a:graphicData>
            </a:graphic>
          </wp:anchor>
        </w:drawing>
      </w:r>
    </w:p>
    <w:p>
      <w:pPr>
        <w:spacing w:after="0" w:line="58" w:lineRule="exact"/>
        <w:rPr>
          <w:sz w:val="20"/>
          <w:szCs w:val="20"/>
          <w:color w:val="auto"/>
        </w:rPr>
      </w:pPr>
    </w:p>
    <w:p>
      <w:pPr>
        <w:ind w:left="60"/>
        <w:spacing w:after="0"/>
        <w:rPr>
          <w:sz w:val="20"/>
          <w:szCs w:val="20"/>
          <w:color w:val="auto"/>
        </w:rPr>
      </w:pPr>
      <w:r>
        <w:rPr>
          <w:rFonts w:ascii="Arial" w:cs="Arial" w:eastAsia="Arial" w:hAnsi="Arial"/>
          <w:sz w:val="11"/>
          <w:szCs w:val="11"/>
          <w:color w:val="auto"/>
        </w:rPr>
        <w:t>92,425</w:t>
      </w:r>
    </w:p>
    <w:p>
      <w:pPr>
        <w:spacing w:after="0" w:line="46" w:lineRule="exact"/>
        <w:rPr>
          <w:sz w:val="20"/>
          <w:szCs w:val="20"/>
          <w:color w:val="auto"/>
        </w:rPr>
      </w:pPr>
    </w:p>
    <w:p>
      <w:pPr>
        <w:ind w:left="60"/>
        <w:spacing w:after="0"/>
        <w:rPr>
          <w:sz w:val="20"/>
          <w:szCs w:val="20"/>
          <w:color w:val="auto"/>
        </w:rPr>
      </w:pPr>
      <w:r>
        <w:rPr>
          <w:rFonts w:ascii="Arial" w:cs="Arial" w:eastAsia="Arial" w:hAnsi="Arial"/>
          <w:sz w:val="11"/>
          <w:szCs w:val="11"/>
          <w:color w:val="auto"/>
        </w:rPr>
        <w:t>20,036</w:t>
      </w:r>
    </w:p>
    <w:p>
      <w:pPr>
        <w:spacing w:after="0" w:line="154" w:lineRule="exact"/>
        <w:rPr>
          <w:sz w:val="20"/>
          <w:szCs w:val="20"/>
          <w:color w:val="auto"/>
        </w:rPr>
      </w:pPr>
    </w:p>
    <w:p>
      <w:pPr>
        <w:jc w:val="right"/>
        <w:spacing w:after="0"/>
        <w:rPr>
          <w:sz w:val="20"/>
          <w:szCs w:val="20"/>
          <w:color w:val="auto"/>
        </w:rPr>
      </w:pPr>
      <w:r>
        <w:rPr>
          <w:rFonts w:ascii="Arial" w:cs="Arial" w:eastAsia="Arial" w:hAnsi="Arial"/>
          <w:sz w:val="11"/>
          <w:szCs w:val="11"/>
          <w:color w:val="auto"/>
        </w:rPr>
        <w:t>(5,003)</w:t>
      </w:r>
    </w:p>
    <w:p>
      <w:pPr>
        <w:spacing w:after="0" w:line="78" w:lineRule="exact"/>
        <w:rPr>
          <w:sz w:val="20"/>
          <w:szCs w:val="20"/>
          <w:color w:val="auto"/>
        </w:rPr>
      </w:pPr>
    </w:p>
    <w:p>
      <w:pPr>
        <w:ind w:left="60"/>
        <w:spacing w:after="0"/>
        <w:rPr>
          <w:sz w:val="20"/>
          <w:szCs w:val="20"/>
          <w:color w:val="auto"/>
        </w:rPr>
      </w:pPr>
      <w:r>
        <w:rPr>
          <w:rFonts w:ascii="Arial" w:cs="Arial" w:eastAsia="Arial" w:hAnsi="Arial"/>
          <w:sz w:val="11"/>
          <w:szCs w:val="11"/>
          <w:color w:val="auto"/>
        </w:rPr>
        <w:t>15,033</w:t>
      </w:r>
    </w:p>
    <w:p>
      <w:pPr>
        <w:spacing w:after="0" w:line="154" w:lineRule="exact"/>
        <w:rPr>
          <w:sz w:val="20"/>
          <w:szCs w:val="20"/>
          <w:color w:val="auto"/>
        </w:rPr>
      </w:pPr>
    </w:p>
    <w:p>
      <w:pPr>
        <w:ind w:left="200"/>
        <w:spacing w:after="0"/>
        <w:rPr>
          <w:sz w:val="20"/>
          <w:szCs w:val="20"/>
          <w:color w:val="auto"/>
        </w:rPr>
      </w:pPr>
      <w:r>
        <w:rPr>
          <w:rFonts w:ascii="Arial" w:cs="Arial" w:eastAsia="Arial" w:hAnsi="Arial"/>
          <w:sz w:val="11"/>
          <w:szCs w:val="11"/>
          <w:color w:val="auto"/>
        </w:rPr>
        <w:t>808</w:t>
      </w:r>
    </w:p>
    <w:p>
      <w:pPr>
        <w:spacing w:after="0" w:line="154" w:lineRule="exact"/>
        <w:rPr>
          <w:sz w:val="20"/>
          <w:szCs w:val="20"/>
          <w:color w:val="auto"/>
        </w:rPr>
      </w:pPr>
    </w:p>
    <w:p>
      <w:pPr>
        <w:ind w:left="60"/>
        <w:spacing w:after="0"/>
        <w:rPr>
          <w:sz w:val="20"/>
          <w:szCs w:val="20"/>
          <w:color w:val="auto"/>
        </w:rPr>
      </w:pPr>
      <w:r>
        <w:rPr>
          <w:rFonts w:ascii="Arial" w:cs="Arial" w:eastAsia="Arial" w:hAnsi="Arial"/>
          <w:sz w:val="11"/>
          <w:szCs w:val="11"/>
          <w:color w:val="auto"/>
        </w:rPr>
        <w:t>15,841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-309245</wp:posOffset>
            </wp:positionH>
            <wp:positionV relativeFrom="paragraph">
              <wp:posOffset>38735</wp:posOffset>
            </wp:positionV>
            <wp:extent cx="574675" cy="698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574675" cy="6985"/>
                    </a:xfrm>
                    <a:prstGeom prst="rect">
                      <a:avLst/>
                    </a:prstGeom>
                    <a:noFill/>
                  </pic:spPr>
                </pic:pic>
              </a:graphicData>
            </a:graphic>
          </wp:anchor>
        </w:drawing>
      </w:r>
    </w:p>
    <w:p>
      <w:pPr>
        <w:spacing w:after="0" w:line="274" w:lineRule="exact"/>
        <w:rPr>
          <w:sz w:val="20"/>
          <w:szCs w:val="20"/>
          <w:color w:val="auto"/>
        </w:rPr>
      </w:pPr>
    </w:p>
    <w:p>
      <w:pPr>
        <w:ind w:left="60"/>
        <w:spacing w:after="0"/>
        <w:rPr>
          <w:sz w:val="20"/>
          <w:szCs w:val="20"/>
          <w:color w:val="auto"/>
        </w:rPr>
      </w:pPr>
      <w:r>
        <w:rPr>
          <w:rFonts w:ascii="Arial" w:cs="Arial" w:eastAsia="Arial" w:hAnsi="Arial"/>
          <w:sz w:val="10"/>
          <w:szCs w:val="10"/>
          <w:color w:val="auto"/>
        </w:rPr>
        <w:t>18.6 %</w:t>
      </w:r>
    </w:p>
    <w:p>
      <w:pPr>
        <w:spacing w:after="0" w:line="20" w:lineRule="exact"/>
        <w:rPr>
          <w:sz w:val="20"/>
          <w:szCs w:val="20"/>
          <w:color w:val="auto"/>
        </w:rPr>
      </w:pPr>
      <w:r>
        <w:rPr>
          <w:sz w:val="20"/>
          <w:szCs w:val="20"/>
          <w:color w:val="auto"/>
        </w:rPr>
        <w:br w:type="column"/>
      </w:r>
    </w:p>
    <w:p>
      <w:pPr>
        <w:spacing w:after="0" w:line="246" w:lineRule="exact"/>
        <w:rPr>
          <w:sz w:val="20"/>
          <w:szCs w:val="20"/>
          <w:color w:val="auto"/>
        </w:rPr>
      </w:pPr>
    </w:p>
    <w:p>
      <w:pPr>
        <w:spacing w:after="0"/>
        <w:rPr>
          <w:sz w:val="20"/>
          <w:szCs w:val="20"/>
          <w:color w:val="auto"/>
        </w:rPr>
      </w:pPr>
      <w:r>
        <w:rPr>
          <w:rFonts w:ascii="Arial" w:cs="Arial" w:eastAsia="Arial" w:hAnsi="Arial"/>
          <w:sz w:val="11"/>
          <w:szCs w:val="11"/>
          <w:color w:val="auto"/>
        </w:rPr>
        <w:t>See table below for additional analysis.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-3246755</wp:posOffset>
            </wp:positionH>
            <wp:positionV relativeFrom="paragraph">
              <wp:posOffset>18415</wp:posOffset>
            </wp:positionV>
            <wp:extent cx="7267575" cy="32829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67575" cy="328295"/>
                    </a:xfrm>
                    <a:prstGeom prst="rect">
                      <a:avLst/>
                    </a:prstGeom>
                    <a:noFill/>
                  </pic:spPr>
                </pic:pic>
              </a:graphicData>
            </a:graphic>
          </wp:anchor>
        </w:drawing>
      </w:r>
    </w:p>
    <w:p>
      <w:pPr>
        <w:spacing w:after="0" w:line="15" w:lineRule="exact"/>
        <w:rPr>
          <w:sz w:val="20"/>
          <w:szCs w:val="20"/>
          <w:color w:val="auto"/>
        </w:rPr>
      </w:pPr>
    </w:p>
    <w:p>
      <w:pPr>
        <w:jc w:val="both"/>
        <w:ind w:right="100"/>
        <w:spacing w:after="0" w:line="238" w:lineRule="auto"/>
        <w:rPr>
          <w:sz w:val="20"/>
          <w:szCs w:val="20"/>
          <w:color w:val="auto"/>
        </w:rPr>
      </w:pPr>
      <w:r>
        <w:rPr>
          <w:rFonts w:ascii="Arial" w:cs="Arial" w:eastAsia="Arial" w:hAnsi="Arial"/>
          <w:sz w:val="11"/>
          <w:szCs w:val="11"/>
          <w:color w:val="auto"/>
        </w:rPr>
        <w:t>Represents revenue earned by the LSS operating segment as a result of servicing loans for the AGM operating segment. Increase was due to the acquisition of Great Lakes on February 7, 2018. Prior to the acquisition, Great Lakes was a third-party servicer to the Company's AGM operating segment. Increase was also due to a significant purchase of loans by AGM in April 2018 of which LSS is the servicer.</w:t>
      </w:r>
    </w:p>
    <w:p>
      <w:pPr>
        <w:spacing w:after="0" w:line="16" w:lineRule="exact"/>
        <w:rPr>
          <w:sz w:val="20"/>
          <w:szCs w:val="20"/>
          <w:color w:val="auto"/>
        </w:rPr>
      </w:pPr>
    </w:p>
    <w:p>
      <w:pPr>
        <w:jc w:val="both"/>
        <w:ind w:right="100"/>
        <w:spacing w:after="0" w:line="238" w:lineRule="auto"/>
        <w:rPr>
          <w:sz w:val="20"/>
          <w:szCs w:val="20"/>
          <w:color w:val="auto"/>
        </w:rPr>
      </w:pPr>
      <w:r>
        <w:rPr>
          <w:rFonts w:ascii="Arial" w:cs="Arial" w:eastAsia="Arial" w:hAnsi="Arial"/>
          <w:sz w:val="11"/>
          <w:szCs w:val="11"/>
          <w:color w:val="auto"/>
        </w:rPr>
        <w:t>Represents primarily revenue earned from providing administrative support services to Great Lakes’ former parent company in accordance with a one-year contract that is subject to an optional annual renewal by the former parent company. The current contract expires in October 2019. Increase was due to three months of revenue in the first quarter of 2019 as compared to approximately two months (from the Great Lakes acquisition date) in the first quarter of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-3246755</wp:posOffset>
            </wp:positionH>
            <wp:positionV relativeFrom="paragraph">
              <wp:posOffset>5715</wp:posOffset>
            </wp:positionV>
            <wp:extent cx="7267575" cy="13017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67575" cy="130175"/>
                    </a:xfrm>
                    <a:prstGeom prst="rect">
                      <a:avLst/>
                    </a:prstGeom>
                    <a:noFill/>
                  </pic:spPr>
                </pic:pic>
              </a:graphicData>
            </a:graphic>
          </wp:anchor>
        </w:drawing>
      </w:r>
    </w:p>
    <w:p>
      <w:pPr>
        <w:spacing w:after="0" w:line="200" w:lineRule="exact"/>
        <w:rPr>
          <w:sz w:val="20"/>
          <w:szCs w:val="20"/>
          <w:color w:val="auto"/>
        </w:rPr>
      </w:pPr>
    </w:p>
    <w:p>
      <w:pPr>
        <w:jc w:val="both"/>
        <w:ind w:right="100"/>
        <w:spacing w:after="0" w:line="262" w:lineRule="auto"/>
        <w:rPr>
          <w:sz w:val="20"/>
          <w:szCs w:val="20"/>
          <w:color w:val="auto"/>
        </w:rPr>
      </w:pPr>
      <w:r>
        <w:rPr>
          <w:rFonts w:ascii="Arial" w:cs="Arial" w:eastAsia="Arial" w:hAnsi="Arial"/>
          <w:sz w:val="11"/>
          <w:szCs w:val="11"/>
          <w:color w:val="auto"/>
        </w:rPr>
        <w:t>Increase was due to the Great Lakes acquisition, an increase in personnel to support the increase in volume of loans serviced for the government entering repayment status, and the increase in private education and consumer loan servicing volume.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-3246755</wp:posOffset>
            </wp:positionH>
            <wp:positionV relativeFrom="paragraph">
              <wp:posOffset>-635</wp:posOffset>
            </wp:positionV>
            <wp:extent cx="7267575" cy="17780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67575" cy="177800"/>
                    </a:xfrm>
                    <a:prstGeom prst="rect">
                      <a:avLst/>
                    </a:prstGeom>
                    <a:noFill/>
                  </pic:spPr>
                </pic:pic>
              </a:graphicData>
            </a:graphic>
          </wp:anchor>
        </w:drawing>
      </w:r>
    </w:p>
    <w:p>
      <w:pPr>
        <w:jc w:val="both"/>
        <w:ind w:right="100"/>
        <w:spacing w:after="0" w:line="262" w:lineRule="auto"/>
        <w:rPr>
          <w:sz w:val="20"/>
          <w:szCs w:val="20"/>
          <w:color w:val="auto"/>
        </w:rPr>
      </w:pPr>
      <w:r>
        <w:rPr>
          <w:rFonts w:ascii="Arial" w:cs="Arial" w:eastAsia="Arial" w:hAnsi="Arial"/>
          <w:sz w:val="11"/>
          <w:szCs w:val="11"/>
          <w:color w:val="auto"/>
        </w:rPr>
        <w:t>Amortization of intangible assets and depreciation of fixed assets recorded as a result of the Great Lakes acquisition on February 7, 2018 was $5.8 million and $3.8 million during the first quarter of 2019 and 2018, respectively.</w:t>
      </w:r>
    </w:p>
    <w:p>
      <w:pPr>
        <w:spacing w:after="0" w:line="47" w:lineRule="exact"/>
        <w:rPr>
          <w:sz w:val="20"/>
          <w:szCs w:val="20"/>
          <w:color w:val="auto"/>
        </w:rPr>
      </w:pPr>
    </w:p>
    <w:p>
      <w:pPr>
        <w:spacing w:after="0"/>
        <w:rPr>
          <w:sz w:val="20"/>
          <w:szCs w:val="20"/>
          <w:color w:val="auto"/>
        </w:rPr>
      </w:pPr>
      <w:r>
        <w:rPr>
          <w:rFonts w:ascii="Arial" w:cs="Arial" w:eastAsia="Arial" w:hAnsi="Arial"/>
          <w:sz w:val="11"/>
          <w:szCs w:val="11"/>
          <w:color w:val="auto"/>
        </w:rPr>
        <w:t>Increase was due to the Great Lakes acquisition.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-3246755</wp:posOffset>
            </wp:positionH>
            <wp:positionV relativeFrom="paragraph">
              <wp:posOffset>18415</wp:posOffset>
            </wp:positionV>
            <wp:extent cx="7267575" cy="17780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67575" cy="177800"/>
                    </a:xfrm>
                    <a:prstGeom prst="rect">
                      <a:avLst/>
                    </a:prstGeom>
                    <a:noFill/>
                  </pic:spPr>
                </pic:pic>
              </a:graphicData>
            </a:graphic>
          </wp:anchor>
        </w:drawing>
      </w:r>
    </w:p>
    <w:p>
      <w:pPr>
        <w:spacing w:after="0" w:line="15" w:lineRule="exact"/>
        <w:rPr>
          <w:sz w:val="20"/>
          <w:szCs w:val="20"/>
          <w:color w:val="auto"/>
        </w:rPr>
      </w:pPr>
    </w:p>
    <w:p>
      <w:pPr>
        <w:spacing w:after="0" w:line="262" w:lineRule="auto"/>
        <w:rPr>
          <w:sz w:val="20"/>
          <w:szCs w:val="20"/>
          <w:color w:val="auto"/>
        </w:rPr>
      </w:pPr>
      <w:r>
        <w:rPr>
          <w:rFonts w:ascii="Arial" w:cs="Arial" w:eastAsia="Arial" w:hAnsi="Arial"/>
          <w:sz w:val="11"/>
          <w:szCs w:val="11"/>
          <w:color w:val="auto"/>
        </w:rPr>
        <w:t>Intersegment expenses represent costs for certain corporate activities and services that are allocated to each operating segment based on estimated use of such activities and services.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-3246755</wp:posOffset>
            </wp:positionH>
            <wp:positionV relativeFrom="paragraph">
              <wp:posOffset>128905</wp:posOffset>
            </wp:positionV>
            <wp:extent cx="7267575" cy="10922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67575" cy="109220"/>
                    </a:xfrm>
                    <a:prstGeom prst="rect">
                      <a:avLst/>
                    </a:prstGeom>
                    <a:noFill/>
                  </pic:spPr>
                </pic:pic>
              </a:graphicData>
            </a:graphic>
          </wp:anchor>
        </w:drawing>
      </w:r>
    </w:p>
    <w:p>
      <w:pPr>
        <w:spacing w:after="0" w:line="361" w:lineRule="exact"/>
        <w:rPr>
          <w:sz w:val="20"/>
          <w:szCs w:val="20"/>
          <w:color w:val="auto"/>
        </w:rPr>
      </w:pPr>
    </w:p>
    <w:p>
      <w:pPr>
        <w:jc w:val="both"/>
        <w:ind w:right="100"/>
        <w:spacing w:after="0" w:line="262" w:lineRule="auto"/>
        <w:rPr>
          <w:sz w:val="20"/>
          <w:szCs w:val="20"/>
          <w:color w:val="auto"/>
        </w:rPr>
      </w:pPr>
      <w:r>
        <w:rPr>
          <w:rFonts w:ascii="Arial" w:cs="Arial" w:eastAsia="Arial" w:hAnsi="Arial"/>
          <w:sz w:val="11"/>
          <w:szCs w:val="11"/>
          <w:color w:val="auto"/>
        </w:rPr>
        <w:t>Reflects income tax expense at an effective tax rate of 24% on income before taxes and the net loss attributable to noncontrolling interest.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-3246755</wp:posOffset>
            </wp:positionH>
            <wp:positionV relativeFrom="paragraph">
              <wp:posOffset>-635</wp:posOffset>
            </wp:positionV>
            <wp:extent cx="7267575" cy="13017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67575" cy="130175"/>
                    </a:xfrm>
                    <a:prstGeom prst="rect">
                      <a:avLst/>
                    </a:prstGeom>
                    <a:noFill/>
                  </pic:spPr>
                </pic:pic>
              </a:graphicData>
            </a:graphic>
          </wp:anchor>
        </w:drawing>
      </w:r>
    </w:p>
    <w:p>
      <w:pPr>
        <w:spacing w:after="0" w:line="189" w:lineRule="exact"/>
        <w:rPr>
          <w:sz w:val="20"/>
          <w:szCs w:val="20"/>
          <w:color w:val="auto"/>
        </w:rPr>
      </w:pPr>
    </w:p>
    <w:p>
      <w:pPr>
        <w:jc w:val="both"/>
        <w:ind w:right="100"/>
        <w:spacing w:after="0" w:line="262" w:lineRule="auto"/>
        <w:rPr>
          <w:sz w:val="20"/>
          <w:szCs w:val="20"/>
          <w:color w:val="auto"/>
        </w:rPr>
      </w:pPr>
      <w:r>
        <w:rPr>
          <w:rFonts w:ascii="Arial" w:cs="Arial" w:eastAsia="Arial" w:hAnsi="Arial"/>
          <w:sz w:val="11"/>
          <w:szCs w:val="11"/>
          <w:color w:val="auto"/>
        </w:rPr>
        <w:t>Represented 50 percent of the net loss of the GreatNet joint venture that was attributable to Great Lakes prior to the Company's acquisition of Great Lakes on February 7,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-3246755</wp:posOffset>
            </wp:positionH>
            <wp:positionV relativeFrom="paragraph">
              <wp:posOffset>-635</wp:posOffset>
            </wp:positionV>
            <wp:extent cx="7267575" cy="19177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67575" cy="191770"/>
                    </a:xfrm>
                    <a:prstGeom prst="rect">
                      <a:avLst/>
                    </a:prstGeom>
                    <a:noFill/>
                  </pic:spPr>
                </pic:pic>
              </a:graphicData>
            </a:graphic>
          </wp:anchor>
        </w:drawing>
      </w:r>
    </w:p>
    <w:p>
      <w:pPr>
        <w:spacing w:after="0" w:line="286" w:lineRule="exact"/>
        <w:rPr>
          <w:sz w:val="20"/>
          <w:szCs w:val="20"/>
          <w:color w:val="auto"/>
        </w:rPr>
      </w:pPr>
    </w:p>
    <w:p>
      <w:pPr>
        <w:jc w:val="both"/>
        <w:ind w:right="100"/>
        <w:spacing w:after="0" w:line="280" w:lineRule="auto"/>
        <w:rPr>
          <w:sz w:val="20"/>
          <w:szCs w:val="20"/>
          <w:color w:val="auto"/>
        </w:rPr>
      </w:pPr>
      <w:r>
        <w:rPr>
          <w:rFonts w:ascii="Arial" w:cs="Arial" w:eastAsia="Arial" w:hAnsi="Arial"/>
          <w:sz w:val="10"/>
          <w:szCs w:val="10"/>
          <w:color w:val="auto"/>
        </w:rPr>
        <w:t>The Company will incur additional costs in 2019 to integrate two core processing systems for the government-owned loans, be responsive to the Department's procurement, and develop new private education and consumer loan origination and servicing systems, a multi-year project, which the Company currently expects will decrease operating margin from recent historical results.</w:t>
      </w:r>
    </w:p>
    <w:p>
      <w:pPr>
        <w:spacing w:after="0" w:line="200" w:lineRule="exact"/>
        <w:rPr>
          <w:sz w:val="20"/>
          <w:szCs w:val="20"/>
          <w:color w:val="auto"/>
        </w:rPr>
      </w:pPr>
    </w:p>
    <w:p>
      <w:pPr>
        <w:sectPr>
          <w:pgSz w:w="11900" w:h="16838" w:orient="portrait"/>
          <w:cols w:equalWidth="0" w:num="4">
            <w:col w:w="3000" w:space="120"/>
            <w:col w:w="880" w:space="600"/>
            <w:col w:w="400" w:space="120"/>
            <w:col w:w="6320"/>
          </w:cols>
          <w:pgMar w:left="220" w:top="743" w:right="239" w:bottom="1440" w:gutter="0" w:footer="0" w:header="0"/>
          <w:type w:val="continuous"/>
        </w:sectPr>
      </w:pPr>
    </w:p>
    <w:p>
      <w:pPr>
        <w:spacing w:after="0" w:line="200" w:lineRule="exact"/>
        <w:rPr>
          <w:sz w:val="20"/>
          <w:szCs w:val="20"/>
          <w:color w:val="auto"/>
        </w:rPr>
      </w:pPr>
    </w:p>
    <w:p>
      <w:pPr>
        <w:spacing w:after="0" w:line="388" w:lineRule="exact"/>
        <w:rPr>
          <w:sz w:val="20"/>
          <w:szCs w:val="20"/>
          <w:color w:val="auto"/>
        </w:rPr>
      </w:pPr>
    </w:p>
    <w:p>
      <w:pPr>
        <w:jc w:val="center"/>
        <w:ind w:right="-19"/>
        <w:spacing w:after="0"/>
        <w:rPr>
          <w:sz w:val="20"/>
          <w:szCs w:val="20"/>
          <w:color w:val="auto"/>
        </w:rPr>
      </w:pPr>
      <w:r>
        <w:rPr>
          <w:rFonts w:ascii="Arial" w:cs="Arial" w:eastAsia="Arial" w:hAnsi="Arial"/>
          <w:sz w:val="12"/>
          <w:szCs w:val="12"/>
          <w:color w:val="auto"/>
        </w:rPr>
        <w:t>37</w:t>
      </w:r>
    </w:p>
    <w:p>
      <w:pPr>
        <w:sectPr>
          <w:pgSz w:w="11900" w:h="16838" w:orient="portrait"/>
          <w:cols w:equalWidth="0" w:num="1">
            <w:col w:w="11440"/>
          </w:cols>
          <w:pgMar w:left="220" w:top="743" w:right="239" w:bottom="1440" w:gutter="0" w:footer="0" w:header="0"/>
          <w:type w:val="continuous"/>
        </w:sectPr>
      </w:pPr>
    </w:p>
    <w:bookmarkStart w:id="38" w:name="page39"/>
    <w:bookmarkEnd w:id="38"/>
    <w:p>
      <w:pPr>
        <w:ind w:left="20"/>
        <w:spacing w:after="0"/>
        <w:rPr>
          <w:sz w:val="20"/>
          <w:szCs w:val="20"/>
          <w:color w:val="auto"/>
        </w:rPr>
      </w:pPr>
      <w:r>
        <w:rPr>
          <w:rFonts w:ascii="Arial" w:cs="Arial" w:eastAsia="Arial" w:hAnsi="Arial"/>
          <w:sz w:val="14"/>
          <w:szCs w:val="14"/>
          <w:i w:val="1"/>
          <w:iCs w:val="1"/>
          <w:u w:val="single" w:color="auto"/>
          <w:color w:val="auto"/>
        </w:rPr>
        <w:t>Loan servicing and systems revenue</w:t>
      </w: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ind w:left="40"/>
        <w:spacing w:after="0"/>
        <w:rPr>
          <w:sz w:val="20"/>
          <w:szCs w:val="20"/>
          <w:color w:val="auto"/>
        </w:rPr>
      </w:pPr>
      <w:r>
        <w:rPr>
          <w:rFonts w:ascii="Arial" w:cs="Arial" w:eastAsia="Arial" w:hAnsi="Arial"/>
          <w:sz w:val="13"/>
          <w:szCs w:val="13"/>
          <w:color w:val="auto"/>
        </w:rPr>
        <w:t>Government servicing - Nelnet</w:t>
      </w:r>
    </w:p>
    <w:p>
      <w:pPr>
        <w:spacing w:after="0" w:line="249" w:lineRule="exact"/>
        <w:rPr>
          <w:sz w:val="20"/>
          <w:szCs w:val="20"/>
          <w:color w:val="auto"/>
        </w:rPr>
      </w:pPr>
    </w:p>
    <w:p>
      <w:pPr>
        <w:ind w:left="40"/>
        <w:spacing w:after="0"/>
        <w:rPr>
          <w:sz w:val="20"/>
          <w:szCs w:val="20"/>
          <w:color w:val="auto"/>
        </w:rPr>
      </w:pPr>
      <w:r>
        <w:rPr>
          <w:rFonts w:ascii="Arial" w:cs="Arial" w:eastAsia="Arial" w:hAnsi="Arial"/>
          <w:sz w:val="13"/>
          <w:szCs w:val="13"/>
          <w:color w:val="auto"/>
        </w:rPr>
        <w:t>Government servicing - Great Lakes</w:t>
      </w:r>
    </w:p>
    <w:p>
      <w:pPr>
        <w:spacing w:after="0" w:line="200" w:lineRule="exact"/>
        <w:rPr>
          <w:sz w:val="20"/>
          <w:szCs w:val="20"/>
          <w:color w:val="auto"/>
        </w:rPr>
      </w:pPr>
    </w:p>
    <w:p>
      <w:pPr>
        <w:spacing w:after="0" w:line="232" w:lineRule="exact"/>
        <w:rPr>
          <w:sz w:val="20"/>
          <w:szCs w:val="20"/>
          <w:color w:val="auto"/>
        </w:rPr>
      </w:pPr>
    </w:p>
    <w:p>
      <w:pPr>
        <w:ind w:left="40"/>
        <w:spacing w:after="0" w:line="437" w:lineRule="auto"/>
        <w:rPr>
          <w:sz w:val="20"/>
          <w:szCs w:val="20"/>
          <w:color w:val="auto"/>
        </w:rPr>
      </w:pPr>
      <w:r>
        <w:rPr>
          <w:rFonts w:ascii="Arial" w:cs="Arial" w:eastAsia="Arial" w:hAnsi="Arial"/>
          <w:sz w:val="13"/>
          <w:szCs w:val="13"/>
          <w:color w:val="auto"/>
        </w:rPr>
        <w:t>Private education and consumer loan servicing FFELP servicing</w:t>
      </w:r>
    </w:p>
    <w:p>
      <w:pPr>
        <w:spacing w:after="0" w:line="210" w:lineRule="exact"/>
        <w:rPr>
          <w:sz w:val="20"/>
          <w:szCs w:val="20"/>
          <w:color w:val="auto"/>
        </w:rPr>
      </w:pPr>
    </w:p>
    <w:p>
      <w:pPr>
        <w:ind w:left="40"/>
        <w:spacing w:after="0"/>
        <w:rPr>
          <w:sz w:val="20"/>
          <w:szCs w:val="20"/>
          <w:color w:val="auto"/>
        </w:rPr>
      </w:pPr>
      <w:r>
        <w:rPr>
          <w:rFonts w:ascii="Arial" w:cs="Arial" w:eastAsia="Arial" w:hAnsi="Arial"/>
          <w:sz w:val="13"/>
          <w:szCs w:val="13"/>
          <w:color w:val="auto"/>
        </w:rPr>
        <w:t>Software services</w:t>
      </w:r>
    </w:p>
    <w:p>
      <w:pPr>
        <w:spacing w:after="0" w:line="152" w:lineRule="exact"/>
        <w:rPr>
          <w:sz w:val="20"/>
          <w:szCs w:val="20"/>
          <w:color w:val="auto"/>
        </w:rPr>
      </w:pPr>
    </w:p>
    <w:p>
      <w:pPr>
        <w:spacing w:after="0"/>
        <w:rPr>
          <w:sz w:val="20"/>
          <w:szCs w:val="20"/>
          <w:color w:val="auto"/>
        </w:rPr>
      </w:pPr>
      <w:r>
        <w:rPr>
          <w:rFonts w:ascii="Arial" w:cs="Arial" w:eastAsia="Arial" w:hAnsi="Arial"/>
          <w:sz w:val="13"/>
          <w:szCs w:val="13"/>
          <w:color w:val="auto"/>
        </w:rPr>
        <w:t>Outsourced services and other</w:t>
      </w:r>
    </w:p>
    <w:p>
      <w:pPr>
        <w:spacing w:after="0" w:line="44" w:lineRule="exact"/>
        <w:rPr>
          <w:sz w:val="20"/>
          <w:szCs w:val="20"/>
          <w:color w:val="auto"/>
        </w:rPr>
      </w:pPr>
    </w:p>
    <w:p>
      <w:pPr>
        <w:ind w:left="40"/>
        <w:spacing w:after="0"/>
        <w:rPr>
          <w:sz w:val="20"/>
          <w:szCs w:val="20"/>
          <w:color w:val="auto"/>
        </w:rPr>
      </w:pPr>
      <w:r>
        <w:rPr>
          <w:rFonts w:ascii="Arial" w:cs="Arial" w:eastAsia="Arial" w:hAnsi="Arial"/>
          <w:sz w:val="13"/>
          <w:szCs w:val="13"/>
          <w:color w:val="auto"/>
        </w:rPr>
        <w:t>Loan servicing and systems revenue</w:t>
      </w:r>
    </w:p>
    <w:p>
      <w:pPr>
        <w:spacing w:after="0" w:line="20" w:lineRule="exact"/>
        <w:rPr>
          <w:sz w:val="20"/>
          <w:szCs w:val="20"/>
          <w:color w:val="auto"/>
        </w:rPr>
      </w:pPr>
      <w:r>
        <w:rPr>
          <w:sz w:val="20"/>
          <w:szCs w:val="20"/>
          <w:color w:val="auto"/>
        </w:rPr>
        <w:br w:type="column"/>
      </w:r>
    </w:p>
    <w:p>
      <w:pPr>
        <w:spacing w:after="0" w:line="28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7"/>
        </w:trPr>
        <w:tc>
          <w:tcPr>
            <w:tcW w:w="60" w:type="dxa"/>
            <w:vAlign w:val="bottom"/>
          </w:tcPr>
          <w:p>
            <w:pPr>
              <w:spacing w:after="0"/>
              <w:rPr>
                <w:sz w:val="14"/>
                <w:szCs w:val="14"/>
                <w:color w:val="auto"/>
              </w:rPr>
            </w:pPr>
          </w:p>
        </w:tc>
        <w:tc>
          <w:tcPr>
            <w:tcW w:w="1820" w:type="dxa"/>
            <w:vAlign w:val="bottom"/>
            <w:gridSpan w:val="3"/>
          </w:tcPr>
          <w:p>
            <w:pPr>
              <w:jc w:val="right"/>
              <w:ind w:right="22"/>
              <w:spacing w:after="0"/>
              <w:rPr>
                <w:sz w:val="20"/>
                <w:szCs w:val="20"/>
                <w:color w:val="auto"/>
              </w:rPr>
            </w:pPr>
            <w:r>
              <w:rPr>
                <w:rFonts w:ascii="Arial" w:cs="Arial" w:eastAsia="Arial" w:hAnsi="Arial"/>
                <w:sz w:val="13"/>
                <w:szCs w:val="13"/>
                <w:b w:val="1"/>
                <w:bCs w:val="1"/>
                <w:color w:val="auto"/>
                <w:w w:val="89"/>
              </w:rPr>
              <w:t>Three months ended March 31,</w:t>
            </w:r>
          </w:p>
        </w:tc>
        <w:tc>
          <w:tcPr>
            <w:tcW w:w="100" w:type="dxa"/>
            <w:vAlign w:val="bottom"/>
          </w:tcPr>
          <w:p>
            <w:pPr>
              <w:spacing w:after="0"/>
              <w:rPr>
                <w:sz w:val="14"/>
                <w:szCs w:val="14"/>
                <w:color w:val="auto"/>
              </w:rPr>
            </w:pPr>
          </w:p>
        </w:tc>
        <w:tc>
          <w:tcPr>
            <w:tcW w:w="6340" w:type="dxa"/>
            <w:vAlign w:val="bottom"/>
          </w:tcPr>
          <w:p>
            <w:pPr>
              <w:ind w:left="2520"/>
              <w:spacing w:after="0"/>
              <w:rPr>
                <w:sz w:val="20"/>
                <w:szCs w:val="20"/>
                <w:color w:val="auto"/>
              </w:rPr>
            </w:pPr>
            <w:r>
              <w:rPr>
                <w:rFonts w:ascii="Arial" w:cs="Arial" w:eastAsia="Arial" w:hAnsi="Arial"/>
                <w:sz w:val="13"/>
                <w:szCs w:val="13"/>
                <w:b w:val="1"/>
                <w:bCs w:val="1"/>
                <w:color w:val="auto"/>
              </w:rPr>
              <w:t>Additional information</w:t>
            </w:r>
          </w:p>
        </w:tc>
        <w:tc>
          <w:tcPr>
            <w:tcW w:w="0" w:type="dxa"/>
            <w:vAlign w:val="bottom"/>
          </w:tcPr>
          <w:p>
            <w:pPr>
              <w:spacing w:after="0"/>
              <w:rPr>
                <w:sz w:val="1"/>
                <w:szCs w:val="1"/>
                <w:color w:val="auto"/>
              </w:rPr>
            </w:pPr>
          </w:p>
        </w:tc>
      </w:tr>
      <w:tr>
        <w:trPr>
          <w:trHeight w:val="27"/>
        </w:trPr>
        <w:tc>
          <w:tcPr>
            <w:tcW w:w="6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69"/>
        </w:trPr>
        <w:tc>
          <w:tcPr>
            <w:tcW w:w="60" w:type="dxa"/>
            <w:vAlign w:val="bottom"/>
          </w:tcPr>
          <w:p>
            <w:pPr>
              <w:spacing w:after="0"/>
              <w:rPr>
                <w:sz w:val="14"/>
                <w:szCs w:val="14"/>
                <w:color w:val="auto"/>
              </w:rPr>
            </w:pPr>
          </w:p>
        </w:tc>
        <w:tc>
          <w:tcPr>
            <w:tcW w:w="840" w:type="dxa"/>
            <w:vAlign w:val="bottom"/>
          </w:tcPr>
          <w:p>
            <w:pPr>
              <w:jc w:val="right"/>
              <w:ind w:right="261"/>
              <w:spacing w:after="0"/>
              <w:rPr>
                <w:sz w:val="20"/>
                <w:szCs w:val="20"/>
                <w:color w:val="auto"/>
              </w:rPr>
            </w:pPr>
            <w:r>
              <w:rPr>
                <w:rFonts w:ascii="Arial" w:cs="Arial" w:eastAsia="Arial" w:hAnsi="Arial"/>
                <w:sz w:val="13"/>
                <w:szCs w:val="13"/>
                <w:b w:val="1"/>
                <w:bCs w:val="1"/>
                <w:color w:val="auto"/>
              </w:rPr>
              <w:t>2019</w:t>
            </w:r>
          </w:p>
        </w:tc>
        <w:tc>
          <w:tcPr>
            <w:tcW w:w="100" w:type="dxa"/>
            <w:vAlign w:val="bottom"/>
          </w:tcPr>
          <w:p>
            <w:pPr>
              <w:spacing w:after="0"/>
              <w:rPr>
                <w:sz w:val="14"/>
                <w:szCs w:val="14"/>
                <w:color w:val="auto"/>
              </w:rPr>
            </w:pPr>
          </w:p>
        </w:tc>
        <w:tc>
          <w:tcPr>
            <w:tcW w:w="880" w:type="dxa"/>
            <w:vAlign w:val="bottom"/>
          </w:tcPr>
          <w:p>
            <w:pPr>
              <w:jc w:val="right"/>
              <w:ind w:right="262"/>
              <w:spacing w:after="0"/>
              <w:rPr>
                <w:sz w:val="20"/>
                <w:szCs w:val="20"/>
                <w:color w:val="auto"/>
              </w:rPr>
            </w:pPr>
            <w:r>
              <w:rPr>
                <w:rFonts w:ascii="Arial" w:cs="Arial" w:eastAsia="Arial" w:hAnsi="Arial"/>
                <w:sz w:val="13"/>
                <w:szCs w:val="13"/>
                <w:b w:val="1"/>
                <w:bCs w:val="1"/>
                <w:color w:val="auto"/>
              </w:rPr>
              <w:t>2018</w:t>
            </w:r>
          </w:p>
        </w:tc>
        <w:tc>
          <w:tcPr>
            <w:tcW w:w="100" w:type="dxa"/>
            <w:vAlign w:val="bottom"/>
          </w:tcPr>
          <w:p>
            <w:pPr>
              <w:spacing w:after="0"/>
              <w:rPr>
                <w:sz w:val="14"/>
                <w:szCs w:val="14"/>
                <w:color w:val="auto"/>
              </w:rPr>
            </w:pPr>
          </w:p>
        </w:tc>
        <w:tc>
          <w:tcPr>
            <w:tcW w:w="63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7"/>
        </w:trPr>
        <w:tc>
          <w:tcPr>
            <w:tcW w:w="6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340" w:type="dxa"/>
            <w:vAlign w:val="bottom"/>
            <w:vMerge w:val="restart"/>
          </w:tcPr>
          <w:p>
            <w:pPr>
              <w:spacing w:after="0"/>
              <w:rPr>
                <w:sz w:val="20"/>
                <w:szCs w:val="20"/>
                <w:color w:val="auto"/>
              </w:rPr>
            </w:pPr>
            <w:r>
              <w:rPr>
                <w:rFonts w:ascii="Arial" w:cs="Arial" w:eastAsia="Arial" w:hAnsi="Arial"/>
                <w:sz w:val="11"/>
                <w:szCs w:val="11"/>
                <w:color w:val="auto"/>
                <w:w w:val="98"/>
              </w:rPr>
              <w:t>Represents revenue from Nelnet Servicing's Department servicing contract. Revenue increased due to a shift in the portfolio of loans</w:t>
            </w:r>
          </w:p>
        </w:tc>
        <w:tc>
          <w:tcPr>
            <w:tcW w:w="0" w:type="dxa"/>
            <w:vAlign w:val="bottom"/>
          </w:tcPr>
          <w:p>
            <w:pPr>
              <w:spacing w:after="0"/>
              <w:rPr>
                <w:sz w:val="1"/>
                <w:szCs w:val="1"/>
                <w:color w:val="auto"/>
              </w:rPr>
            </w:pPr>
          </w:p>
        </w:tc>
      </w:tr>
      <w:tr>
        <w:trPr>
          <w:trHeight w:val="105"/>
        </w:trPr>
        <w:tc>
          <w:tcPr>
            <w:tcW w:w="60" w:type="dxa"/>
            <w:vAlign w:val="bottom"/>
          </w:tcPr>
          <w:p>
            <w:pPr>
              <w:spacing w:after="0"/>
              <w:rPr>
                <w:sz w:val="9"/>
                <w:szCs w:val="9"/>
                <w:color w:val="auto"/>
              </w:rPr>
            </w:pPr>
          </w:p>
        </w:tc>
        <w:tc>
          <w:tcPr>
            <w:tcW w:w="840" w:type="dxa"/>
            <w:vAlign w:val="bottom"/>
          </w:tcPr>
          <w:p>
            <w:pPr>
              <w:spacing w:after="0"/>
              <w:rPr>
                <w:sz w:val="9"/>
                <w:szCs w:val="9"/>
                <w:color w:val="auto"/>
              </w:rPr>
            </w:pPr>
          </w:p>
        </w:tc>
        <w:tc>
          <w:tcPr>
            <w:tcW w:w="100" w:type="dxa"/>
            <w:vAlign w:val="bottom"/>
          </w:tcPr>
          <w:p>
            <w:pPr>
              <w:spacing w:after="0"/>
              <w:rPr>
                <w:sz w:val="9"/>
                <w:szCs w:val="9"/>
                <w:color w:val="auto"/>
              </w:rPr>
            </w:pPr>
          </w:p>
        </w:tc>
        <w:tc>
          <w:tcPr>
            <w:tcW w:w="880" w:type="dxa"/>
            <w:vAlign w:val="bottom"/>
          </w:tcPr>
          <w:p>
            <w:pPr>
              <w:spacing w:after="0"/>
              <w:rPr>
                <w:sz w:val="9"/>
                <w:szCs w:val="9"/>
                <w:color w:val="auto"/>
              </w:rPr>
            </w:pPr>
          </w:p>
        </w:tc>
        <w:tc>
          <w:tcPr>
            <w:tcW w:w="100" w:type="dxa"/>
            <w:vAlign w:val="bottom"/>
          </w:tcPr>
          <w:p>
            <w:pPr>
              <w:spacing w:after="0"/>
              <w:rPr>
                <w:sz w:val="9"/>
                <w:szCs w:val="9"/>
                <w:color w:val="auto"/>
              </w:rPr>
            </w:pPr>
          </w:p>
        </w:tc>
        <w:tc>
          <w:tcPr>
            <w:tcW w:w="63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19"/>
        </w:trPr>
        <w:tc>
          <w:tcPr>
            <w:tcW w:w="6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340" w:type="dxa"/>
            <w:vAlign w:val="bottom"/>
          </w:tcPr>
          <w:p>
            <w:pPr>
              <w:spacing w:after="0" w:line="119" w:lineRule="exact"/>
              <w:rPr>
                <w:sz w:val="20"/>
                <w:szCs w:val="20"/>
                <w:color w:val="auto"/>
              </w:rPr>
            </w:pPr>
            <w:r>
              <w:rPr>
                <w:rFonts w:ascii="Arial" w:cs="Arial" w:eastAsia="Arial" w:hAnsi="Arial"/>
                <w:sz w:val="11"/>
                <w:szCs w:val="11"/>
                <w:color w:val="auto"/>
                <w:w w:val="99"/>
              </w:rPr>
              <w:t>serviced to a greater portion of loans in higher paying repayment statuses, partially offset by a decrease in the number of servicing</w:t>
            </w:r>
          </w:p>
        </w:tc>
        <w:tc>
          <w:tcPr>
            <w:tcW w:w="0" w:type="dxa"/>
            <w:vAlign w:val="bottom"/>
          </w:tcPr>
          <w:p>
            <w:pPr>
              <w:spacing w:after="0"/>
              <w:rPr>
                <w:sz w:val="1"/>
                <w:szCs w:val="1"/>
                <w:color w:val="auto"/>
              </w:rPr>
            </w:pPr>
          </w:p>
        </w:tc>
      </w:tr>
      <w:tr>
        <w:trPr>
          <w:trHeight w:val="146"/>
        </w:trPr>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840" w:type="dxa"/>
            <w:vAlign w:val="bottom"/>
          </w:tcPr>
          <w:p>
            <w:pPr>
              <w:jc w:val="right"/>
              <w:spacing w:after="0"/>
              <w:rPr>
                <w:sz w:val="20"/>
                <w:szCs w:val="20"/>
                <w:color w:val="auto"/>
              </w:rPr>
            </w:pPr>
            <w:r>
              <w:rPr>
                <w:rFonts w:ascii="Arial" w:cs="Arial" w:eastAsia="Arial" w:hAnsi="Arial"/>
                <w:sz w:val="11"/>
                <w:szCs w:val="11"/>
                <w:color w:val="auto"/>
              </w:rPr>
              <w:t>39,640</w:t>
            </w:r>
          </w:p>
        </w:tc>
        <w:tc>
          <w:tcPr>
            <w:tcW w:w="100" w:type="dxa"/>
            <w:vAlign w:val="bottom"/>
          </w:tcPr>
          <w:p>
            <w:pPr>
              <w:spacing w:after="0"/>
              <w:rPr>
                <w:sz w:val="12"/>
                <w:szCs w:val="12"/>
                <w:color w:val="auto"/>
              </w:rPr>
            </w:pPr>
          </w:p>
        </w:tc>
        <w:tc>
          <w:tcPr>
            <w:tcW w:w="880" w:type="dxa"/>
            <w:vAlign w:val="bottom"/>
          </w:tcPr>
          <w:p>
            <w:pPr>
              <w:jc w:val="right"/>
              <w:spacing w:after="0"/>
              <w:rPr>
                <w:sz w:val="20"/>
                <w:szCs w:val="20"/>
                <w:color w:val="auto"/>
              </w:rPr>
            </w:pPr>
            <w:r>
              <w:rPr>
                <w:rFonts w:ascii="Arial" w:cs="Arial" w:eastAsia="Arial" w:hAnsi="Arial"/>
                <w:sz w:val="11"/>
                <w:szCs w:val="11"/>
                <w:color w:val="auto"/>
              </w:rPr>
              <w:t>39,327</w:t>
            </w:r>
          </w:p>
        </w:tc>
        <w:tc>
          <w:tcPr>
            <w:tcW w:w="100" w:type="dxa"/>
            <w:vAlign w:val="bottom"/>
          </w:tcPr>
          <w:p>
            <w:pPr>
              <w:spacing w:after="0"/>
              <w:rPr>
                <w:sz w:val="12"/>
                <w:szCs w:val="12"/>
                <w:color w:val="auto"/>
              </w:rPr>
            </w:pPr>
          </w:p>
        </w:tc>
        <w:tc>
          <w:tcPr>
            <w:tcW w:w="6340" w:type="dxa"/>
            <w:vAlign w:val="bottom"/>
          </w:tcPr>
          <w:p>
            <w:pPr>
              <w:spacing w:after="0"/>
              <w:rPr>
                <w:sz w:val="20"/>
                <w:szCs w:val="20"/>
                <w:color w:val="auto"/>
              </w:rPr>
            </w:pPr>
            <w:r>
              <w:rPr>
                <w:rFonts w:ascii="Arial" w:cs="Arial" w:eastAsia="Arial" w:hAnsi="Arial"/>
                <w:sz w:val="11"/>
                <w:szCs w:val="11"/>
                <w:color w:val="auto"/>
              </w:rPr>
              <w:t>borrowers.</w:t>
            </w:r>
          </w:p>
        </w:tc>
        <w:tc>
          <w:tcPr>
            <w:tcW w:w="0" w:type="dxa"/>
            <w:vAlign w:val="bottom"/>
          </w:tcPr>
          <w:p>
            <w:pPr>
              <w:spacing w:after="0"/>
              <w:rPr>
                <w:sz w:val="1"/>
                <w:szCs w:val="1"/>
                <w:color w:val="auto"/>
              </w:rPr>
            </w:pPr>
          </w:p>
        </w:tc>
      </w:tr>
      <w:tr>
        <w:trPr>
          <w:trHeight w:val="134"/>
        </w:trPr>
        <w:tc>
          <w:tcPr>
            <w:tcW w:w="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340" w:type="dxa"/>
            <w:vAlign w:val="bottom"/>
          </w:tcPr>
          <w:p>
            <w:pPr>
              <w:spacing w:after="0"/>
              <w:rPr>
                <w:sz w:val="20"/>
                <w:szCs w:val="20"/>
                <w:color w:val="auto"/>
              </w:rPr>
            </w:pPr>
            <w:r>
              <w:rPr>
                <w:rFonts w:ascii="Arial" w:cs="Arial" w:eastAsia="Arial" w:hAnsi="Arial"/>
                <w:sz w:val="11"/>
                <w:szCs w:val="11"/>
                <w:color w:val="auto"/>
                <w:w w:val="96"/>
              </w:rPr>
              <w:t>Represents revenue from the Great Lakes' Department servicing contract from the date of acquisition, February 7, 2018. Increase was</w:t>
            </w:r>
          </w:p>
        </w:tc>
        <w:tc>
          <w:tcPr>
            <w:tcW w:w="0" w:type="dxa"/>
            <w:vAlign w:val="bottom"/>
          </w:tcPr>
          <w:p>
            <w:pPr>
              <w:spacing w:after="0"/>
              <w:rPr>
                <w:sz w:val="1"/>
                <w:szCs w:val="1"/>
                <w:color w:val="auto"/>
              </w:rPr>
            </w:pPr>
          </w:p>
        </w:tc>
      </w:tr>
      <w:tr>
        <w:trPr>
          <w:trHeight w:val="119"/>
        </w:trPr>
        <w:tc>
          <w:tcPr>
            <w:tcW w:w="6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340" w:type="dxa"/>
            <w:vAlign w:val="bottom"/>
          </w:tcPr>
          <w:p>
            <w:pPr>
              <w:spacing w:after="0" w:line="119" w:lineRule="exact"/>
              <w:rPr>
                <w:sz w:val="20"/>
                <w:szCs w:val="20"/>
                <w:color w:val="auto"/>
              </w:rPr>
            </w:pPr>
            <w:r>
              <w:rPr>
                <w:rFonts w:ascii="Arial" w:cs="Arial" w:eastAsia="Arial" w:hAnsi="Arial"/>
                <w:sz w:val="11"/>
                <w:szCs w:val="11"/>
                <w:color w:val="auto"/>
                <w:w w:val="97"/>
              </w:rPr>
              <w:t>due to three months of revenue in the first quarter of 2019 as compared to approximately two months (from the acquisition date) in the</w:t>
            </w:r>
          </w:p>
        </w:tc>
        <w:tc>
          <w:tcPr>
            <w:tcW w:w="0" w:type="dxa"/>
            <w:vAlign w:val="bottom"/>
          </w:tcPr>
          <w:p>
            <w:pPr>
              <w:spacing w:after="0"/>
              <w:rPr>
                <w:sz w:val="1"/>
                <w:szCs w:val="1"/>
                <w:color w:val="auto"/>
              </w:rPr>
            </w:pPr>
          </w:p>
        </w:tc>
      </w:tr>
      <w:tr>
        <w:trPr>
          <w:trHeight w:val="146"/>
        </w:trPr>
        <w:tc>
          <w:tcPr>
            <w:tcW w:w="60" w:type="dxa"/>
            <w:vAlign w:val="bottom"/>
          </w:tcPr>
          <w:p>
            <w:pPr>
              <w:spacing w:after="0"/>
              <w:rPr>
                <w:sz w:val="12"/>
                <w:szCs w:val="12"/>
                <w:color w:val="auto"/>
              </w:rPr>
            </w:pPr>
          </w:p>
        </w:tc>
        <w:tc>
          <w:tcPr>
            <w:tcW w:w="840" w:type="dxa"/>
            <w:vAlign w:val="bottom"/>
          </w:tcPr>
          <w:p>
            <w:pPr>
              <w:jc w:val="right"/>
              <w:spacing w:after="0"/>
              <w:rPr>
                <w:sz w:val="20"/>
                <w:szCs w:val="20"/>
                <w:color w:val="auto"/>
              </w:rPr>
            </w:pPr>
            <w:r>
              <w:rPr>
                <w:rFonts w:ascii="Arial" w:cs="Arial" w:eastAsia="Arial" w:hAnsi="Arial"/>
                <w:sz w:val="11"/>
                <w:szCs w:val="11"/>
                <w:color w:val="auto"/>
              </w:rPr>
              <w:t>47,077</w:t>
            </w:r>
          </w:p>
        </w:tc>
        <w:tc>
          <w:tcPr>
            <w:tcW w:w="100" w:type="dxa"/>
            <w:vAlign w:val="bottom"/>
          </w:tcPr>
          <w:p>
            <w:pPr>
              <w:spacing w:after="0"/>
              <w:rPr>
                <w:sz w:val="12"/>
                <w:szCs w:val="12"/>
                <w:color w:val="auto"/>
              </w:rPr>
            </w:pPr>
          </w:p>
        </w:tc>
        <w:tc>
          <w:tcPr>
            <w:tcW w:w="880" w:type="dxa"/>
            <w:vAlign w:val="bottom"/>
          </w:tcPr>
          <w:p>
            <w:pPr>
              <w:jc w:val="right"/>
              <w:spacing w:after="0"/>
              <w:rPr>
                <w:sz w:val="20"/>
                <w:szCs w:val="20"/>
                <w:color w:val="auto"/>
              </w:rPr>
            </w:pPr>
            <w:r>
              <w:rPr>
                <w:rFonts w:ascii="Arial" w:cs="Arial" w:eastAsia="Arial" w:hAnsi="Arial"/>
                <w:sz w:val="11"/>
                <w:szCs w:val="11"/>
                <w:color w:val="auto"/>
              </w:rPr>
              <w:t>30,754</w:t>
            </w:r>
          </w:p>
        </w:tc>
        <w:tc>
          <w:tcPr>
            <w:tcW w:w="100" w:type="dxa"/>
            <w:vAlign w:val="bottom"/>
          </w:tcPr>
          <w:p>
            <w:pPr>
              <w:spacing w:after="0"/>
              <w:rPr>
                <w:sz w:val="12"/>
                <w:szCs w:val="12"/>
                <w:color w:val="auto"/>
              </w:rPr>
            </w:pPr>
          </w:p>
        </w:tc>
        <w:tc>
          <w:tcPr>
            <w:tcW w:w="6340" w:type="dxa"/>
            <w:vAlign w:val="bottom"/>
          </w:tcPr>
          <w:p>
            <w:pPr>
              <w:spacing w:after="0"/>
              <w:rPr>
                <w:sz w:val="20"/>
                <w:szCs w:val="20"/>
                <w:color w:val="auto"/>
              </w:rPr>
            </w:pPr>
            <w:r>
              <w:rPr>
                <w:rFonts w:ascii="Arial" w:cs="Arial" w:eastAsia="Arial" w:hAnsi="Arial"/>
                <w:sz w:val="11"/>
                <w:szCs w:val="11"/>
                <w:color w:val="auto"/>
              </w:rPr>
              <w:t>first quarter of 2018.</w:t>
            </w:r>
          </w:p>
        </w:tc>
        <w:tc>
          <w:tcPr>
            <w:tcW w:w="0" w:type="dxa"/>
            <w:vAlign w:val="bottom"/>
          </w:tcPr>
          <w:p>
            <w:pPr>
              <w:spacing w:after="0"/>
              <w:rPr>
                <w:sz w:val="1"/>
                <w:szCs w:val="1"/>
                <w:color w:val="auto"/>
              </w:rPr>
            </w:pPr>
          </w:p>
        </w:tc>
      </w:tr>
      <w:tr>
        <w:trPr>
          <w:trHeight w:val="145"/>
        </w:trPr>
        <w:tc>
          <w:tcPr>
            <w:tcW w:w="6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340" w:type="dxa"/>
            <w:vAlign w:val="bottom"/>
          </w:tcPr>
          <w:p>
            <w:pPr>
              <w:spacing w:after="0"/>
              <w:rPr>
                <w:sz w:val="20"/>
                <w:szCs w:val="20"/>
                <w:color w:val="auto"/>
              </w:rPr>
            </w:pPr>
            <w:r>
              <w:rPr>
                <w:rFonts w:ascii="Arial" w:cs="Arial" w:eastAsia="Arial" w:hAnsi="Arial"/>
                <w:sz w:val="11"/>
                <w:szCs w:val="11"/>
                <w:color w:val="auto"/>
                <w:w w:val="99"/>
              </w:rPr>
              <w:t>Excluding $4.6 million in revenue earned in the first quarter of 2018 related to a private loan customer deconverting from the Great</w:t>
            </w:r>
          </w:p>
        </w:tc>
        <w:tc>
          <w:tcPr>
            <w:tcW w:w="0" w:type="dxa"/>
            <w:vAlign w:val="bottom"/>
          </w:tcPr>
          <w:p>
            <w:pPr>
              <w:spacing w:after="0"/>
              <w:rPr>
                <w:sz w:val="1"/>
                <w:szCs w:val="1"/>
                <w:color w:val="auto"/>
              </w:rPr>
            </w:pPr>
          </w:p>
        </w:tc>
      </w:tr>
      <w:tr>
        <w:trPr>
          <w:trHeight w:val="129"/>
        </w:trPr>
        <w:tc>
          <w:tcPr>
            <w:tcW w:w="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340" w:type="dxa"/>
            <w:vAlign w:val="bottom"/>
          </w:tcPr>
          <w:p>
            <w:pPr>
              <w:spacing w:after="0"/>
              <w:rPr>
                <w:sz w:val="20"/>
                <w:szCs w:val="20"/>
                <w:color w:val="auto"/>
              </w:rPr>
            </w:pPr>
            <w:r>
              <w:rPr>
                <w:rFonts w:ascii="Arial" w:cs="Arial" w:eastAsia="Arial" w:hAnsi="Arial"/>
                <w:sz w:val="11"/>
                <w:szCs w:val="11"/>
                <w:color w:val="auto"/>
                <w:w w:val="95"/>
              </w:rPr>
              <w:t>Lakes servicing platform subsequent to the Company’s acquisition of Great Lakes on February 7, 2018, private education and consumer</w:t>
            </w:r>
          </w:p>
        </w:tc>
        <w:tc>
          <w:tcPr>
            <w:tcW w:w="0" w:type="dxa"/>
            <w:vAlign w:val="bottom"/>
          </w:tcPr>
          <w:p>
            <w:pPr>
              <w:spacing w:after="0"/>
              <w:rPr>
                <w:sz w:val="1"/>
                <w:szCs w:val="1"/>
                <w:color w:val="auto"/>
              </w:rPr>
            </w:pPr>
          </w:p>
        </w:tc>
      </w:tr>
      <w:tr>
        <w:trPr>
          <w:trHeight w:val="129"/>
        </w:trPr>
        <w:tc>
          <w:tcPr>
            <w:tcW w:w="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340" w:type="dxa"/>
            <w:vAlign w:val="bottom"/>
          </w:tcPr>
          <w:p>
            <w:pPr>
              <w:spacing w:after="0"/>
              <w:rPr>
                <w:sz w:val="20"/>
                <w:szCs w:val="20"/>
                <w:color w:val="auto"/>
              </w:rPr>
            </w:pPr>
            <w:r>
              <w:rPr>
                <w:rFonts w:ascii="Arial" w:cs="Arial" w:eastAsia="Arial" w:hAnsi="Arial"/>
                <w:sz w:val="11"/>
                <w:szCs w:val="11"/>
                <w:color w:val="auto"/>
                <w:w w:val="98"/>
              </w:rPr>
              <w:t>loan servicing revenue was $9.5 million and $8.5 million during the first quarter of 2019 and 2018, respectively. Increase in servicing</w:t>
            </w:r>
          </w:p>
        </w:tc>
        <w:tc>
          <w:tcPr>
            <w:tcW w:w="0" w:type="dxa"/>
            <w:vAlign w:val="bottom"/>
          </w:tcPr>
          <w:p>
            <w:pPr>
              <w:spacing w:after="0"/>
              <w:rPr>
                <w:sz w:val="1"/>
                <w:szCs w:val="1"/>
                <w:color w:val="auto"/>
              </w:rPr>
            </w:pPr>
          </w:p>
        </w:tc>
      </w:tr>
      <w:tr>
        <w:trPr>
          <w:trHeight w:val="157"/>
        </w:trPr>
        <w:tc>
          <w:tcPr>
            <w:tcW w:w="60" w:type="dxa"/>
            <w:vAlign w:val="bottom"/>
          </w:tcPr>
          <w:p>
            <w:pPr>
              <w:spacing w:after="0"/>
              <w:rPr>
                <w:sz w:val="13"/>
                <w:szCs w:val="13"/>
                <w:color w:val="auto"/>
              </w:rPr>
            </w:pPr>
          </w:p>
        </w:tc>
        <w:tc>
          <w:tcPr>
            <w:tcW w:w="840" w:type="dxa"/>
            <w:vAlign w:val="bottom"/>
          </w:tcPr>
          <w:p>
            <w:pPr>
              <w:jc w:val="right"/>
              <w:spacing w:after="0"/>
              <w:rPr>
                <w:sz w:val="20"/>
                <w:szCs w:val="20"/>
                <w:color w:val="auto"/>
              </w:rPr>
            </w:pPr>
            <w:r>
              <w:rPr>
                <w:rFonts w:ascii="Arial" w:cs="Arial" w:eastAsia="Arial" w:hAnsi="Arial"/>
                <w:sz w:val="11"/>
                <w:szCs w:val="11"/>
                <w:color w:val="auto"/>
              </w:rPr>
              <w:t>9,480</w:t>
            </w:r>
          </w:p>
        </w:tc>
        <w:tc>
          <w:tcPr>
            <w:tcW w:w="100" w:type="dxa"/>
            <w:vAlign w:val="bottom"/>
          </w:tcPr>
          <w:p>
            <w:pPr>
              <w:spacing w:after="0"/>
              <w:rPr>
                <w:sz w:val="13"/>
                <w:szCs w:val="13"/>
                <w:color w:val="auto"/>
              </w:rPr>
            </w:pPr>
          </w:p>
        </w:tc>
        <w:tc>
          <w:tcPr>
            <w:tcW w:w="880" w:type="dxa"/>
            <w:vAlign w:val="bottom"/>
          </w:tcPr>
          <w:p>
            <w:pPr>
              <w:jc w:val="right"/>
              <w:spacing w:after="0"/>
              <w:rPr>
                <w:sz w:val="20"/>
                <w:szCs w:val="20"/>
                <w:color w:val="auto"/>
              </w:rPr>
            </w:pPr>
            <w:r>
              <w:rPr>
                <w:rFonts w:ascii="Arial" w:cs="Arial" w:eastAsia="Arial" w:hAnsi="Arial"/>
                <w:sz w:val="11"/>
                <w:szCs w:val="11"/>
                <w:color w:val="auto"/>
              </w:rPr>
              <w:t>13,101</w:t>
            </w:r>
          </w:p>
        </w:tc>
        <w:tc>
          <w:tcPr>
            <w:tcW w:w="100" w:type="dxa"/>
            <w:vAlign w:val="bottom"/>
          </w:tcPr>
          <w:p>
            <w:pPr>
              <w:spacing w:after="0"/>
              <w:rPr>
                <w:sz w:val="13"/>
                <w:szCs w:val="13"/>
                <w:color w:val="auto"/>
              </w:rPr>
            </w:pPr>
          </w:p>
        </w:tc>
        <w:tc>
          <w:tcPr>
            <w:tcW w:w="6340" w:type="dxa"/>
            <w:vAlign w:val="bottom"/>
          </w:tcPr>
          <w:p>
            <w:pPr>
              <w:spacing w:after="0"/>
              <w:rPr>
                <w:sz w:val="20"/>
                <w:szCs w:val="20"/>
                <w:color w:val="auto"/>
              </w:rPr>
            </w:pPr>
            <w:r>
              <w:rPr>
                <w:rFonts w:ascii="Arial" w:cs="Arial" w:eastAsia="Arial" w:hAnsi="Arial"/>
                <w:sz w:val="11"/>
                <w:szCs w:val="11"/>
                <w:color w:val="auto"/>
              </w:rPr>
              <w:t>revenue was due to the acquisition of Great Lakes and growth in loan servicing volume from existing and new clients.</w:t>
            </w:r>
          </w:p>
        </w:tc>
        <w:tc>
          <w:tcPr>
            <w:tcW w:w="0" w:type="dxa"/>
            <w:vAlign w:val="bottom"/>
          </w:tcPr>
          <w:p>
            <w:pPr>
              <w:spacing w:after="0"/>
              <w:rPr>
                <w:sz w:val="1"/>
                <w:szCs w:val="1"/>
                <w:color w:val="auto"/>
              </w:rPr>
            </w:pPr>
          </w:p>
        </w:tc>
      </w:tr>
      <w:tr>
        <w:trPr>
          <w:trHeight w:val="117"/>
        </w:trPr>
        <w:tc>
          <w:tcPr>
            <w:tcW w:w="60" w:type="dxa"/>
            <w:vAlign w:val="bottom"/>
          </w:tcPr>
          <w:p>
            <w:pPr>
              <w:spacing w:after="0"/>
              <w:rPr>
                <w:sz w:val="10"/>
                <w:szCs w:val="10"/>
                <w:color w:val="auto"/>
              </w:rPr>
            </w:pPr>
          </w:p>
        </w:tc>
        <w:tc>
          <w:tcPr>
            <w:tcW w:w="840" w:type="dxa"/>
            <w:vAlign w:val="bottom"/>
            <w:vMerge w:val="restart"/>
          </w:tcPr>
          <w:p>
            <w:pPr>
              <w:jc w:val="right"/>
              <w:spacing w:after="0"/>
              <w:rPr>
                <w:sz w:val="20"/>
                <w:szCs w:val="20"/>
                <w:color w:val="auto"/>
              </w:rPr>
            </w:pPr>
            <w:r>
              <w:rPr>
                <w:rFonts w:ascii="Arial" w:cs="Arial" w:eastAsia="Arial" w:hAnsi="Arial"/>
                <w:sz w:val="11"/>
                <w:szCs w:val="11"/>
                <w:color w:val="auto"/>
              </w:rPr>
              <w:t>6,695</w:t>
            </w:r>
          </w:p>
        </w:tc>
        <w:tc>
          <w:tcPr>
            <w:tcW w:w="100" w:type="dxa"/>
            <w:vAlign w:val="bottom"/>
          </w:tcPr>
          <w:p>
            <w:pPr>
              <w:spacing w:after="0"/>
              <w:rPr>
                <w:sz w:val="10"/>
                <w:szCs w:val="10"/>
                <w:color w:val="auto"/>
              </w:rPr>
            </w:pPr>
          </w:p>
        </w:tc>
        <w:tc>
          <w:tcPr>
            <w:tcW w:w="880" w:type="dxa"/>
            <w:vAlign w:val="bottom"/>
            <w:vMerge w:val="restart"/>
          </w:tcPr>
          <w:p>
            <w:pPr>
              <w:jc w:val="right"/>
              <w:spacing w:after="0"/>
              <w:rPr>
                <w:sz w:val="20"/>
                <w:szCs w:val="20"/>
                <w:color w:val="auto"/>
              </w:rPr>
            </w:pPr>
            <w:r>
              <w:rPr>
                <w:rFonts w:ascii="Arial" w:cs="Arial" w:eastAsia="Arial" w:hAnsi="Arial"/>
                <w:sz w:val="11"/>
                <w:szCs w:val="11"/>
                <w:color w:val="auto"/>
              </w:rPr>
              <w:t>7,691</w:t>
            </w:r>
          </w:p>
        </w:tc>
        <w:tc>
          <w:tcPr>
            <w:tcW w:w="100" w:type="dxa"/>
            <w:vAlign w:val="bottom"/>
          </w:tcPr>
          <w:p>
            <w:pPr>
              <w:spacing w:after="0"/>
              <w:rPr>
                <w:sz w:val="10"/>
                <w:szCs w:val="10"/>
                <w:color w:val="auto"/>
              </w:rPr>
            </w:pPr>
          </w:p>
        </w:tc>
        <w:tc>
          <w:tcPr>
            <w:tcW w:w="6340" w:type="dxa"/>
            <w:vAlign w:val="bottom"/>
          </w:tcPr>
          <w:p>
            <w:pPr>
              <w:spacing w:after="0" w:line="117" w:lineRule="exact"/>
              <w:rPr>
                <w:sz w:val="20"/>
                <w:szCs w:val="20"/>
                <w:color w:val="auto"/>
              </w:rPr>
            </w:pPr>
            <w:r>
              <w:rPr>
                <w:rFonts w:ascii="Arial" w:cs="Arial" w:eastAsia="Arial" w:hAnsi="Arial"/>
                <w:sz w:val="11"/>
                <w:szCs w:val="11"/>
                <w:color w:val="auto"/>
              </w:rPr>
              <w:t>Decrease was due to portfolio runoff, partially offset by the acquisition of Great Lakes. Over time, FFELP servicing revenue will</w:t>
            </w:r>
          </w:p>
        </w:tc>
        <w:tc>
          <w:tcPr>
            <w:tcW w:w="0" w:type="dxa"/>
            <w:vAlign w:val="bottom"/>
          </w:tcPr>
          <w:p>
            <w:pPr>
              <w:spacing w:after="0"/>
              <w:rPr>
                <w:sz w:val="1"/>
                <w:szCs w:val="1"/>
                <w:color w:val="auto"/>
              </w:rPr>
            </w:pPr>
          </w:p>
        </w:tc>
      </w:tr>
      <w:tr>
        <w:trPr>
          <w:trHeight w:val="146"/>
        </w:trPr>
        <w:tc>
          <w:tcPr>
            <w:tcW w:w="60" w:type="dxa"/>
            <w:vAlign w:val="bottom"/>
          </w:tcPr>
          <w:p>
            <w:pPr>
              <w:spacing w:after="0"/>
              <w:rPr>
                <w:sz w:val="12"/>
                <w:szCs w:val="12"/>
                <w:color w:val="auto"/>
              </w:rPr>
            </w:pPr>
          </w:p>
        </w:tc>
        <w:tc>
          <w:tcPr>
            <w:tcW w:w="84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6340" w:type="dxa"/>
            <w:vAlign w:val="bottom"/>
          </w:tcPr>
          <w:p>
            <w:pPr>
              <w:spacing w:after="0"/>
              <w:rPr>
                <w:sz w:val="20"/>
                <w:szCs w:val="20"/>
                <w:color w:val="auto"/>
              </w:rPr>
            </w:pPr>
            <w:r>
              <w:rPr>
                <w:rFonts w:ascii="Arial" w:cs="Arial" w:eastAsia="Arial" w:hAnsi="Arial"/>
                <w:sz w:val="11"/>
                <w:szCs w:val="11"/>
                <w:color w:val="auto"/>
              </w:rPr>
              <w:t>decrease as third-party customers' FFELP portfolios run off.</w:t>
            </w:r>
          </w:p>
        </w:tc>
        <w:tc>
          <w:tcPr>
            <w:tcW w:w="0" w:type="dxa"/>
            <w:vAlign w:val="bottom"/>
          </w:tcPr>
          <w:p>
            <w:pPr>
              <w:spacing w:after="0"/>
              <w:rPr>
                <w:sz w:val="1"/>
                <w:szCs w:val="1"/>
                <w:color w:val="auto"/>
              </w:rPr>
            </w:pPr>
          </w:p>
        </w:tc>
      </w:tr>
      <w:tr>
        <w:trPr>
          <w:trHeight w:val="129"/>
        </w:trPr>
        <w:tc>
          <w:tcPr>
            <w:tcW w:w="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340" w:type="dxa"/>
            <w:vAlign w:val="bottom"/>
          </w:tcPr>
          <w:p>
            <w:pPr>
              <w:spacing w:after="0"/>
              <w:rPr>
                <w:sz w:val="20"/>
                <w:szCs w:val="20"/>
                <w:color w:val="auto"/>
              </w:rPr>
            </w:pPr>
            <w:r>
              <w:rPr>
                <w:rFonts w:ascii="Arial" w:cs="Arial" w:eastAsia="Arial" w:hAnsi="Arial"/>
                <w:sz w:val="11"/>
                <w:szCs w:val="11"/>
                <w:color w:val="auto"/>
                <w:w w:val="96"/>
              </w:rPr>
              <w:t>Historically, the majority of software services revenue related to providing hosted student loan servicing. As a result of the Great Lakes</w:t>
            </w:r>
          </w:p>
        </w:tc>
        <w:tc>
          <w:tcPr>
            <w:tcW w:w="0" w:type="dxa"/>
            <w:vAlign w:val="bottom"/>
          </w:tcPr>
          <w:p>
            <w:pPr>
              <w:spacing w:after="0"/>
              <w:rPr>
                <w:sz w:val="1"/>
                <w:szCs w:val="1"/>
                <w:color w:val="auto"/>
              </w:rPr>
            </w:pPr>
          </w:p>
        </w:tc>
      </w:tr>
      <w:tr>
        <w:trPr>
          <w:trHeight w:val="119"/>
        </w:trPr>
        <w:tc>
          <w:tcPr>
            <w:tcW w:w="6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340" w:type="dxa"/>
            <w:vAlign w:val="bottom"/>
          </w:tcPr>
          <w:p>
            <w:pPr>
              <w:spacing w:after="0" w:line="119" w:lineRule="exact"/>
              <w:rPr>
                <w:sz w:val="20"/>
                <w:szCs w:val="20"/>
                <w:color w:val="auto"/>
              </w:rPr>
            </w:pPr>
            <w:r>
              <w:rPr>
                <w:rFonts w:ascii="Arial" w:cs="Arial" w:eastAsia="Arial" w:hAnsi="Arial"/>
                <w:sz w:val="11"/>
                <w:szCs w:val="11"/>
                <w:color w:val="auto"/>
                <w:w w:val="97"/>
              </w:rPr>
              <w:t>acquisition, LSS added a significant unrelated third-party FFELP guaranty hosted servicing customer. Increase in 2019 was due to an</w:t>
            </w:r>
          </w:p>
        </w:tc>
        <w:tc>
          <w:tcPr>
            <w:tcW w:w="0" w:type="dxa"/>
            <w:vAlign w:val="bottom"/>
          </w:tcPr>
          <w:p>
            <w:pPr>
              <w:spacing w:after="0"/>
              <w:rPr>
                <w:sz w:val="1"/>
                <w:szCs w:val="1"/>
                <w:color w:val="auto"/>
              </w:rPr>
            </w:pPr>
          </w:p>
        </w:tc>
      </w:tr>
      <w:tr>
        <w:trPr>
          <w:trHeight w:val="119"/>
        </w:trPr>
        <w:tc>
          <w:tcPr>
            <w:tcW w:w="6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340" w:type="dxa"/>
            <w:vAlign w:val="bottom"/>
          </w:tcPr>
          <w:p>
            <w:pPr>
              <w:spacing w:after="0" w:line="119" w:lineRule="exact"/>
              <w:rPr>
                <w:sz w:val="20"/>
                <w:szCs w:val="20"/>
                <w:color w:val="auto"/>
              </w:rPr>
            </w:pPr>
            <w:r>
              <w:rPr>
                <w:rFonts w:ascii="Arial" w:cs="Arial" w:eastAsia="Arial" w:hAnsi="Arial"/>
                <w:sz w:val="11"/>
                <w:szCs w:val="11"/>
                <w:color w:val="auto"/>
                <w:w w:val="95"/>
              </w:rPr>
              <w:t>increase in hosted student loan servicing volume and providing hosted guaranty servicing to the new guaranty servicing customer as the</w:t>
            </w:r>
          </w:p>
        </w:tc>
        <w:tc>
          <w:tcPr>
            <w:tcW w:w="0" w:type="dxa"/>
            <w:vAlign w:val="bottom"/>
          </w:tcPr>
          <w:p>
            <w:pPr>
              <w:spacing w:after="0"/>
              <w:rPr>
                <w:sz w:val="1"/>
                <w:szCs w:val="1"/>
                <w:color w:val="auto"/>
              </w:rPr>
            </w:pPr>
          </w:p>
        </w:tc>
      </w:tr>
      <w:tr>
        <w:trPr>
          <w:trHeight w:val="146"/>
        </w:trPr>
        <w:tc>
          <w:tcPr>
            <w:tcW w:w="60" w:type="dxa"/>
            <w:vAlign w:val="bottom"/>
          </w:tcPr>
          <w:p>
            <w:pPr>
              <w:spacing w:after="0"/>
              <w:rPr>
                <w:sz w:val="12"/>
                <w:szCs w:val="12"/>
                <w:color w:val="auto"/>
              </w:rPr>
            </w:pPr>
          </w:p>
        </w:tc>
        <w:tc>
          <w:tcPr>
            <w:tcW w:w="840" w:type="dxa"/>
            <w:vAlign w:val="bottom"/>
          </w:tcPr>
          <w:p>
            <w:pPr>
              <w:jc w:val="right"/>
              <w:spacing w:after="0"/>
              <w:rPr>
                <w:sz w:val="20"/>
                <w:szCs w:val="20"/>
                <w:color w:val="auto"/>
              </w:rPr>
            </w:pPr>
            <w:r>
              <w:rPr>
                <w:rFonts w:ascii="Arial" w:cs="Arial" w:eastAsia="Arial" w:hAnsi="Arial"/>
                <w:sz w:val="11"/>
                <w:szCs w:val="11"/>
                <w:color w:val="auto"/>
              </w:rPr>
              <w:t>9,741</w:t>
            </w:r>
          </w:p>
        </w:tc>
        <w:tc>
          <w:tcPr>
            <w:tcW w:w="100" w:type="dxa"/>
            <w:vAlign w:val="bottom"/>
          </w:tcPr>
          <w:p>
            <w:pPr>
              <w:spacing w:after="0"/>
              <w:rPr>
                <w:sz w:val="12"/>
                <w:szCs w:val="12"/>
                <w:color w:val="auto"/>
              </w:rPr>
            </w:pPr>
          </w:p>
        </w:tc>
        <w:tc>
          <w:tcPr>
            <w:tcW w:w="880" w:type="dxa"/>
            <w:vAlign w:val="bottom"/>
          </w:tcPr>
          <w:p>
            <w:pPr>
              <w:jc w:val="right"/>
              <w:spacing w:after="0"/>
              <w:rPr>
                <w:sz w:val="20"/>
                <w:szCs w:val="20"/>
                <w:color w:val="auto"/>
              </w:rPr>
            </w:pPr>
            <w:r>
              <w:rPr>
                <w:rFonts w:ascii="Arial" w:cs="Arial" w:eastAsia="Arial" w:hAnsi="Arial"/>
                <w:sz w:val="11"/>
                <w:szCs w:val="11"/>
                <w:color w:val="auto"/>
              </w:rPr>
              <w:t>7,589</w:t>
            </w:r>
          </w:p>
        </w:tc>
        <w:tc>
          <w:tcPr>
            <w:tcW w:w="100" w:type="dxa"/>
            <w:vAlign w:val="bottom"/>
          </w:tcPr>
          <w:p>
            <w:pPr>
              <w:spacing w:after="0"/>
              <w:rPr>
                <w:sz w:val="12"/>
                <w:szCs w:val="12"/>
                <w:color w:val="auto"/>
              </w:rPr>
            </w:pPr>
          </w:p>
        </w:tc>
        <w:tc>
          <w:tcPr>
            <w:tcW w:w="6340" w:type="dxa"/>
            <w:vAlign w:val="bottom"/>
          </w:tcPr>
          <w:p>
            <w:pPr>
              <w:spacing w:after="0"/>
              <w:rPr>
                <w:sz w:val="20"/>
                <w:szCs w:val="20"/>
                <w:color w:val="auto"/>
              </w:rPr>
            </w:pPr>
            <w:r>
              <w:rPr>
                <w:rFonts w:ascii="Arial" w:cs="Arial" w:eastAsia="Arial" w:hAnsi="Arial"/>
                <w:sz w:val="11"/>
                <w:szCs w:val="11"/>
                <w:color w:val="auto"/>
              </w:rPr>
              <w:t>result of the acquisition of Great Lakes.</w:t>
            </w:r>
          </w:p>
        </w:tc>
        <w:tc>
          <w:tcPr>
            <w:tcW w:w="0" w:type="dxa"/>
            <w:vAlign w:val="bottom"/>
          </w:tcPr>
          <w:p>
            <w:pPr>
              <w:spacing w:after="0"/>
              <w:rPr>
                <w:sz w:val="1"/>
                <w:szCs w:val="1"/>
                <w:color w:val="auto"/>
              </w:rPr>
            </w:pPr>
          </w:p>
        </w:tc>
      </w:tr>
      <w:tr>
        <w:trPr>
          <w:trHeight w:val="134"/>
        </w:trPr>
        <w:tc>
          <w:tcPr>
            <w:tcW w:w="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340" w:type="dxa"/>
            <w:vAlign w:val="bottom"/>
          </w:tcPr>
          <w:p>
            <w:pPr>
              <w:spacing w:after="0"/>
              <w:rPr>
                <w:sz w:val="20"/>
                <w:szCs w:val="20"/>
                <w:color w:val="auto"/>
              </w:rPr>
            </w:pPr>
            <w:r>
              <w:rPr>
                <w:rFonts w:ascii="Arial" w:cs="Arial" w:eastAsia="Arial" w:hAnsi="Arial"/>
                <w:sz w:val="11"/>
                <w:szCs w:val="11"/>
                <w:color w:val="auto"/>
                <w:w w:val="95"/>
              </w:rPr>
              <w:t>The majority of this revenue relates to providing contact center outsourcing activities. Increase in revenue was due to the addition of new</w:t>
            </w:r>
          </w:p>
        </w:tc>
        <w:tc>
          <w:tcPr>
            <w:tcW w:w="0" w:type="dxa"/>
            <w:vAlign w:val="bottom"/>
          </w:tcPr>
          <w:p>
            <w:pPr>
              <w:spacing w:after="0"/>
              <w:rPr>
                <w:sz w:val="1"/>
                <w:szCs w:val="1"/>
                <w:color w:val="auto"/>
              </w:rPr>
            </w:pPr>
          </w:p>
        </w:tc>
      </w:tr>
      <w:tr>
        <w:trPr>
          <w:trHeight w:val="151"/>
        </w:trPr>
        <w:tc>
          <w:tcPr>
            <w:tcW w:w="6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2,265</w:t>
            </w:r>
          </w:p>
        </w:tc>
        <w:tc>
          <w:tcPr>
            <w:tcW w:w="100" w:type="dxa"/>
            <w:vAlign w:val="bottom"/>
          </w:tcPr>
          <w:p>
            <w:pPr>
              <w:spacing w:after="0"/>
              <w:rPr>
                <w:sz w:val="13"/>
                <w:szCs w:val="13"/>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1,679</w:t>
            </w:r>
          </w:p>
        </w:tc>
        <w:tc>
          <w:tcPr>
            <w:tcW w:w="100" w:type="dxa"/>
            <w:vAlign w:val="bottom"/>
          </w:tcPr>
          <w:p>
            <w:pPr>
              <w:spacing w:after="0"/>
              <w:rPr>
                <w:sz w:val="13"/>
                <w:szCs w:val="13"/>
                <w:color w:val="auto"/>
              </w:rPr>
            </w:pPr>
          </w:p>
        </w:tc>
        <w:tc>
          <w:tcPr>
            <w:tcW w:w="6340" w:type="dxa"/>
            <w:vAlign w:val="bottom"/>
          </w:tcPr>
          <w:p>
            <w:pPr>
              <w:spacing w:after="0"/>
              <w:rPr>
                <w:sz w:val="20"/>
                <w:szCs w:val="20"/>
                <w:color w:val="auto"/>
              </w:rPr>
            </w:pPr>
            <w:r>
              <w:rPr>
                <w:rFonts w:ascii="Arial" w:cs="Arial" w:eastAsia="Arial" w:hAnsi="Arial"/>
                <w:sz w:val="11"/>
                <w:szCs w:val="11"/>
                <w:color w:val="auto"/>
              </w:rPr>
              <w:t>clients and growth of services offered to existing clients.</w:t>
            </w:r>
          </w:p>
        </w:tc>
        <w:tc>
          <w:tcPr>
            <w:tcW w:w="0" w:type="dxa"/>
            <w:vAlign w:val="bottom"/>
          </w:tcPr>
          <w:p>
            <w:pPr>
              <w:spacing w:after="0"/>
              <w:rPr>
                <w:sz w:val="1"/>
                <w:szCs w:val="1"/>
                <w:color w:val="auto"/>
              </w:rPr>
            </w:pPr>
          </w:p>
        </w:tc>
      </w:tr>
      <w:tr>
        <w:trPr>
          <w:trHeight w:val="152"/>
        </w:trPr>
        <w:tc>
          <w:tcPr>
            <w:tcW w:w="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114,898</w:t>
            </w:r>
          </w:p>
        </w:tc>
        <w:tc>
          <w:tcPr>
            <w:tcW w:w="100" w:type="dxa"/>
            <w:vAlign w:val="bottom"/>
          </w:tcPr>
          <w:p>
            <w:pPr>
              <w:spacing w:after="0"/>
              <w:rPr>
                <w:sz w:val="13"/>
                <w:szCs w:val="13"/>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100,141</w:t>
            </w:r>
          </w:p>
        </w:tc>
        <w:tc>
          <w:tcPr>
            <w:tcW w:w="100" w:type="dxa"/>
            <w:vAlign w:val="bottom"/>
          </w:tcPr>
          <w:p>
            <w:pPr>
              <w:spacing w:after="0"/>
              <w:rPr>
                <w:sz w:val="13"/>
                <w:szCs w:val="13"/>
                <w:color w:val="auto"/>
              </w:rPr>
            </w:pPr>
          </w:p>
        </w:tc>
        <w:tc>
          <w:tcPr>
            <w:tcW w:w="63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3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-1989455</wp:posOffset>
            </wp:positionH>
            <wp:positionV relativeFrom="paragraph">
              <wp:posOffset>-1669415</wp:posOffset>
            </wp:positionV>
            <wp:extent cx="7267575" cy="25336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67575" cy="253365"/>
                    </a:xfrm>
                    <a:prstGeom prst="rect">
                      <a:avLst/>
                    </a:prstGeom>
                    <a:noFill/>
                  </pic:spPr>
                </pic:pic>
              </a:graphicData>
            </a:graphic>
          </wp:anchor>
        </w:drawing>
        <w:drawing>
          <wp:anchor simplePos="0" relativeHeight="251657728" behindDoc="1" locked="0" layoutInCell="0" allowOverlap="1">
            <wp:simplePos x="0" y="0"/>
            <wp:positionH relativeFrom="column">
              <wp:posOffset>-1989455</wp:posOffset>
            </wp:positionH>
            <wp:positionV relativeFrom="paragraph">
              <wp:posOffset>-1162685</wp:posOffset>
            </wp:positionV>
            <wp:extent cx="7267575" cy="35560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67575" cy="355600"/>
                    </a:xfrm>
                    <a:prstGeom prst="rect">
                      <a:avLst/>
                    </a:prstGeom>
                    <a:noFill/>
                  </pic:spPr>
                </pic:pic>
              </a:graphicData>
            </a:graphic>
          </wp:anchor>
        </w:drawing>
        <w:drawing>
          <wp:anchor simplePos="0" relativeHeight="251657728" behindDoc="1" locked="0" layoutInCell="0" allowOverlap="1">
            <wp:simplePos x="0" y="0"/>
            <wp:positionH relativeFrom="column">
              <wp:posOffset>-1989455</wp:posOffset>
            </wp:positionH>
            <wp:positionV relativeFrom="paragraph">
              <wp:posOffset>-642620</wp:posOffset>
            </wp:positionV>
            <wp:extent cx="7267575" cy="32829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67575" cy="328295"/>
                    </a:xfrm>
                    <a:prstGeom prst="rect">
                      <a:avLst/>
                    </a:prstGeom>
                    <a:noFill/>
                  </pic:spPr>
                </pic:pic>
              </a:graphicData>
            </a:graphic>
          </wp:anchor>
        </w:drawing>
        <w:drawing>
          <wp:anchor simplePos="0" relativeHeight="251657728" behindDoc="1" locked="0" layoutInCell="0" allowOverlap="1">
            <wp:simplePos x="0" y="0"/>
            <wp:positionH relativeFrom="column">
              <wp:posOffset>-1989455</wp:posOffset>
            </wp:positionH>
            <wp:positionV relativeFrom="paragraph">
              <wp:posOffset>-136525</wp:posOffset>
            </wp:positionV>
            <wp:extent cx="7267575" cy="1231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67575" cy="1231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ind w:left="2520"/>
        <w:spacing w:after="0"/>
        <w:rPr>
          <w:sz w:val="20"/>
          <w:szCs w:val="20"/>
          <w:color w:val="auto"/>
        </w:rPr>
      </w:pPr>
      <w:r>
        <w:rPr>
          <w:rFonts w:ascii="Arial" w:cs="Arial" w:eastAsia="Arial" w:hAnsi="Arial"/>
          <w:sz w:val="14"/>
          <w:szCs w:val="14"/>
          <w:color w:val="auto"/>
        </w:rPr>
        <w:t>38</w:t>
      </w:r>
    </w:p>
    <w:p>
      <w:pPr>
        <w:sectPr>
          <w:pgSz w:w="11900" w:h="16838" w:orient="portrait"/>
          <w:cols w:equalWidth="0" w:num="2">
            <w:col w:w="2460" w:space="700"/>
            <w:col w:w="8320"/>
          </w:cols>
          <w:pgMar w:left="200" w:top="743" w:right="219" w:bottom="1440" w:gutter="0" w:footer="0" w:header="0"/>
        </w:sectPr>
      </w:pPr>
    </w:p>
    <w:bookmarkStart w:id="39" w:name="page40"/>
    <w:bookmarkEnd w:id="39"/>
    <w:p>
      <w:pPr>
        <w:spacing w:after="0"/>
        <w:rPr>
          <w:sz w:val="20"/>
          <w:szCs w:val="20"/>
          <w:color w:val="auto"/>
        </w:rPr>
      </w:pPr>
      <w:r>
        <w:rPr>
          <w:rFonts w:ascii="Arial" w:cs="Arial" w:eastAsia="Arial" w:hAnsi="Arial"/>
          <w:sz w:val="14"/>
          <w:szCs w:val="14"/>
          <w:b w:val="1"/>
          <w:bCs w:val="1"/>
          <w:color w:val="auto"/>
        </w:rPr>
        <w:t>EDUCATION TECHNOLOGY, SERVICES, AND PAYMENT PROCESSING OPERATING SEGMENT – RESULTS OF OPERATIONS</w:t>
      </w:r>
    </w:p>
    <w:p>
      <w:pPr>
        <w:spacing w:after="0" w:line="145" w:lineRule="exact"/>
        <w:rPr>
          <w:sz w:val="20"/>
          <w:szCs w:val="20"/>
          <w:color w:val="auto"/>
        </w:rPr>
      </w:pPr>
    </w:p>
    <w:p>
      <w:pPr>
        <w:spacing w:after="0"/>
        <w:rPr>
          <w:sz w:val="20"/>
          <w:szCs w:val="20"/>
          <w:color w:val="auto"/>
        </w:rPr>
      </w:pPr>
      <w:r>
        <w:rPr>
          <w:rFonts w:ascii="Arial" w:cs="Arial" w:eastAsia="Arial" w:hAnsi="Arial"/>
          <w:sz w:val="13"/>
          <w:szCs w:val="13"/>
          <w:color w:val="auto"/>
        </w:rPr>
        <w:t>As discussed further in the Company's 2018 Annual Report, this segment of the Company’s business is subject to seasonal fluctuations which correspond, or are related to, the traditional school year.</w:t>
      </w:r>
    </w:p>
    <w:p>
      <w:pPr>
        <w:spacing w:after="0" w:line="32" w:lineRule="exact"/>
        <w:rPr>
          <w:sz w:val="20"/>
          <w:szCs w:val="20"/>
          <w:color w:val="auto"/>
        </w:rPr>
      </w:pPr>
    </w:p>
    <w:p>
      <w:pPr>
        <w:spacing w:after="0"/>
        <w:rPr>
          <w:sz w:val="20"/>
          <w:szCs w:val="20"/>
          <w:color w:val="auto"/>
        </w:rPr>
      </w:pPr>
      <w:r>
        <w:rPr>
          <w:rFonts w:ascii="Arial" w:cs="Arial" w:eastAsia="Arial" w:hAnsi="Arial"/>
          <w:sz w:val="13"/>
          <w:szCs w:val="13"/>
          <w:color w:val="auto"/>
        </w:rPr>
        <w:t>Based on the timing of revenue recognition and when expenses are incurred, revenue and pre-tax operating margin are higher in the first quarter as compared to the remainder of the year.</w:t>
      </w:r>
    </w:p>
    <w:p>
      <w:pPr>
        <w:spacing w:after="0" w:line="143" w:lineRule="exact"/>
        <w:rPr>
          <w:sz w:val="20"/>
          <w:szCs w:val="20"/>
          <w:color w:val="auto"/>
        </w:rPr>
      </w:pPr>
    </w:p>
    <w:p>
      <w:pPr>
        <w:jc w:val="both"/>
        <w:spacing w:after="0" w:line="272" w:lineRule="auto"/>
        <w:rPr>
          <w:sz w:val="20"/>
          <w:szCs w:val="20"/>
          <w:color w:val="auto"/>
        </w:rPr>
      </w:pPr>
      <w:r>
        <w:rPr>
          <w:rFonts w:ascii="Arial" w:cs="Arial" w:eastAsia="Arial" w:hAnsi="Arial"/>
          <w:sz w:val="14"/>
          <w:szCs w:val="14"/>
          <w:color w:val="auto"/>
        </w:rPr>
        <w:t>On November 20, 2018, the Company acquired TMS, a services company that offers tuition payment plans, billing services, payment technology solutions, and refund management to educational institutions. The TMS acquisition added 380 higher education schools and 170 K-12 schools to the Company’s customer base. The results of TMS’ operations are reported in the Company’s consolidated financial statements from the date of acquisition.</w:t>
      </w:r>
    </w:p>
    <w:p>
      <w:pPr>
        <w:spacing w:after="0" w:line="99" w:lineRule="exact"/>
        <w:rPr>
          <w:sz w:val="20"/>
          <w:szCs w:val="20"/>
          <w:color w:val="auto"/>
        </w:rPr>
      </w:pPr>
    </w:p>
    <w:p>
      <w:pPr>
        <w:spacing w:after="0"/>
        <w:rPr>
          <w:sz w:val="20"/>
          <w:szCs w:val="20"/>
          <w:color w:val="auto"/>
        </w:rPr>
      </w:pPr>
      <w:r>
        <w:rPr>
          <w:rFonts w:ascii="Arial" w:cs="Arial" w:eastAsia="Arial" w:hAnsi="Arial"/>
          <w:sz w:val="14"/>
          <w:szCs w:val="14"/>
          <w:b w:val="1"/>
          <w:bCs w:val="1"/>
          <w:i w:val="1"/>
          <w:iCs w:val="1"/>
          <w:color w:val="auto"/>
        </w:rPr>
        <w:t>Summary and Comparison of Operating Results</w:t>
      </w:r>
    </w:p>
    <w:p>
      <w:pPr>
        <w:spacing w:after="0" w:line="91" w:lineRule="exact"/>
        <w:rPr>
          <w:sz w:val="20"/>
          <w:szCs w:val="20"/>
          <w:color w:val="auto"/>
        </w:rPr>
      </w:pPr>
    </w:p>
    <w:tbl>
      <w:tblPr>
        <w:tblLayout w:type="fixed"/>
        <w:tblInd w:w="20" w:type="dxa"/>
        <w:tblCellMar>
          <w:top w:w="0" w:type="dxa"/>
          <w:left w:w="0" w:type="dxa"/>
          <w:bottom w:w="0" w:type="dxa"/>
          <w:right w:w="0" w:type="dxa"/>
        </w:tblCellMar>
      </w:tblPr>
      <w:tr>
        <w:trPr>
          <w:trHeight w:val="153"/>
        </w:trPr>
        <w:tc>
          <w:tcPr>
            <w:tcW w:w="368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1720" w:type="dxa"/>
            <w:vAlign w:val="bottom"/>
            <w:tcBorders>
              <w:bottom w:val="single" w:sz="8" w:color="auto"/>
            </w:tcBorders>
            <w:gridSpan w:val="3"/>
          </w:tcPr>
          <w:p>
            <w:pPr>
              <w:jc w:val="right"/>
              <w:ind w:right="83"/>
              <w:spacing w:after="0"/>
              <w:rPr>
                <w:sz w:val="20"/>
                <w:szCs w:val="20"/>
                <w:color w:val="auto"/>
              </w:rPr>
            </w:pPr>
            <w:r>
              <w:rPr>
                <w:rFonts w:ascii="Arial" w:cs="Arial" w:eastAsia="Arial" w:hAnsi="Arial"/>
                <w:sz w:val="11"/>
                <w:szCs w:val="11"/>
                <w:b w:val="1"/>
                <w:bCs w:val="1"/>
                <w:color w:val="auto"/>
                <w:w w:val="96"/>
              </w:rPr>
              <w:t>Three months ended March 31,</w:t>
            </w:r>
          </w:p>
        </w:tc>
        <w:tc>
          <w:tcPr>
            <w:tcW w:w="80" w:type="dxa"/>
            <w:vAlign w:val="bottom"/>
          </w:tcPr>
          <w:p>
            <w:pPr>
              <w:spacing w:after="0"/>
              <w:rPr>
                <w:sz w:val="13"/>
                <w:szCs w:val="13"/>
                <w:color w:val="auto"/>
              </w:rPr>
            </w:pPr>
          </w:p>
        </w:tc>
        <w:tc>
          <w:tcPr>
            <w:tcW w:w="5880" w:type="dxa"/>
            <w:vAlign w:val="bottom"/>
            <w:tcBorders>
              <w:bottom w:val="single" w:sz="8" w:color="auto"/>
            </w:tcBorders>
          </w:tcPr>
          <w:p>
            <w:pPr>
              <w:ind w:left="2380"/>
              <w:spacing w:after="0"/>
              <w:rPr>
                <w:sz w:val="20"/>
                <w:szCs w:val="20"/>
                <w:color w:val="auto"/>
              </w:rPr>
            </w:pPr>
            <w:r>
              <w:rPr>
                <w:rFonts w:ascii="Arial" w:cs="Arial" w:eastAsia="Arial" w:hAnsi="Arial"/>
                <w:sz w:val="11"/>
                <w:szCs w:val="11"/>
                <w:b w:val="1"/>
                <w:bCs w:val="1"/>
                <w:color w:val="auto"/>
              </w:rPr>
              <w:t>Additional information</w:t>
            </w:r>
          </w:p>
        </w:tc>
        <w:tc>
          <w:tcPr>
            <w:tcW w:w="0" w:type="dxa"/>
            <w:vAlign w:val="bottom"/>
          </w:tcPr>
          <w:p>
            <w:pPr>
              <w:spacing w:after="0"/>
              <w:rPr>
                <w:sz w:val="1"/>
                <w:szCs w:val="1"/>
                <w:color w:val="auto"/>
              </w:rPr>
            </w:pPr>
          </w:p>
        </w:tc>
      </w:tr>
      <w:tr>
        <w:trPr>
          <w:trHeight w:val="152"/>
        </w:trPr>
        <w:tc>
          <w:tcPr>
            <w:tcW w:w="3680" w:type="dxa"/>
            <w:vAlign w:val="bottom"/>
            <w:tcBorders>
              <w:bottom w:val="single" w:sz="8" w:color="CCEEFF"/>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760" w:type="dxa"/>
            <w:vAlign w:val="bottom"/>
            <w:tcBorders>
              <w:bottom w:val="single" w:sz="8" w:color="auto"/>
            </w:tcBorders>
          </w:tcPr>
          <w:p>
            <w:pPr>
              <w:jc w:val="right"/>
              <w:ind w:right="263"/>
              <w:spacing w:after="0"/>
              <w:rPr>
                <w:sz w:val="20"/>
                <w:szCs w:val="20"/>
                <w:color w:val="auto"/>
              </w:rPr>
            </w:pPr>
            <w:r>
              <w:rPr>
                <w:rFonts w:ascii="Arial" w:cs="Arial" w:eastAsia="Arial" w:hAnsi="Arial"/>
                <w:sz w:val="11"/>
                <w:szCs w:val="11"/>
                <w:b w:val="1"/>
                <w:bCs w:val="1"/>
                <w:color w:val="auto"/>
              </w:rPr>
              <w:t>2019</w:t>
            </w:r>
          </w:p>
        </w:tc>
        <w:tc>
          <w:tcPr>
            <w:tcW w:w="100" w:type="dxa"/>
            <w:vAlign w:val="bottom"/>
            <w:tcBorders>
              <w:bottom w:val="single" w:sz="8" w:color="CCEEFF"/>
            </w:tcBorders>
          </w:tcPr>
          <w:p>
            <w:pPr>
              <w:spacing w:after="0"/>
              <w:rPr>
                <w:sz w:val="13"/>
                <w:szCs w:val="13"/>
                <w:color w:val="auto"/>
              </w:rPr>
            </w:pPr>
          </w:p>
        </w:tc>
        <w:tc>
          <w:tcPr>
            <w:tcW w:w="860" w:type="dxa"/>
            <w:vAlign w:val="bottom"/>
            <w:tcBorders>
              <w:bottom w:val="single" w:sz="8" w:color="auto"/>
            </w:tcBorders>
          </w:tcPr>
          <w:p>
            <w:pPr>
              <w:jc w:val="right"/>
              <w:ind w:right="263"/>
              <w:spacing w:after="0"/>
              <w:rPr>
                <w:sz w:val="20"/>
                <w:szCs w:val="20"/>
                <w:color w:val="auto"/>
              </w:rPr>
            </w:pPr>
            <w:r>
              <w:rPr>
                <w:rFonts w:ascii="Arial" w:cs="Arial" w:eastAsia="Arial" w:hAnsi="Arial"/>
                <w:sz w:val="11"/>
                <w:szCs w:val="11"/>
                <w:b w:val="1"/>
                <w:bCs w:val="1"/>
                <w:color w:val="auto"/>
              </w:rPr>
              <w:t>2018</w:t>
            </w:r>
          </w:p>
        </w:tc>
        <w:tc>
          <w:tcPr>
            <w:tcW w:w="80" w:type="dxa"/>
            <w:vAlign w:val="bottom"/>
            <w:tcBorders>
              <w:bottom w:val="single" w:sz="8" w:color="CCEEFF"/>
            </w:tcBorders>
          </w:tcPr>
          <w:p>
            <w:pPr>
              <w:spacing w:after="0"/>
              <w:rPr>
                <w:sz w:val="13"/>
                <w:szCs w:val="13"/>
                <w:color w:val="auto"/>
              </w:rPr>
            </w:pPr>
          </w:p>
        </w:tc>
        <w:tc>
          <w:tcPr>
            <w:tcW w:w="5880" w:type="dxa"/>
            <w:vAlign w:val="bottom"/>
            <w:tcBorders>
              <w:bottom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09"/>
        </w:trPr>
        <w:tc>
          <w:tcPr>
            <w:tcW w:w="368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76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86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5880" w:type="dxa"/>
            <w:vAlign w:val="bottom"/>
            <w:shd w:val="clear" w:color="auto" w:fill="CCEEFF"/>
          </w:tcPr>
          <w:p>
            <w:pPr>
              <w:ind w:left="20"/>
              <w:spacing w:after="0" w:line="110" w:lineRule="exact"/>
              <w:rPr>
                <w:sz w:val="20"/>
                <w:szCs w:val="20"/>
                <w:color w:val="auto"/>
              </w:rPr>
            </w:pPr>
            <w:r>
              <w:rPr>
                <w:rFonts w:ascii="Arial" w:cs="Arial" w:eastAsia="Arial" w:hAnsi="Arial"/>
                <w:sz w:val="11"/>
                <w:szCs w:val="11"/>
                <w:color w:val="auto"/>
                <w:w w:val="95"/>
              </w:rPr>
              <w:t>Increase was due to additional interest earnings on cash deposits due to a higher balance of cash deposits and higher interest</w:t>
            </w:r>
          </w:p>
        </w:tc>
        <w:tc>
          <w:tcPr>
            <w:tcW w:w="0" w:type="dxa"/>
            <w:vAlign w:val="bottom"/>
          </w:tcPr>
          <w:p>
            <w:pPr>
              <w:spacing w:after="0"/>
              <w:rPr>
                <w:sz w:val="1"/>
                <w:szCs w:val="1"/>
                <w:color w:val="auto"/>
              </w:rPr>
            </w:pPr>
          </w:p>
        </w:tc>
      </w:tr>
      <w:tr>
        <w:trPr>
          <w:trHeight w:val="151"/>
        </w:trPr>
        <w:tc>
          <w:tcPr>
            <w:tcW w:w="3680" w:type="dxa"/>
            <w:vAlign w:val="bottom"/>
            <w:shd w:val="clear" w:color="auto" w:fill="CCEEFF"/>
          </w:tcPr>
          <w:p>
            <w:pPr>
              <w:spacing w:after="0"/>
              <w:rPr>
                <w:sz w:val="20"/>
                <w:szCs w:val="20"/>
                <w:color w:val="auto"/>
              </w:rPr>
            </w:pPr>
            <w:r>
              <w:rPr>
                <w:rFonts w:ascii="Arial" w:cs="Arial" w:eastAsia="Arial" w:hAnsi="Arial"/>
                <w:sz w:val="11"/>
                <w:szCs w:val="11"/>
                <w:color w:val="auto"/>
              </w:rPr>
              <w:t>Net interest income</w:t>
            </w: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rPr>
              <w:t>2,009</w:t>
            </w:r>
          </w:p>
        </w:tc>
        <w:tc>
          <w:tcPr>
            <w:tcW w:w="100" w:type="dxa"/>
            <w:vAlign w:val="bottom"/>
            <w:shd w:val="clear" w:color="auto" w:fill="CCEEFF"/>
          </w:tcPr>
          <w:p>
            <w:pPr>
              <w:spacing w:after="0"/>
              <w:rPr>
                <w:sz w:val="13"/>
                <w:szCs w:val="13"/>
                <w:color w:val="auto"/>
              </w:rPr>
            </w:pPr>
          </w:p>
        </w:tc>
        <w:tc>
          <w:tcPr>
            <w:tcW w:w="860" w:type="dxa"/>
            <w:vAlign w:val="bottom"/>
            <w:tcBorders>
              <w:bottom w:val="single" w:sz="8" w:color="auto"/>
            </w:tcBorders>
            <w:shd w:val="clear" w:color="auto" w:fill="CCEEFF"/>
          </w:tcPr>
          <w:p>
            <w:pPr>
              <w:jc w:val="right"/>
              <w:ind w:right="3"/>
              <w:spacing w:after="0"/>
              <w:rPr>
                <w:sz w:val="20"/>
                <w:szCs w:val="20"/>
                <w:color w:val="auto"/>
              </w:rPr>
            </w:pPr>
            <w:r>
              <w:rPr>
                <w:rFonts w:ascii="Arial" w:cs="Arial" w:eastAsia="Arial" w:hAnsi="Arial"/>
                <w:sz w:val="11"/>
                <w:szCs w:val="11"/>
                <w:color w:val="auto"/>
              </w:rPr>
              <w:t>665</w:t>
            </w:r>
          </w:p>
        </w:tc>
        <w:tc>
          <w:tcPr>
            <w:tcW w:w="80" w:type="dxa"/>
            <w:vAlign w:val="bottom"/>
            <w:shd w:val="clear" w:color="auto" w:fill="CCEEFF"/>
          </w:tcPr>
          <w:p>
            <w:pPr>
              <w:spacing w:after="0"/>
              <w:rPr>
                <w:sz w:val="13"/>
                <w:szCs w:val="13"/>
                <w:color w:val="auto"/>
              </w:rPr>
            </w:pPr>
          </w:p>
        </w:tc>
        <w:tc>
          <w:tcPr>
            <w:tcW w:w="5880" w:type="dxa"/>
            <w:vAlign w:val="bottom"/>
            <w:shd w:val="clear" w:color="auto" w:fill="CCEEFF"/>
          </w:tcPr>
          <w:p>
            <w:pPr>
              <w:ind w:left="20"/>
              <w:spacing w:after="0"/>
              <w:rPr>
                <w:sz w:val="20"/>
                <w:szCs w:val="20"/>
                <w:color w:val="auto"/>
              </w:rPr>
            </w:pPr>
            <w:r>
              <w:rPr>
                <w:rFonts w:ascii="Arial" w:cs="Arial" w:eastAsia="Arial" w:hAnsi="Arial"/>
                <w:sz w:val="11"/>
                <w:szCs w:val="11"/>
                <w:color w:val="auto"/>
              </w:rPr>
              <w:t>rates in 2019 as compared to 2018.</w:t>
            </w:r>
          </w:p>
        </w:tc>
        <w:tc>
          <w:tcPr>
            <w:tcW w:w="0" w:type="dxa"/>
            <w:vAlign w:val="bottom"/>
          </w:tcPr>
          <w:p>
            <w:pPr>
              <w:spacing w:after="0"/>
              <w:rPr>
                <w:sz w:val="1"/>
                <w:szCs w:val="1"/>
                <w:color w:val="auto"/>
              </w:rPr>
            </w:pPr>
          </w:p>
        </w:tc>
      </w:tr>
      <w:tr>
        <w:trPr>
          <w:trHeight w:val="152"/>
        </w:trPr>
        <w:tc>
          <w:tcPr>
            <w:tcW w:w="3680" w:type="dxa"/>
            <w:vAlign w:val="bottom"/>
            <w:tcBorders>
              <w:bottom w:val="single" w:sz="8" w:color="CCEEFF"/>
            </w:tcBorders>
          </w:tcPr>
          <w:p>
            <w:pPr>
              <w:spacing w:after="0"/>
              <w:rPr>
                <w:sz w:val="20"/>
                <w:szCs w:val="20"/>
                <w:color w:val="auto"/>
              </w:rPr>
            </w:pPr>
            <w:r>
              <w:rPr>
                <w:rFonts w:ascii="Arial" w:cs="Arial" w:eastAsia="Arial" w:hAnsi="Arial"/>
                <w:sz w:val="11"/>
                <w:szCs w:val="11"/>
                <w:color w:val="auto"/>
              </w:rPr>
              <w:t>Education technology, services, and payment processing revenue</w:t>
            </w:r>
          </w:p>
        </w:tc>
        <w:tc>
          <w:tcPr>
            <w:tcW w:w="80" w:type="dxa"/>
            <w:vAlign w:val="bottom"/>
            <w:tcBorders>
              <w:bottom w:val="single" w:sz="8" w:color="auto"/>
            </w:tcBorders>
          </w:tcPr>
          <w:p>
            <w:pPr>
              <w:spacing w:after="0"/>
              <w:rPr>
                <w:sz w:val="13"/>
                <w:szCs w:val="13"/>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79,159</w:t>
            </w:r>
          </w:p>
        </w:tc>
        <w:tc>
          <w:tcPr>
            <w:tcW w:w="100" w:type="dxa"/>
            <w:vAlign w:val="bottom"/>
            <w:tcBorders>
              <w:bottom w:val="single" w:sz="8" w:color="CCEEFF"/>
            </w:tcBorders>
          </w:tcPr>
          <w:p>
            <w:pPr>
              <w:spacing w:after="0"/>
              <w:rPr>
                <w:sz w:val="13"/>
                <w:szCs w:val="13"/>
                <w:color w:val="auto"/>
              </w:rPr>
            </w:pPr>
          </w:p>
        </w:tc>
        <w:tc>
          <w:tcPr>
            <w:tcW w:w="860" w:type="dxa"/>
            <w:vAlign w:val="bottom"/>
            <w:tcBorders>
              <w:bottom w:val="single" w:sz="8" w:color="auto"/>
            </w:tcBorders>
          </w:tcPr>
          <w:p>
            <w:pPr>
              <w:jc w:val="right"/>
              <w:ind w:right="3"/>
              <w:spacing w:after="0"/>
              <w:rPr>
                <w:sz w:val="20"/>
                <w:szCs w:val="20"/>
                <w:color w:val="auto"/>
              </w:rPr>
            </w:pPr>
            <w:r>
              <w:rPr>
                <w:rFonts w:ascii="Arial" w:cs="Arial" w:eastAsia="Arial" w:hAnsi="Arial"/>
                <w:sz w:val="11"/>
                <w:szCs w:val="11"/>
                <w:color w:val="auto"/>
              </w:rPr>
              <w:t>60,221</w:t>
            </w:r>
          </w:p>
        </w:tc>
        <w:tc>
          <w:tcPr>
            <w:tcW w:w="80" w:type="dxa"/>
            <w:vAlign w:val="bottom"/>
            <w:tcBorders>
              <w:bottom w:val="single" w:sz="8" w:color="CCEEFF"/>
            </w:tcBorders>
          </w:tcPr>
          <w:p>
            <w:pPr>
              <w:spacing w:after="0"/>
              <w:rPr>
                <w:sz w:val="13"/>
                <w:szCs w:val="13"/>
                <w:color w:val="auto"/>
              </w:rPr>
            </w:pPr>
          </w:p>
        </w:tc>
        <w:tc>
          <w:tcPr>
            <w:tcW w:w="5880" w:type="dxa"/>
            <w:vAlign w:val="bottom"/>
            <w:tcBorders>
              <w:bottom w:val="single" w:sz="8" w:color="CCEEFF"/>
            </w:tcBorders>
          </w:tcPr>
          <w:p>
            <w:pPr>
              <w:ind w:left="20"/>
              <w:spacing w:after="0"/>
              <w:rPr>
                <w:sz w:val="20"/>
                <w:szCs w:val="20"/>
                <w:color w:val="auto"/>
              </w:rPr>
            </w:pPr>
            <w:r>
              <w:rPr>
                <w:rFonts w:ascii="Arial" w:cs="Arial" w:eastAsia="Arial" w:hAnsi="Arial"/>
                <w:sz w:val="11"/>
                <w:szCs w:val="11"/>
                <w:color w:val="auto"/>
              </w:rPr>
              <w:t>See table below for additional information.</w:t>
            </w:r>
          </w:p>
        </w:tc>
        <w:tc>
          <w:tcPr>
            <w:tcW w:w="0" w:type="dxa"/>
            <w:vAlign w:val="bottom"/>
          </w:tcPr>
          <w:p>
            <w:pPr>
              <w:spacing w:after="0"/>
              <w:rPr>
                <w:sz w:val="1"/>
                <w:szCs w:val="1"/>
                <w:color w:val="auto"/>
              </w:rPr>
            </w:pPr>
          </w:p>
        </w:tc>
      </w:tr>
      <w:tr>
        <w:trPr>
          <w:trHeight w:val="92"/>
        </w:trPr>
        <w:tc>
          <w:tcPr>
            <w:tcW w:w="3680" w:type="dxa"/>
            <w:vAlign w:val="bottom"/>
            <w:shd w:val="clear" w:color="auto" w:fill="CCEEFF"/>
          </w:tcPr>
          <w:p>
            <w:pPr>
              <w:spacing w:after="0" w:line="92" w:lineRule="exact"/>
              <w:rPr>
                <w:sz w:val="20"/>
                <w:szCs w:val="20"/>
                <w:color w:val="auto"/>
              </w:rPr>
            </w:pPr>
            <w:r>
              <w:rPr>
                <w:rFonts w:ascii="Arial" w:cs="Arial" w:eastAsia="Arial" w:hAnsi="Arial"/>
                <w:sz w:val="10"/>
                <w:szCs w:val="10"/>
                <w:color w:val="auto"/>
              </w:rPr>
              <w:t>Cost to provide education technology, services, and payment processing</w:t>
            </w:r>
          </w:p>
        </w:tc>
        <w:tc>
          <w:tcPr>
            <w:tcW w:w="80" w:type="dxa"/>
            <w:vAlign w:val="bottom"/>
            <w:shd w:val="clear" w:color="auto" w:fill="CCEEFF"/>
          </w:tcPr>
          <w:p>
            <w:pPr>
              <w:spacing w:after="0"/>
              <w:rPr>
                <w:sz w:val="8"/>
                <w:szCs w:val="8"/>
                <w:color w:val="auto"/>
              </w:rPr>
            </w:pPr>
          </w:p>
        </w:tc>
        <w:tc>
          <w:tcPr>
            <w:tcW w:w="760" w:type="dxa"/>
            <w:vAlign w:val="bottom"/>
            <w:vMerge w:val="restart"/>
            <w:shd w:val="clear" w:color="auto" w:fill="CCEEFF"/>
          </w:tcPr>
          <w:p>
            <w:pPr>
              <w:jc w:val="right"/>
              <w:spacing w:after="0"/>
              <w:rPr>
                <w:sz w:val="20"/>
                <w:szCs w:val="20"/>
                <w:color w:val="auto"/>
              </w:rPr>
            </w:pPr>
            <w:r>
              <w:rPr>
                <w:rFonts w:ascii="Arial" w:cs="Arial" w:eastAsia="Arial" w:hAnsi="Arial"/>
                <w:sz w:val="11"/>
                <w:szCs w:val="11"/>
                <w:color w:val="auto"/>
              </w:rPr>
              <w:t>21,059</w:t>
            </w:r>
          </w:p>
        </w:tc>
        <w:tc>
          <w:tcPr>
            <w:tcW w:w="100" w:type="dxa"/>
            <w:vAlign w:val="bottom"/>
            <w:shd w:val="clear" w:color="auto" w:fill="CCEEFF"/>
          </w:tcPr>
          <w:p>
            <w:pPr>
              <w:spacing w:after="0"/>
              <w:rPr>
                <w:sz w:val="8"/>
                <w:szCs w:val="8"/>
                <w:color w:val="auto"/>
              </w:rPr>
            </w:pPr>
          </w:p>
        </w:tc>
        <w:tc>
          <w:tcPr>
            <w:tcW w:w="860" w:type="dxa"/>
            <w:vAlign w:val="bottom"/>
            <w:vMerge w:val="restart"/>
            <w:shd w:val="clear" w:color="auto" w:fill="CCEEFF"/>
          </w:tcPr>
          <w:p>
            <w:pPr>
              <w:jc w:val="right"/>
              <w:ind w:right="3"/>
              <w:spacing w:after="0"/>
              <w:rPr>
                <w:sz w:val="20"/>
                <w:szCs w:val="20"/>
                <w:color w:val="auto"/>
              </w:rPr>
            </w:pPr>
            <w:r>
              <w:rPr>
                <w:rFonts w:ascii="Arial" w:cs="Arial" w:eastAsia="Arial" w:hAnsi="Arial"/>
                <w:sz w:val="11"/>
                <w:szCs w:val="11"/>
                <w:color w:val="auto"/>
              </w:rPr>
              <w:t>13,683</w:t>
            </w:r>
          </w:p>
        </w:tc>
        <w:tc>
          <w:tcPr>
            <w:tcW w:w="80" w:type="dxa"/>
            <w:vAlign w:val="bottom"/>
            <w:shd w:val="clear" w:color="auto" w:fill="CCEEFF"/>
          </w:tcPr>
          <w:p>
            <w:pPr>
              <w:spacing w:after="0"/>
              <w:rPr>
                <w:sz w:val="8"/>
                <w:szCs w:val="8"/>
                <w:color w:val="auto"/>
              </w:rPr>
            </w:pPr>
          </w:p>
        </w:tc>
        <w:tc>
          <w:tcPr>
            <w:tcW w:w="5880" w:type="dxa"/>
            <w:vAlign w:val="bottom"/>
            <w:vMerge w:val="restart"/>
            <w:shd w:val="clear" w:color="auto" w:fill="CCEEFF"/>
          </w:tcPr>
          <w:p>
            <w:pPr>
              <w:ind w:left="20"/>
              <w:spacing w:after="0"/>
              <w:rPr>
                <w:sz w:val="20"/>
                <w:szCs w:val="20"/>
                <w:color w:val="auto"/>
              </w:rPr>
            </w:pPr>
            <w:r>
              <w:rPr>
                <w:rFonts w:ascii="Arial" w:cs="Arial" w:eastAsia="Arial" w:hAnsi="Arial"/>
                <w:sz w:val="11"/>
                <w:szCs w:val="11"/>
                <w:color w:val="auto"/>
              </w:rPr>
              <w:t>See table below for additional information.</w:t>
            </w:r>
          </w:p>
        </w:tc>
        <w:tc>
          <w:tcPr>
            <w:tcW w:w="0" w:type="dxa"/>
            <w:vAlign w:val="bottom"/>
          </w:tcPr>
          <w:p>
            <w:pPr>
              <w:spacing w:after="0"/>
              <w:rPr>
                <w:sz w:val="1"/>
                <w:szCs w:val="1"/>
                <w:color w:val="auto"/>
              </w:rPr>
            </w:pPr>
          </w:p>
        </w:tc>
      </w:tr>
      <w:tr>
        <w:trPr>
          <w:trHeight w:val="151"/>
        </w:trPr>
        <w:tc>
          <w:tcPr>
            <w:tcW w:w="3680" w:type="dxa"/>
            <w:vAlign w:val="bottom"/>
            <w:shd w:val="clear" w:color="auto" w:fill="CCEEFF"/>
          </w:tcPr>
          <w:p>
            <w:pPr>
              <w:ind w:left="200"/>
              <w:spacing w:after="0"/>
              <w:rPr>
                <w:sz w:val="20"/>
                <w:szCs w:val="20"/>
                <w:color w:val="auto"/>
              </w:rPr>
            </w:pPr>
            <w:r>
              <w:rPr>
                <w:rFonts w:ascii="Arial" w:cs="Arial" w:eastAsia="Arial" w:hAnsi="Arial"/>
                <w:sz w:val="11"/>
                <w:szCs w:val="11"/>
                <w:color w:val="auto"/>
              </w:rPr>
              <w:t>services</w:t>
            </w:r>
          </w:p>
        </w:tc>
        <w:tc>
          <w:tcPr>
            <w:tcW w:w="80" w:type="dxa"/>
            <w:vAlign w:val="bottom"/>
            <w:tcBorders>
              <w:bottom w:val="single" w:sz="8" w:color="auto"/>
            </w:tcBorders>
            <w:shd w:val="clear" w:color="auto" w:fill="CCEEFF"/>
          </w:tcPr>
          <w:p>
            <w:pPr>
              <w:spacing w:after="0"/>
              <w:rPr>
                <w:sz w:val="13"/>
                <w:szCs w:val="13"/>
                <w:color w:val="auto"/>
              </w:rPr>
            </w:pPr>
          </w:p>
        </w:tc>
        <w:tc>
          <w:tcPr>
            <w:tcW w:w="760" w:type="dxa"/>
            <w:vAlign w:val="bottom"/>
            <w:tcBorders>
              <w:bottom w:val="single" w:sz="8" w:color="auto"/>
            </w:tcBorders>
            <w:vMerge w:val="continue"/>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860" w:type="dxa"/>
            <w:vAlign w:val="bottom"/>
            <w:tcBorders>
              <w:bottom w:val="single" w:sz="8" w:color="auto"/>
            </w:tcBorders>
            <w:vMerge w:val="continue"/>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880" w:type="dxa"/>
            <w:vAlign w:val="bottom"/>
            <w:vMerge w:val="continue"/>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05"/>
        </w:trPr>
        <w:tc>
          <w:tcPr>
            <w:tcW w:w="3680" w:type="dxa"/>
            <w:vAlign w:val="bottom"/>
          </w:tcPr>
          <w:p>
            <w:pPr>
              <w:spacing w:after="0"/>
              <w:rPr>
                <w:sz w:val="9"/>
                <w:szCs w:val="9"/>
                <w:color w:val="auto"/>
              </w:rPr>
            </w:pPr>
          </w:p>
        </w:tc>
        <w:tc>
          <w:tcPr>
            <w:tcW w:w="80" w:type="dxa"/>
            <w:vAlign w:val="bottom"/>
          </w:tcPr>
          <w:p>
            <w:pPr>
              <w:spacing w:after="0"/>
              <w:rPr>
                <w:sz w:val="9"/>
                <w:szCs w:val="9"/>
                <w:color w:val="auto"/>
              </w:rPr>
            </w:pPr>
          </w:p>
        </w:tc>
        <w:tc>
          <w:tcPr>
            <w:tcW w:w="760" w:type="dxa"/>
            <w:vAlign w:val="bottom"/>
          </w:tcPr>
          <w:p>
            <w:pPr>
              <w:spacing w:after="0"/>
              <w:rPr>
                <w:sz w:val="9"/>
                <w:szCs w:val="9"/>
                <w:color w:val="auto"/>
              </w:rPr>
            </w:pPr>
          </w:p>
        </w:tc>
        <w:tc>
          <w:tcPr>
            <w:tcW w:w="100" w:type="dxa"/>
            <w:vAlign w:val="bottom"/>
          </w:tcPr>
          <w:p>
            <w:pPr>
              <w:spacing w:after="0"/>
              <w:rPr>
                <w:sz w:val="9"/>
                <w:szCs w:val="9"/>
                <w:color w:val="auto"/>
              </w:rPr>
            </w:pPr>
          </w:p>
        </w:tc>
        <w:tc>
          <w:tcPr>
            <w:tcW w:w="860" w:type="dxa"/>
            <w:vAlign w:val="bottom"/>
          </w:tcPr>
          <w:p>
            <w:pPr>
              <w:spacing w:after="0"/>
              <w:rPr>
                <w:sz w:val="9"/>
                <w:szCs w:val="9"/>
                <w:color w:val="auto"/>
              </w:rPr>
            </w:pPr>
          </w:p>
        </w:tc>
        <w:tc>
          <w:tcPr>
            <w:tcW w:w="80" w:type="dxa"/>
            <w:vAlign w:val="bottom"/>
          </w:tcPr>
          <w:p>
            <w:pPr>
              <w:spacing w:after="0"/>
              <w:rPr>
                <w:sz w:val="9"/>
                <w:szCs w:val="9"/>
                <w:color w:val="auto"/>
              </w:rPr>
            </w:pPr>
          </w:p>
        </w:tc>
        <w:tc>
          <w:tcPr>
            <w:tcW w:w="5880" w:type="dxa"/>
            <w:vAlign w:val="bottom"/>
          </w:tcPr>
          <w:p>
            <w:pPr>
              <w:ind w:left="20"/>
              <w:spacing w:after="0" w:line="105" w:lineRule="exact"/>
              <w:rPr>
                <w:sz w:val="20"/>
                <w:szCs w:val="20"/>
                <w:color w:val="auto"/>
              </w:rPr>
            </w:pPr>
            <w:r>
              <w:rPr>
                <w:rFonts w:ascii="Arial" w:cs="Arial" w:eastAsia="Arial" w:hAnsi="Arial"/>
                <w:sz w:val="11"/>
                <w:szCs w:val="11"/>
                <w:color w:val="auto"/>
                <w:w w:val="98"/>
              </w:rPr>
              <w:t>Increase was due to the acquisition of TMS along with additional personnel to support the increase in services provided to</w:t>
            </w:r>
          </w:p>
        </w:tc>
        <w:tc>
          <w:tcPr>
            <w:tcW w:w="0" w:type="dxa"/>
            <w:vAlign w:val="bottom"/>
          </w:tcPr>
          <w:p>
            <w:pPr>
              <w:spacing w:after="0"/>
              <w:rPr>
                <w:sz w:val="1"/>
                <w:szCs w:val="1"/>
                <w:color w:val="auto"/>
              </w:rPr>
            </w:pPr>
          </w:p>
        </w:tc>
      </w:tr>
      <w:tr>
        <w:trPr>
          <w:trHeight w:val="119"/>
        </w:trPr>
        <w:tc>
          <w:tcPr>
            <w:tcW w:w="36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80" w:type="dxa"/>
            <w:vAlign w:val="bottom"/>
          </w:tcPr>
          <w:p>
            <w:pPr>
              <w:ind w:left="20"/>
              <w:spacing w:after="0" w:line="119" w:lineRule="exact"/>
              <w:rPr>
                <w:sz w:val="20"/>
                <w:szCs w:val="20"/>
                <w:color w:val="auto"/>
              </w:rPr>
            </w:pPr>
            <w:r>
              <w:rPr>
                <w:rFonts w:ascii="Arial" w:cs="Arial" w:eastAsia="Arial" w:hAnsi="Arial"/>
                <w:sz w:val="11"/>
                <w:szCs w:val="11"/>
                <w:color w:val="auto"/>
                <w:w w:val="96"/>
              </w:rPr>
              <w:t>customers, partially offset by cost reductions due to the Company's decision in October 2018 to terminate its investment in a</w:t>
            </w:r>
          </w:p>
        </w:tc>
        <w:tc>
          <w:tcPr>
            <w:tcW w:w="0" w:type="dxa"/>
            <w:vAlign w:val="bottom"/>
          </w:tcPr>
          <w:p>
            <w:pPr>
              <w:spacing w:after="0"/>
              <w:rPr>
                <w:sz w:val="1"/>
                <w:szCs w:val="1"/>
                <w:color w:val="auto"/>
              </w:rPr>
            </w:pPr>
          </w:p>
        </w:tc>
      </w:tr>
      <w:tr>
        <w:trPr>
          <w:trHeight w:val="151"/>
        </w:trPr>
        <w:tc>
          <w:tcPr>
            <w:tcW w:w="3680" w:type="dxa"/>
            <w:vAlign w:val="bottom"/>
          </w:tcPr>
          <w:p>
            <w:pPr>
              <w:spacing w:after="0"/>
              <w:rPr>
                <w:sz w:val="20"/>
                <w:szCs w:val="20"/>
                <w:color w:val="auto"/>
              </w:rPr>
            </w:pPr>
            <w:r>
              <w:rPr>
                <w:rFonts w:ascii="Arial" w:cs="Arial" w:eastAsia="Arial" w:hAnsi="Arial"/>
                <w:sz w:val="11"/>
                <w:szCs w:val="11"/>
                <w:color w:val="auto"/>
              </w:rPr>
              <w:t>Salaries and benefits</w:t>
            </w:r>
          </w:p>
        </w:tc>
        <w:tc>
          <w:tcPr>
            <w:tcW w:w="80" w:type="dxa"/>
            <w:vAlign w:val="bottom"/>
          </w:tcPr>
          <w:p>
            <w:pPr>
              <w:spacing w:after="0"/>
              <w:rPr>
                <w:sz w:val="13"/>
                <w:szCs w:val="13"/>
                <w:color w:val="auto"/>
              </w:rPr>
            </w:pPr>
          </w:p>
        </w:tc>
        <w:tc>
          <w:tcPr>
            <w:tcW w:w="760" w:type="dxa"/>
            <w:vAlign w:val="bottom"/>
          </w:tcPr>
          <w:p>
            <w:pPr>
              <w:jc w:val="right"/>
              <w:spacing w:after="0"/>
              <w:rPr>
                <w:sz w:val="20"/>
                <w:szCs w:val="20"/>
                <w:color w:val="auto"/>
              </w:rPr>
            </w:pPr>
            <w:r>
              <w:rPr>
                <w:rFonts w:ascii="Arial" w:cs="Arial" w:eastAsia="Arial" w:hAnsi="Arial"/>
                <w:sz w:val="11"/>
                <w:szCs w:val="11"/>
                <w:color w:val="auto"/>
              </w:rPr>
              <w:t>23,008</w:t>
            </w:r>
          </w:p>
        </w:tc>
        <w:tc>
          <w:tcPr>
            <w:tcW w:w="100" w:type="dxa"/>
            <w:vAlign w:val="bottom"/>
          </w:tcPr>
          <w:p>
            <w:pPr>
              <w:spacing w:after="0"/>
              <w:rPr>
                <w:sz w:val="13"/>
                <w:szCs w:val="13"/>
                <w:color w:val="auto"/>
              </w:rPr>
            </w:pPr>
          </w:p>
        </w:tc>
        <w:tc>
          <w:tcPr>
            <w:tcW w:w="860" w:type="dxa"/>
            <w:vAlign w:val="bottom"/>
          </w:tcPr>
          <w:p>
            <w:pPr>
              <w:jc w:val="right"/>
              <w:ind w:right="3"/>
              <w:spacing w:after="0"/>
              <w:rPr>
                <w:sz w:val="20"/>
                <w:szCs w:val="20"/>
                <w:color w:val="auto"/>
              </w:rPr>
            </w:pPr>
            <w:r>
              <w:rPr>
                <w:rFonts w:ascii="Arial" w:cs="Arial" w:eastAsia="Arial" w:hAnsi="Arial"/>
                <w:sz w:val="11"/>
                <w:szCs w:val="11"/>
                <w:color w:val="auto"/>
              </w:rPr>
              <w:t>19,067</w:t>
            </w:r>
          </w:p>
        </w:tc>
        <w:tc>
          <w:tcPr>
            <w:tcW w:w="80" w:type="dxa"/>
            <w:vAlign w:val="bottom"/>
          </w:tcPr>
          <w:p>
            <w:pPr>
              <w:spacing w:after="0"/>
              <w:rPr>
                <w:sz w:val="13"/>
                <w:szCs w:val="13"/>
                <w:color w:val="auto"/>
              </w:rPr>
            </w:pPr>
          </w:p>
        </w:tc>
        <w:tc>
          <w:tcPr>
            <w:tcW w:w="5880" w:type="dxa"/>
            <w:vAlign w:val="bottom"/>
          </w:tcPr>
          <w:p>
            <w:pPr>
              <w:ind w:left="20"/>
              <w:spacing w:after="0"/>
              <w:rPr>
                <w:sz w:val="20"/>
                <w:szCs w:val="20"/>
                <w:color w:val="auto"/>
              </w:rPr>
            </w:pPr>
            <w:r>
              <w:rPr>
                <w:rFonts w:ascii="Arial" w:cs="Arial" w:eastAsia="Arial" w:hAnsi="Arial"/>
                <w:sz w:val="11"/>
                <w:szCs w:val="11"/>
                <w:color w:val="auto"/>
              </w:rPr>
              <w:t>proprietary payment processing platform.</w:t>
            </w:r>
          </w:p>
        </w:tc>
        <w:tc>
          <w:tcPr>
            <w:tcW w:w="0" w:type="dxa"/>
            <w:vAlign w:val="bottom"/>
          </w:tcPr>
          <w:p>
            <w:pPr>
              <w:spacing w:after="0"/>
              <w:rPr>
                <w:sz w:val="1"/>
                <w:szCs w:val="1"/>
                <w:color w:val="auto"/>
              </w:rPr>
            </w:pPr>
          </w:p>
        </w:tc>
      </w:tr>
      <w:tr>
        <w:trPr>
          <w:trHeight w:val="129"/>
        </w:trPr>
        <w:tc>
          <w:tcPr>
            <w:tcW w:w="36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880" w:type="dxa"/>
            <w:vAlign w:val="bottom"/>
            <w:shd w:val="clear" w:color="auto" w:fill="CCEEFF"/>
          </w:tcPr>
          <w:p>
            <w:pPr>
              <w:ind w:left="20"/>
              <w:spacing w:after="0"/>
              <w:rPr>
                <w:sz w:val="20"/>
                <w:szCs w:val="20"/>
                <w:color w:val="auto"/>
              </w:rPr>
            </w:pPr>
            <w:r>
              <w:rPr>
                <w:rFonts w:ascii="Arial" w:cs="Arial" w:eastAsia="Arial" w:hAnsi="Arial"/>
                <w:sz w:val="11"/>
                <w:szCs w:val="11"/>
                <w:color w:val="auto"/>
                <w:w w:val="95"/>
              </w:rPr>
              <w:t>Amortization of intangible assets related to business acquisitions was $3.3 million and $2.8 million for the three months ended</w:t>
            </w:r>
          </w:p>
        </w:tc>
        <w:tc>
          <w:tcPr>
            <w:tcW w:w="0" w:type="dxa"/>
            <w:vAlign w:val="bottom"/>
          </w:tcPr>
          <w:p>
            <w:pPr>
              <w:spacing w:after="0"/>
              <w:rPr>
                <w:sz w:val="1"/>
                <w:szCs w:val="1"/>
                <w:color w:val="auto"/>
              </w:rPr>
            </w:pPr>
          </w:p>
        </w:tc>
      </w:tr>
      <w:tr>
        <w:trPr>
          <w:trHeight w:val="155"/>
        </w:trPr>
        <w:tc>
          <w:tcPr>
            <w:tcW w:w="3680" w:type="dxa"/>
            <w:vAlign w:val="bottom"/>
            <w:shd w:val="clear" w:color="auto" w:fill="CCEEFF"/>
          </w:tcPr>
          <w:p>
            <w:pPr>
              <w:spacing w:after="0"/>
              <w:rPr>
                <w:sz w:val="20"/>
                <w:szCs w:val="20"/>
                <w:color w:val="auto"/>
              </w:rPr>
            </w:pPr>
            <w:r>
              <w:rPr>
                <w:rFonts w:ascii="Arial" w:cs="Arial" w:eastAsia="Arial" w:hAnsi="Arial"/>
                <w:sz w:val="11"/>
                <w:szCs w:val="11"/>
                <w:color w:val="auto"/>
              </w:rPr>
              <w:t>Depreciation and amortization</w:t>
            </w:r>
          </w:p>
        </w:tc>
        <w:tc>
          <w:tcPr>
            <w:tcW w:w="80" w:type="dxa"/>
            <w:vAlign w:val="bottom"/>
            <w:shd w:val="clear" w:color="auto" w:fill="CCEEFF"/>
          </w:tcPr>
          <w:p>
            <w:pPr>
              <w:spacing w:after="0"/>
              <w:rPr>
                <w:sz w:val="13"/>
                <w:szCs w:val="13"/>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3,510</w:t>
            </w:r>
          </w:p>
        </w:tc>
        <w:tc>
          <w:tcPr>
            <w:tcW w:w="100" w:type="dxa"/>
            <w:vAlign w:val="bottom"/>
            <w:shd w:val="clear" w:color="auto" w:fill="CCEEFF"/>
          </w:tcPr>
          <w:p>
            <w:pPr>
              <w:spacing w:after="0"/>
              <w:rPr>
                <w:sz w:val="13"/>
                <w:szCs w:val="13"/>
                <w:color w:val="auto"/>
              </w:rPr>
            </w:pPr>
          </w:p>
        </w:tc>
        <w:tc>
          <w:tcPr>
            <w:tcW w:w="860" w:type="dxa"/>
            <w:vAlign w:val="bottom"/>
            <w:shd w:val="clear" w:color="auto" w:fill="CCEEFF"/>
          </w:tcPr>
          <w:p>
            <w:pPr>
              <w:jc w:val="right"/>
              <w:ind w:right="3"/>
              <w:spacing w:after="0"/>
              <w:rPr>
                <w:sz w:val="20"/>
                <w:szCs w:val="20"/>
                <w:color w:val="auto"/>
              </w:rPr>
            </w:pPr>
            <w:r>
              <w:rPr>
                <w:rFonts w:ascii="Arial" w:cs="Arial" w:eastAsia="Arial" w:hAnsi="Arial"/>
                <w:sz w:val="11"/>
                <w:szCs w:val="11"/>
                <w:color w:val="auto"/>
              </w:rPr>
              <w:t>3,341</w:t>
            </w:r>
          </w:p>
        </w:tc>
        <w:tc>
          <w:tcPr>
            <w:tcW w:w="80" w:type="dxa"/>
            <w:vAlign w:val="bottom"/>
            <w:shd w:val="clear" w:color="auto" w:fill="CCEEFF"/>
          </w:tcPr>
          <w:p>
            <w:pPr>
              <w:spacing w:after="0"/>
              <w:rPr>
                <w:sz w:val="13"/>
                <w:szCs w:val="13"/>
                <w:color w:val="auto"/>
              </w:rPr>
            </w:pPr>
          </w:p>
        </w:tc>
        <w:tc>
          <w:tcPr>
            <w:tcW w:w="5880" w:type="dxa"/>
            <w:vAlign w:val="bottom"/>
            <w:shd w:val="clear" w:color="auto" w:fill="CCEEFF"/>
          </w:tcPr>
          <w:p>
            <w:pPr>
              <w:ind w:left="20"/>
              <w:spacing w:after="0"/>
              <w:rPr>
                <w:sz w:val="20"/>
                <w:szCs w:val="20"/>
                <w:color w:val="auto"/>
              </w:rPr>
            </w:pPr>
            <w:r>
              <w:rPr>
                <w:rFonts w:ascii="Arial" w:cs="Arial" w:eastAsia="Arial" w:hAnsi="Arial"/>
                <w:sz w:val="11"/>
                <w:szCs w:val="11"/>
                <w:color w:val="auto"/>
              </w:rPr>
              <w:t>March 31, 2019 and 2018, respectively.</w:t>
            </w:r>
          </w:p>
        </w:tc>
        <w:tc>
          <w:tcPr>
            <w:tcW w:w="0" w:type="dxa"/>
            <w:vAlign w:val="bottom"/>
          </w:tcPr>
          <w:p>
            <w:pPr>
              <w:spacing w:after="0"/>
              <w:rPr>
                <w:sz w:val="1"/>
                <w:szCs w:val="1"/>
                <w:color w:val="auto"/>
              </w:rPr>
            </w:pPr>
          </w:p>
        </w:tc>
      </w:tr>
      <w:tr>
        <w:trPr>
          <w:trHeight w:val="125"/>
        </w:trPr>
        <w:tc>
          <w:tcPr>
            <w:tcW w:w="36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80" w:type="dxa"/>
            <w:vAlign w:val="bottom"/>
          </w:tcPr>
          <w:p>
            <w:pPr>
              <w:ind w:left="20"/>
              <w:spacing w:after="0" w:line="125" w:lineRule="exact"/>
              <w:rPr>
                <w:sz w:val="20"/>
                <w:szCs w:val="20"/>
                <w:color w:val="auto"/>
              </w:rPr>
            </w:pPr>
            <w:r>
              <w:rPr>
                <w:rFonts w:ascii="Arial" w:cs="Arial" w:eastAsia="Arial" w:hAnsi="Arial"/>
                <w:sz w:val="11"/>
                <w:szCs w:val="11"/>
                <w:color w:val="auto"/>
                <w:w w:val="98"/>
              </w:rPr>
              <w:t>Increase was due to the acquisition of TMS and additional costs to support the increase in services provided to customers,</w:t>
            </w:r>
          </w:p>
        </w:tc>
        <w:tc>
          <w:tcPr>
            <w:tcW w:w="0" w:type="dxa"/>
            <w:vAlign w:val="bottom"/>
          </w:tcPr>
          <w:p>
            <w:pPr>
              <w:spacing w:after="0"/>
              <w:rPr>
                <w:sz w:val="1"/>
                <w:szCs w:val="1"/>
                <w:color w:val="auto"/>
              </w:rPr>
            </w:pPr>
          </w:p>
        </w:tc>
      </w:tr>
      <w:tr>
        <w:trPr>
          <w:trHeight w:val="119"/>
        </w:trPr>
        <w:tc>
          <w:tcPr>
            <w:tcW w:w="36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80" w:type="dxa"/>
            <w:vAlign w:val="bottom"/>
          </w:tcPr>
          <w:p>
            <w:pPr>
              <w:ind w:left="20"/>
              <w:spacing w:after="0" w:line="119" w:lineRule="exact"/>
              <w:rPr>
                <w:sz w:val="20"/>
                <w:szCs w:val="20"/>
                <w:color w:val="auto"/>
              </w:rPr>
            </w:pPr>
            <w:r>
              <w:rPr>
                <w:rFonts w:ascii="Arial" w:cs="Arial" w:eastAsia="Arial" w:hAnsi="Arial"/>
                <w:sz w:val="11"/>
                <w:szCs w:val="11"/>
                <w:color w:val="auto"/>
                <w:w w:val="97"/>
              </w:rPr>
              <w:t>partially offset by cost reductions due to the Company's decision in October 2018 to terminate its investment in a proprietary</w:t>
            </w:r>
          </w:p>
        </w:tc>
        <w:tc>
          <w:tcPr>
            <w:tcW w:w="0" w:type="dxa"/>
            <w:vAlign w:val="bottom"/>
          </w:tcPr>
          <w:p>
            <w:pPr>
              <w:spacing w:after="0"/>
              <w:rPr>
                <w:sz w:val="1"/>
                <w:szCs w:val="1"/>
                <w:color w:val="auto"/>
              </w:rPr>
            </w:pPr>
          </w:p>
        </w:tc>
      </w:tr>
      <w:tr>
        <w:trPr>
          <w:trHeight w:val="151"/>
        </w:trPr>
        <w:tc>
          <w:tcPr>
            <w:tcW w:w="3680" w:type="dxa"/>
            <w:vAlign w:val="bottom"/>
          </w:tcPr>
          <w:p>
            <w:pPr>
              <w:spacing w:after="0"/>
              <w:rPr>
                <w:sz w:val="20"/>
                <w:szCs w:val="20"/>
                <w:color w:val="auto"/>
              </w:rPr>
            </w:pPr>
            <w:r>
              <w:rPr>
                <w:rFonts w:ascii="Arial" w:cs="Arial" w:eastAsia="Arial" w:hAnsi="Arial"/>
                <w:sz w:val="11"/>
                <w:szCs w:val="11"/>
                <w:color w:val="auto"/>
              </w:rPr>
              <w:t>Other expenses</w:t>
            </w:r>
          </w:p>
        </w:tc>
        <w:tc>
          <w:tcPr>
            <w:tcW w:w="80" w:type="dxa"/>
            <w:vAlign w:val="bottom"/>
          </w:tcPr>
          <w:p>
            <w:pPr>
              <w:spacing w:after="0"/>
              <w:rPr>
                <w:sz w:val="13"/>
                <w:szCs w:val="13"/>
                <w:color w:val="auto"/>
              </w:rPr>
            </w:pPr>
          </w:p>
        </w:tc>
        <w:tc>
          <w:tcPr>
            <w:tcW w:w="760" w:type="dxa"/>
            <w:vAlign w:val="bottom"/>
          </w:tcPr>
          <w:p>
            <w:pPr>
              <w:jc w:val="right"/>
              <w:spacing w:after="0"/>
              <w:rPr>
                <w:sz w:val="20"/>
                <w:szCs w:val="20"/>
                <w:color w:val="auto"/>
              </w:rPr>
            </w:pPr>
            <w:r>
              <w:rPr>
                <w:rFonts w:ascii="Arial" w:cs="Arial" w:eastAsia="Arial" w:hAnsi="Arial"/>
                <w:sz w:val="11"/>
                <w:szCs w:val="11"/>
                <w:color w:val="auto"/>
              </w:rPr>
              <w:t>5,311</w:t>
            </w:r>
          </w:p>
        </w:tc>
        <w:tc>
          <w:tcPr>
            <w:tcW w:w="100" w:type="dxa"/>
            <w:vAlign w:val="bottom"/>
          </w:tcPr>
          <w:p>
            <w:pPr>
              <w:spacing w:after="0"/>
              <w:rPr>
                <w:sz w:val="13"/>
                <w:szCs w:val="13"/>
                <w:color w:val="auto"/>
              </w:rPr>
            </w:pPr>
          </w:p>
        </w:tc>
        <w:tc>
          <w:tcPr>
            <w:tcW w:w="860" w:type="dxa"/>
            <w:vAlign w:val="bottom"/>
          </w:tcPr>
          <w:p>
            <w:pPr>
              <w:jc w:val="right"/>
              <w:ind w:right="3"/>
              <w:spacing w:after="0"/>
              <w:rPr>
                <w:sz w:val="20"/>
                <w:szCs w:val="20"/>
                <w:color w:val="auto"/>
              </w:rPr>
            </w:pPr>
            <w:r>
              <w:rPr>
                <w:rFonts w:ascii="Arial" w:cs="Arial" w:eastAsia="Arial" w:hAnsi="Arial"/>
                <w:sz w:val="11"/>
                <w:szCs w:val="11"/>
                <w:color w:val="auto"/>
              </w:rPr>
              <w:t>4,624</w:t>
            </w:r>
          </w:p>
        </w:tc>
        <w:tc>
          <w:tcPr>
            <w:tcW w:w="80" w:type="dxa"/>
            <w:vAlign w:val="bottom"/>
          </w:tcPr>
          <w:p>
            <w:pPr>
              <w:spacing w:after="0"/>
              <w:rPr>
                <w:sz w:val="13"/>
                <w:szCs w:val="13"/>
                <w:color w:val="auto"/>
              </w:rPr>
            </w:pPr>
          </w:p>
        </w:tc>
        <w:tc>
          <w:tcPr>
            <w:tcW w:w="5880" w:type="dxa"/>
            <w:vAlign w:val="bottom"/>
          </w:tcPr>
          <w:p>
            <w:pPr>
              <w:ind w:left="20"/>
              <w:spacing w:after="0"/>
              <w:rPr>
                <w:sz w:val="20"/>
                <w:szCs w:val="20"/>
                <w:color w:val="auto"/>
              </w:rPr>
            </w:pPr>
            <w:r>
              <w:rPr>
                <w:rFonts w:ascii="Arial" w:cs="Arial" w:eastAsia="Arial" w:hAnsi="Arial"/>
                <w:sz w:val="11"/>
                <w:szCs w:val="11"/>
                <w:color w:val="auto"/>
              </w:rPr>
              <w:t>payment processing platform.</w:t>
            </w:r>
          </w:p>
        </w:tc>
        <w:tc>
          <w:tcPr>
            <w:tcW w:w="0" w:type="dxa"/>
            <w:vAlign w:val="bottom"/>
          </w:tcPr>
          <w:p>
            <w:pPr>
              <w:spacing w:after="0"/>
              <w:rPr>
                <w:sz w:val="1"/>
                <w:szCs w:val="1"/>
                <w:color w:val="auto"/>
              </w:rPr>
            </w:pPr>
          </w:p>
        </w:tc>
      </w:tr>
      <w:tr>
        <w:trPr>
          <w:trHeight w:val="129"/>
        </w:trPr>
        <w:tc>
          <w:tcPr>
            <w:tcW w:w="36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880" w:type="dxa"/>
            <w:vAlign w:val="bottom"/>
            <w:shd w:val="clear" w:color="auto" w:fill="CCEEFF"/>
          </w:tcPr>
          <w:p>
            <w:pPr>
              <w:ind w:left="20"/>
              <w:spacing w:after="0"/>
              <w:rPr>
                <w:sz w:val="20"/>
                <w:szCs w:val="20"/>
                <w:color w:val="auto"/>
              </w:rPr>
            </w:pPr>
            <w:r>
              <w:rPr>
                <w:rFonts w:ascii="Arial" w:cs="Arial" w:eastAsia="Arial" w:hAnsi="Arial"/>
                <w:sz w:val="11"/>
                <w:szCs w:val="11"/>
                <w:color w:val="auto"/>
                <w:w w:val="93"/>
              </w:rPr>
              <w:t>Intersegment expenses represent costs for certain corporate activities and services that are allocated to each operating segment</w:t>
            </w:r>
          </w:p>
        </w:tc>
        <w:tc>
          <w:tcPr>
            <w:tcW w:w="0" w:type="dxa"/>
            <w:vAlign w:val="bottom"/>
          </w:tcPr>
          <w:p>
            <w:pPr>
              <w:spacing w:after="0"/>
              <w:rPr>
                <w:sz w:val="1"/>
                <w:szCs w:val="1"/>
                <w:color w:val="auto"/>
              </w:rPr>
            </w:pPr>
          </w:p>
        </w:tc>
      </w:tr>
      <w:tr>
        <w:trPr>
          <w:trHeight w:val="151"/>
        </w:trPr>
        <w:tc>
          <w:tcPr>
            <w:tcW w:w="3680" w:type="dxa"/>
            <w:vAlign w:val="bottom"/>
            <w:shd w:val="clear" w:color="auto" w:fill="CCEEFF"/>
          </w:tcPr>
          <w:p>
            <w:pPr>
              <w:spacing w:after="0"/>
              <w:rPr>
                <w:sz w:val="20"/>
                <w:szCs w:val="20"/>
                <w:color w:val="auto"/>
              </w:rPr>
            </w:pPr>
            <w:r>
              <w:rPr>
                <w:rFonts w:ascii="Arial" w:cs="Arial" w:eastAsia="Arial" w:hAnsi="Arial"/>
                <w:sz w:val="11"/>
                <w:szCs w:val="11"/>
                <w:color w:val="auto"/>
              </w:rPr>
              <w:t>Intersegment expenses</w:t>
            </w:r>
          </w:p>
        </w:tc>
        <w:tc>
          <w:tcPr>
            <w:tcW w:w="80" w:type="dxa"/>
            <w:vAlign w:val="bottom"/>
            <w:tcBorders>
              <w:bottom w:val="single" w:sz="8" w:color="auto"/>
            </w:tcBorders>
            <w:shd w:val="clear" w:color="auto" w:fill="CCEEFF"/>
          </w:tcPr>
          <w:p>
            <w:pPr>
              <w:spacing w:after="0"/>
              <w:rPr>
                <w:sz w:val="13"/>
                <w:szCs w:val="13"/>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rPr>
              <w:t>3,299</w:t>
            </w:r>
          </w:p>
        </w:tc>
        <w:tc>
          <w:tcPr>
            <w:tcW w:w="100" w:type="dxa"/>
            <w:vAlign w:val="bottom"/>
            <w:shd w:val="clear" w:color="auto" w:fill="CCEEFF"/>
          </w:tcPr>
          <w:p>
            <w:pPr>
              <w:spacing w:after="0"/>
              <w:rPr>
                <w:sz w:val="13"/>
                <w:szCs w:val="13"/>
                <w:color w:val="auto"/>
              </w:rPr>
            </w:pPr>
          </w:p>
        </w:tc>
        <w:tc>
          <w:tcPr>
            <w:tcW w:w="860" w:type="dxa"/>
            <w:vAlign w:val="bottom"/>
            <w:tcBorders>
              <w:bottom w:val="single" w:sz="8" w:color="auto"/>
            </w:tcBorders>
            <w:shd w:val="clear" w:color="auto" w:fill="CCEEFF"/>
          </w:tcPr>
          <w:p>
            <w:pPr>
              <w:jc w:val="right"/>
              <w:ind w:right="3"/>
              <w:spacing w:after="0"/>
              <w:rPr>
                <w:sz w:val="20"/>
                <w:szCs w:val="20"/>
                <w:color w:val="auto"/>
              </w:rPr>
            </w:pPr>
            <w:r>
              <w:rPr>
                <w:rFonts w:ascii="Arial" w:cs="Arial" w:eastAsia="Arial" w:hAnsi="Arial"/>
                <w:sz w:val="11"/>
                <w:szCs w:val="11"/>
                <w:color w:val="auto"/>
              </w:rPr>
              <w:t>2,567</w:t>
            </w:r>
          </w:p>
        </w:tc>
        <w:tc>
          <w:tcPr>
            <w:tcW w:w="80" w:type="dxa"/>
            <w:vAlign w:val="bottom"/>
            <w:shd w:val="clear" w:color="auto" w:fill="CCEEFF"/>
          </w:tcPr>
          <w:p>
            <w:pPr>
              <w:spacing w:after="0"/>
              <w:rPr>
                <w:sz w:val="13"/>
                <w:szCs w:val="13"/>
                <w:color w:val="auto"/>
              </w:rPr>
            </w:pPr>
          </w:p>
        </w:tc>
        <w:tc>
          <w:tcPr>
            <w:tcW w:w="5880" w:type="dxa"/>
            <w:vAlign w:val="bottom"/>
            <w:shd w:val="clear" w:color="auto" w:fill="CCEEFF"/>
          </w:tcPr>
          <w:p>
            <w:pPr>
              <w:ind w:left="20"/>
              <w:spacing w:after="0"/>
              <w:rPr>
                <w:sz w:val="20"/>
                <w:szCs w:val="20"/>
                <w:color w:val="auto"/>
              </w:rPr>
            </w:pPr>
            <w:r>
              <w:rPr>
                <w:rFonts w:ascii="Arial" w:cs="Arial" w:eastAsia="Arial" w:hAnsi="Arial"/>
                <w:sz w:val="11"/>
                <w:szCs w:val="11"/>
                <w:color w:val="auto"/>
              </w:rPr>
              <w:t>based on estimated use of such activities and services.</w:t>
            </w:r>
          </w:p>
        </w:tc>
        <w:tc>
          <w:tcPr>
            <w:tcW w:w="0" w:type="dxa"/>
            <w:vAlign w:val="bottom"/>
          </w:tcPr>
          <w:p>
            <w:pPr>
              <w:spacing w:after="0"/>
              <w:rPr>
                <w:sz w:val="1"/>
                <w:szCs w:val="1"/>
                <w:color w:val="auto"/>
              </w:rPr>
            </w:pPr>
          </w:p>
        </w:tc>
      </w:tr>
      <w:tr>
        <w:trPr>
          <w:trHeight w:val="152"/>
        </w:trPr>
        <w:tc>
          <w:tcPr>
            <w:tcW w:w="3680" w:type="dxa"/>
            <w:vAlign w:val="bottom"/>
            <w:tcBorders>
              <w:bottom w:val="single" w:sz="8" w:color="CCEEFF"/>
            </w:tcBorders>
          </w:tcPr>
          <w:p>
            <w:pPr>
              <w:ind w:left="180"/>
              <w:spacing w:after="0"/>
              <w:rPr>
                <w:sz w:val="20"/>
                <w:szCs w:val="20"/>
                <w:color w:val="auto"/>
              </w:rPr>
            </w:pPr>
            <w:r>
              <w:rPr>
                <w:rFonts w:ascii="Arial" w:cs="Arial" w:eastAsia="Arial" w:hAnsi="Arial"/>
                <w:sz w:val="11"/>
                <w:szCs w:val="11"/>
                <w:color w:val="auto"/>
              </w:rPr>
              <w:t>Total operating expenses</w:t>
            </w:r>
          </w:p>
        </w:tc>
        <w:tc>
          <w:tcPr>
            <w:tcW w:w="80" w:type="dxa"/>
            <w:vAlign w:val="bottom"/>
            <w:tcBorders>
              <w:bottom w:val="single" w:sz="8" w:color="auto"/>
            </w:tcBorders>
          </w:tcPr>
          <w:p>
            <w:pPr>
              <w:spacing w:after="0"/>
              <w:rPr>
                <w:sz w:val="13"/>
                <w:szCs w:val="13"/>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35,128</w:t>
            </w:r>
          </w:p>
        </w:tc>
        <w:tc>
          <w:tcPr>
            <w:tcW w:w="100" w:type="dxa"/>
            <w:vAlign w:val="bottom"/>
            <w:tcBorders>
              <w:bottom w:val="single" w:sz="8" w:color="CCEEFF"/>
            </w:tcBorders>
          </w:tcPr>
          <w:p>
            <w:pPr>
              <w:spacing w:after="0"/>
              <w:rPr>
                <w:sz w:val="13"/>
                <w:szCs w:val="13"/>
                <w:color w:val="auto"/>
              </w:rPr>
            </w:pPr>
          </w:p>
        </w:tc>
        <w:tc>
          <w:tcPr>
            <w:tcW w:w="860" w:type="dxa"/>
            <w:vAlign w:val="bottom"/>
            <w:tcBorders>
              <w:bottom w:val="single" w:sz="8" w:color="auto"/>
            </w:tcBorders>
          </w:tcPr>
          <w:p>
            <w:pPr>
              <w:jc w:val="right"/>
              <w:ind w:right="3"/>
              <w:spacing w:after="0"/>
              <w:rPr>
                <w:sz w:val="20"/>
                <w:szCs w:val="20"/>
                <w:color w:val="auto"/>
              </w:rPr>
            </w:pPr>
            <w:r>
              <w:rPr>
                <w:rFonts w:ascii="Arial" w:cs="Arial" w:eastAsia="Arial" w:hAnsi="Arial"/>
                <w:sz w:val="11"/>
                <w:szCs w:val="11"/>
                <w:color w:val="auto"/>
              </w:rPr>
              <w:t>29,599</w:t>
            </w:r>
          </w:p>
        </w:tc>
        <w:tc>
          <w:tcPr>
            <w:tcW w:w="80" w:type="dxa"/>
            <w:vAlign w:val="bottom"/>
            <w:tcBorders>
              <w:bottom w:val="single" w:sz="8" w:color="CCEEFF"/>
            </w:tcBorders>
          </w:tcPr>
          <w:p>
            <w:pPr>
              <w:spacing w:after="0"/>
              <w:rPr>
                <w:sz w:val="13"/>
                <w:szCs w:val="13"/>
                <w:color w:val="auto"/>
              </w:rPr>
            </w:pPr>
          </w:p>
        </w:tc>
        <w:tc>
          <w:tcPr>
            <w:tcW w:w="5880" w:type="dxa"/>
            <w:vAlign w:val="bottom"/>
            <w:tcBorders>
              <w:bottom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57"/>
        </w:trPr>
        <w:tc>
          <w:tcPr>
            <w:tcW w:w="3680" w:type="dxa"/>
            <w:vAlign w:val="bottom"/>
            <w:shd w:val="clear" w:color="auto" w:fill="CCEEFF"/>
          </w:tcPr>
          <w:p>
            <w:pPr>
              <w:ind w:left="180"/>
              <w:spacing w:after="0"/>
              <w:rPr>
                <w:sz w:val="20"/>
                <w:szCs w:val="20"/>
                <w:color w:val="auto"/>
              </w:rPr>
            </w:pPr>
            <w:r>
              <w:rPr>
                <w:rFonts w:ascii="Arial" w:cs="Arial" w:eastAsia="Arial" w:hAnsi="Arial"/>
                <w:sz w:val="11"/>
                <w:szCs w:val="11"/>
                <w:color w:val="auto"/>
              </w:rPr>
              <w:t>Income before income taxes</w:t>
            </w:r>
          </w:p>
        </w:tc>
        <w:tc>
          <w:tcPr>
            <w:tcW w:w="80" w:type="dxa"/>
            <w:vAlign w:val="bottom"/>
            <w:shd w:val="clear" w:color="auto" w:fill="CCEEFF"/>
          </w:tcPr>
          <w:p>
            <w:pPr>
              <w:spacing w:after="0"/>
              <w:rPr>
                <w:sz w:val="13"/>
                <w:szCs w:val="13"/>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24,981</w:t>
            </w:r>
          </w:p>
        </w:tc>
        <w:tc>
          <w:tcPr>
            <w:tcW w:w="100" w:type="dxa"/>
            <w:vAlign w:val="bottom"/>
            <w:shd w:val="clear" w:color="auto" w:fill="CCEEFF"/>
          </w:tcPr>
          <w:p>
            <w:pPr>
              <w:spacing w:after="0"/>
              <w:rPr>
                <w:sz w:val="13"/>
                <w:szCs w:val="13"/>
                <w:color w:val="auto"/>
              </w:rPr>
            </w:pPr>
          </w:p>
        </w:tc>
        <w:tc>
          <w:tcPr>
            <w:tcW w:w="860" w:type="dxa"/>
            <w:vAlign w:val="bottom"/>
            <w:shd w:val="clear" w:color="auto" w:fill="CCEEFF"/>
          </w:tcPr>
          <w:p>
            <w:pPr>
              <w:jc w:val="right"/>
              <w:ind w:right="3"/>
              <w:spacing w:after="0"/>
              <w:rPr>
                <w:sz w:val="20"/>
                <w:szCs w:val="20"/>
                <w:color w:val="auto"/>
              </w:rPr>
            </w:pPr>
            <w:r>
              <w:rPr>
                <w:rFonts w:ascii="Arial" w:cs="Arial" w:eastAsia="Arial" w:hAnsi="Arial"/>
                <w:sz w:val="11"/>
                <w:szCs w:val="11"/>
                <w:color w:val="auto"/>
              </w:rPr>
              <w:t>17,604</w:t>
            </w:r>
          </w:p>
        </w:tc>
        <w:tc>
          <w:tcPr>
            <w:tcW w:w="80" w:type="dxa"/>
            <w:vAlign w:val="bottom"/>
            <w:shd w:val="clear" w:color="auto" w:fill="CCEEFF"/>
          </w:tcPr>
          <w:p>
            <w:pPr>
              <w:spacing w:after="0"/>
              <w:rPr>
                <w:sz w:val="13"/>
                <w:szCs w:val="13"/>
                <w:color w:val="auto"/>
              </w:rPr>
            </w:pPr>
          </w:p>
        </w:tc>
        <w:tc>
          <w:tcPr>
            <w:tcW w:w="588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7"/>
        </w:trPr>
        <w:tc>
          <w:tcPr>
            <w:tcW w:w="3680" w:type="dxa"/>
            <w:vAlign w:val="bottom"/>
            <w:tcBorders>
              <w:bottom w:val="single" w:sz="8" w:color="CCEEFF"/>
            </w:tcBorders>
          </w:tcPr>
          <w:p>
            <w:pPr>
              <w:spacing w:after="0"/>
              <w:rPr>
                <w:sz w:val="20"/>
                <w:szCs w:val="20"/>
                <w:color w:val="auto"/>
              </w:rPr>
            </w:pPr>
            <w:r>
              <w:rPr>
                <w:rFonts w:ascii="Arial" w:cs="Arial" w:eastAsia="Arial" w:hAnsi="Arial"/>
                <w:sz w:val="11"/>
                <w:szCs w:val="11"/>
                <w:color w:val="auto"/>
              </w:rPr>
              <w:t>Income tax expense</w:t>
            </w:r>
          </w:p>
        </w:tc>
        <w:tc>
          <w:tcPr>
            <w:tcW w:w="80" w:type="dxa"/>
            <w:vAlign w:val="bottom"/>
            <w:tcBorders>
              <w:bottom w:val="single" w:sz="8" w:color="auto"/>
            </w:tcBorders>
          </w:tcPr>
          <w:p>
            <w:pPr>
              <w:spacing w:after="0"/>
              <w:rPr>
                <w:sz w:val="13"/>
                <w:szCs w:val="13"/>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(5,995)</w:t>
            </w:r>
          </w:p>
        </w:tc>
        <w:tc>
          <w:tcPr>
            <w:tcW w:w="100" w:type="dxa"/>
            <w:vAlign w:val="bottom"/>
            <w:tcBorders>
              <w:bottom w:val="single" w:sz="8" w:color="CCEEFF"/>
            </w:tcBorders>
          </w:tcPr>
          <w:p>
            <w:pPr>
              <w:spacing w:after="0"/>
              <w:rPr>
                <w:sz w:val="13"/>
                <w:szCs w:val="13"/>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(4,225)</w:t>
            </w:r>
          </w:p>
        </w:tc>
        <w:tc>
          <w:tcPr>
            <w:tcW w:w="80" w:type="dxa"/>
            <w:vAlign w:val="bottom"/>
            <w:tcBorders>
              <w:bottom w:val="single" w:sz="8" w:color="CCEEFF"/>
            </w:tcBorders>
          </w:tcPr>
          <w:p>
            <w:pPr>
              <w:spacing w:after="0"/>
              <w:rPr>
                <w:sz w:val="13"/>
                <w:szCs w:val="13"/>
                <w:color w:val="auto"/>
              </w:rPr>
            </w:pPr>
          </w:p>
        </w:tc>
        <w:tc>
          <w:tcPr>
            <w:tcW w:w="5880" w:type="dxa"/>
            <w:vAlign w:val="bottom"/>
            <w:tcBorders>
              <w:bottom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82"/>
        </w:trPr>
        <w:tc>
          <w:tcPr>
            <w:tcW w:w="368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1"/>
                <w:szCs w:val="11"/>
                <w:color w:val="auto"/>
              </w:rPr>
              <w:t>Net income</w:t>
            </w: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rPr>
              <w:t>18,986</w:t>
            </w:r>
          </w:p>
        </w:tc>
        <w:tc>
          <w:tcPr>
            <w:tcW w:w="100" w:type="dxa"/>
            <w:vAlign w:val="bottom"/>
            <w:tcBorders>
              <w:bottom w:val="single" w:sz="8" w:color="CCEEFF"/>
            </w:tcBorders>
            <w:shd w:val="clear" w:color="auto" w:fill="CCEEFF"/>
          </w:tcPr>
          <w:p>
            <w:pPr>
              <w:spacing w:after="0"/>
              <w:rPr>
                <w:sz w:val="15"/>
                <w:szCs w:val="15"/>
                <w:color w:val="auto"/>
              </w:rPr>
            </w:pPr>
          </w:p>
        </w:tc>
        <w:tc>
          <w:tcPr>
            <w:tcW w:w="860" w:type="dxa"/>
            <w:vAlign w:val="bottom"/>
            <w:tcBorders>
              <w:bottom w:val="single" w:sz="8" w:color="auto"/>
            </w:tcBorders>
            <w:shd w:val="clear" w:color="auto" w:fill="CCEEFF"/>
          </w:tcPr>
          <w:p>
            <w:pPr>
              <w:jc w:val="right"/>
              <w:ind w:right="3"/>
              <w:spacing w:after="0"/>
              <w:rPr>
                <w:sz w:val="20"/>
                <w:szCs w:val="20"/>
                <w:color w:val="auto"/>
              </w:rPr>
            </w:pPr>
            <w:r>
              <w:rPr>
                <w:rFonts w:ascii="Arial" w:cs="Arial" w:eastAsia="Arial" w:hAnsi="Arial"/>
                <w:sz w:val="11"/>
                <w:szCs w:val="11"/>
                <w:color w:val="auto"/>
              </w:rPr>
              <w:t>13,379</w:t>
            </w:r>
          </w:p>
        </w:tc>
        <w:tc>
          <w:tcPr>
            <w:tcW w:w="80" w:type="dxa"/>
            <w:vAlign w:val="bottom"/>
            <w:tcBorders>
              <w:bottom w:val="single" w:sz="8" w:color="CCEEFF"/>
            </w:tcBorders>
            <w:shd w:val="clear" w:color="auto" w:fill="CCEEFF"/>
          </w:tcPr>
          <w:p>
            <w:pPr>
              <w:spacing w:after="0"/>
              <w:rPr>
                <w:sz w:val="15"/>
                <w:szCs w:val="15"/>
                <w:color w:val="auto"/>
              </w:rPr>
            </w:pPr>
          </w:p>
        </w:tc>
        <w:tc>
          <w:tcPr>
            <w:tcW w:w="5880" w:type="dxa"/>
            <w:vAlign w:val="bottom"/>
            <w:tcBorders>
              <w:bottom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368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7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588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39</w:t>
      </w:r>
    </w:p>
    <w:p>
      <w:pPr>
        <w:sectPr>
          <w:pgSz w:w="11900" w:h="16838" w:orient="portrait"/>
          <w:cols w:equalWidth="0" w:num="1">
            <w:col w:w="11460"/>
          </w:cols>
          <w:pgMar w:left="220" w:top="739" w:right="219" w:bottom="1440" w:gutter="0" w:footer="0" w:header="0"/>
        </w:sectPr>
      </w:pPr>
    </w:p>
    <w:bookmarkStart w:id="40" w:name="page41"/>
    <w:bookmarkEnd w:id="40"/>
    <w:p>
      <w:pPr>
        <w:spacing w:after="0"/>
        <w:rPr>
          <w:sz w:val="20"/>
          <w:szCs w:val="20"/>
          <w:color w:val="auto"/>
        </w:rPr>
      </w:pPr>
      <w:r>
        <w:rPr>
          <w:rFonts w:ascii="Arial" w:cs="Arial" w:eastAsia="Arial" w:hAnsi="Arial"/>
          <w:sz w:val="14"/>
          <w:szCs w:val="14"/>
          <w:i w:val="1"/>
          <w:iCs w:val="1"/>
          <w:u w:val="single" w:color="auto"/>
          <w:color w:val="auto"/>
        </w:rPr>
        <w:t>Education technology, services, and payment processing revenue</w:t>
      </w:r>
    </w:p>
    <w:p>
      <w:pPr>
        <w:spacing w:after="0" w:line="141" w:lineRule="exact"/>
        <w:rPr>
          <w:sz w:val="20"/>
          <w:szCs w:val="20"/>
          <w:color w:val="auto"/>
        </w:rPr>
      </w:pPr>
    </w:p>
    <w:p>
      <w:pPr>
        <w:spacing w:after="0"/>
        <w:rPr>
          <w:sz w:val="20"/>
          <w:szCs w:val="20"/>
          <w:color w:val="auto"/>
        </w:rPr>
      </w:pPr>
      <w:r>
        <w:rPr>
          <w:rFonts w:ascii="Arial" w:cs="Arial" w:eastAsia="Arial" w:hAnsi="Arial"/>
          <w:sz w:val="14"/>
          <w:szCs w:val="14"/>
          <w:color w:val="auto"/>
        </w:rPr>
        <w:t>The following table provides disaggregated revenue by service offering and before tax operating margin for each reporting period.</w:t>
      </w:r>
    </w:p>
    <w:p>
      <w:pPr>
        <w:spacing w:after="0" w:line="48" w:lineRule="exact"/>
        <w:rPr>
          <w:sz w:val="20"/>
          <w:szCs w:val="20"/>
          <w:color w:val="auto"/>
        </w:rPr>
      </w:pPr>
    </w:p>
    <w:tbl>
      <w:tblPr>
        <w:tblLayout w:type="fixed"/>
        <w:tblInd w:w="0" w:type="dxa"/>
        <w:tblCellMar>
          <w:top w:w="0" w:type="dxa"/>
          <w:left w:w="0" w:type="dxa"/>
          <w:bottom w:w="0" w:type="dxa"/>
          <w:right w:w="0" w:type="dxa"/>
        </w:tblCellMar>
      </w:tblPr>
      <w:tr>
        <w:trPr>
          <w:trHeight w:val="153"/>
        </w:trPr>
        <w:tc>
          <w:tcPr>
            <w:tcW w:w="34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740" w:type="dxa"/>
            <w:vAlign w:val="bottom"/>
            <w:tcBorders>
              <w:bottom w:val="single" w:sz="8" w:color="auto"/>
            </w:tcBorders>
            <w:gridSpan w:val="3"/>
          </w:tcPr>
          <w:p>
            <w:pPr>
              <w:jc w:val="right"/>
              <w:ind w:right="103"/>
              <w:spacing w:after="0"/>
              <w:rPr>
                <w:sz w:val="20"/>
                <w:szCs w:val="20"/>
                <w:color w:val="auto"/>
              </w:rPr>
            </w:pPr>
            <w:r>
              <w:rPr>
                <w:rFonts w:ascii="Arial" w:cs="Arial" w:eastAsia="Arial" w:hAnsi="Arial"/>
                <w:sz w:val="11"/>
                <w:szCs w:val="11"/>
                <w:b w:val="1"/>
                <w:bCs w:val="1"/>
                <w:color w:val="auto"/>
                <w:w w:val="96"/>
              </w:rPr>
              <w:t>Three months ended March 31,</w:t>
            </w:r>
          </w:p>
        </w:tc>
        <w:tc>
          <w:tcPr>
            <w:tcW w:w="100" w:type="dxa"/>
            <w:vAlign w:val="bottom"/>
          </w:tcPr>
          <w:p>
            <w:pPr>
              <w:spacing w:after="0"/>
              <w:rPr>
                <w:sz w:val="13"/>
                <w:szCs w:val="13"/>
                <w:color w:val="auto"/>
              </w:rPr>
            </w:pPr>
          </w:p>
        </w:tc>
        <w:tc>
          <w:tcPr>
            <w:tcW w:w="6060" w:type="dxa"/>
            <w:vAlign w:val="bottom"/>
            <w:tcBorders>
              <w:bottom w:val="single" w:sz="8" w:color="auto"/>
            </w:tcBorders>
          </w:tcPr>
          <w:p>
            <w:pPr>
              <w:ind w:left="2460"/>
              <w:spacing w:after="0"/>
              <w:rPr>
                <w:sz w:val="20"/>
                <w:szCs w:val="20"/>
                <w:color w:val="auto"/>
              </w:rPr>
            </w:pPr>
            <w:r>
              <w:rPr>
                <w:rFonts w:ascii="Arial" w:cs="Arial" w:eastAsia="Arial" w:hAnsi="Arial"/>
                <w:sz w:val="11"/>
                <w:szCs w:val="11"/>
                <w:b w:val="1"/>
                <w:bCs w:val="1"/>
                <w:color w:val="auto"/>
              </w:rPr>
              <w:t>Additional information</w:t>
            </w:r>
          </w:p>
        </w:tc>
        <w:tc>
          <w:tcPr>
            <w:tcW w:w="0" w:type="dxa"/>
            <w:vAlign w:val="bottom"/>
          </w:tcPr>
          <w:p>
            <w:pPr>
              <w:spacing w:after="0"/>
              <w:rPr>
                <w:sz w:val="1"/>
                <w:szCs w:val="1"/>
                <w:color w:val="auto"/>
              </w:rPr>
            </w:pPr>
          </w:p>
        </w:tc>
      </w:tr>
      <w:tr>
        <w:trPr>
          <w:trHeight w:val="152"/>
        </w:trPr>
        <w:tc>
          <w:tcPr>
            <w:tcW w:w="3460" w:type="dxa"/>
            <w:vAlign w:val="bottom"/>
            <w:tcBorders>
              <w:bottom w:val="single" w:sz="8" w:color="CCEEFF"/>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760" w:type="dxa"/>
            <w:vAlign w:val="bottom"/>
            <w:tcBorders>
              <w:bottom w:val="single" w:sz="8" w:color="auto"/>
            </w:tcBorders>
          </w:tcPr>
          <w:p>
            <w:pPr>
              <w:jc w:val="right"/>
              <w:ind w:right="263"/>
              <w:spacing w:after="0"/>
              <w:rPr>
                <w:sz w:val="20"/>
                <w:szCs w:val="20"/>
                <w:color w:val="auto"/>
              </w:rPr>
            </w:pPr>
            <w:r>
              <w:rPr>
                <w:rFonts w:ascii="Arial" w:cs="Arial" w:eastAsia="Arial" w:hAnsi="Arial"/>
                <w:sz w:val="11"/>
                <w:szCs w:val="11"/>
                <w:b w:val="1"/>
                <w:bCs w:val="1"/>
                <w:color w:val="auto"/>
              </w:rPr>
              <w:t>2019</w:t>
            </w:r>
          </w:p>
        </w:tc>
        <w:tc>
          <w:tcPr>
            <w:tcW w:w="100" w:type="dxa"/>
            <w:vAlign w:val="bottom"/>
            <w:tcBorders>
              <w:bottom w:val="single" w:sz="8" w:color="CCEEFF"/>
            </w:tcBorders>
          </w:tcPr>
          <w:p>
            <w:pPr>
              <w:spacing w:after="0"/>
              <w:rPr>
                <w:sz w:val="13"/>
                <w:szCs w:val="13"/>
                <w:color w:val="auto"/>
              </w:rPr>
            </w:pPr>
          </w:p>
        </w:tc>
        <w:tc>
          <w:tcPr>
            <w:tcW w:w="880" w:type="dxa"/>
            <w:vAlign w:val="bottom"/>
            <w:tcBorders>
              <w:bottom w:val="single" w:sz="8" w:color="auto"/>
            </w:tcBorders>
          </w:tcPr>
          <w:p>
            <w:pPr>
              <w:jc w:val="right"/>
              <w:ind w:right="263"/>
              <w:spacing w:after="0"/>
              <w:rPr>
                <w:sz w:val="20"/>
                <w:szCs w:val="20"/>
                <w:color w:val="auto"/>
              </w:rPr>
            </w:pPr>
            <w:r>
              <w:rPr>
                <w:rFonts w:ascii="Arial" w:cs="Arial" w:eastAsia="Arial" w:hAnsi="Arial"/>
                <w:sz w:val="11"/>
                <w:szCs w:val="11"/>
                <w:b w:val="1"/>
                <w:bCs w:val="1"/>
                <w:color w:val="auto"/>
              </w:rPr>
              <w:t>2018</w:t>
            </w:r>
          </w:p>
        </w:tc>
        <w:tc>
          <w:tcPr>
            <w:tcW w:w="100" w:type="dxa"/>
            <w:vAlign w:val="bottom"/>
            <w:tcBorders>
              <w:bottom w:val="single" w:sz="8" w:color="CCEEFF"/>
            </w:tcBorders>
          </w:tcPr>
          <w:p>
            <w:pPr>
              <w:spacing w:after="0"/>
              <w:rPr>
                <w:sz w:val="13"/>
                <w:szCs w:val="13"/>
                <w:color w:val="auto"/>
              </w:rPr>
            </w:pPr>
          </w:p>
        </w:tc>
        <w:tc>
          <w:tcPr>
            <w:tcW w:w="6060" w:type="dxa"/>
            <w:vAlign w:val="bottom"/>
            <w:tcBorders>
              <w:bottom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09"/>
        </w:trPr>
        <w:tc>
          <w:tcPr>
            <w:tcW w:w="346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76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88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6060" w:type="dxa"/>
            <w:vAlign w:val="bottom"/>
            <w:shd w:val="clear" w:color="auto" w:fill="CCEEFF"/>
          </w:tcPr>
          <w:p>
            <w:pPr>
              <w:spacing w:after="0" w:line="110" w:lineRule="exact"/>
              <w:rPr>
                <w:sz w:val="20"/>
                <w:szCs w:val="20"/>
                <w:color w:val="auto"/>
              </w:rPr>
            </w:pPr>
            <w:r>
              <w:rPr>
                <w:rFonts w:ascii="Arial" w:cs="Arial" w:eastAsia="Arial" w:hAnsi="Arial"/>
                <w:sz w:val="11"/>
                <w:szCs w:val="11"/>
                <w:color w:val="auto"/>
              </w:rPr>
              <w:t>Increase was due to an increase in the number of managed tuition payment plans resulting from the addition of new school</w:t>
            </w:r>
          </w:p>
        </w:tc>
        <w:tc>
          <w:tcPr>
            <w:tcW w:w="0" w:type="dxa"/>
            <w:vAlign w:val="bottom"/>
          </w:tcPr>
          <w:p>
            <w:pPr>
              <w:spacing w:after="0"/>
              <w:rPr>
                <w:sz w:val="1"/>
                <w:szCs w:val="1"/>
                <w:color w:val="auto"/>
              </w:rPr>
            </w:pPr>
          </w:p>
        </w:tc>
      </w:tr>
      <w:tr>
        <w:trPr>
          <w:trHeight w:val="155"/>
        </w:trPr>
        <w:tc>
          <w:tcPr>
            <w:tcW w:w="3460" w:type="dxa"/>
            <w:vAlign w:val="bottom"/>
            <w:shd w:val="clear" w:color="auto" w:fill="CCEEFF"/>
          </w:tcPr>
          <w:p>
            <w:pPr>
              <w:ind w:left="20"/>
              <w:spacing w:after="0"/>
              <w:rPr>
                <w:sz w:val="20"/>
                <w:szCs w:val="20"/>
                <w:color w:val="auto"/>
              </w:rPr>
            </w:pPr>
            <w:r>
              <w:rPr>
                <w:rFonts w:ascii="Arial" w:cs="Arial" w:eastAsia="Arial" w:hAnsi="Arial"/>
                <w:sz w:val="11"/>
                <w:szCs w:val="11"/>
                <w:color w:val="auto"/>
              </w:rPr>
              <w:t>Tuition payment plan services</w:t>
            </w:r>
          </w:p>
        </w:tc>
        <w:tc>
          <w:tcPr>
            <w:tcW w:w="10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30,173</w:t>
            </w:r>
          </w:p>
        </w:tc>
        <w:tc>
          <w:tcPr>
            <w:tcW w:w="100" w:type="dxa"/>
            <w:vAlign w:val="bottom"/>
            <w:shd w:val="clear" w:color="auto" w:fill="CCEEFF"/>
          </w:tcPr>
          <w:p>
            <w:pPr>
              <w:spacing w:after="0"/>
              <w:rPr>
                <w:sz w:val="13"/>
                <w:szCs w:val="13"/>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1"/>
                <w:szCs w:val="11"/>
                <w:color w:val="auto"/>
              </w:rPr>
              <w:t>23,043</w:t>
            </w:r>
          </w:p>
        </w:tc>
        <w:tc>
          <w:tcPr>
            <w:tcW w:w="100" w:type="dxa"/>
            <w:vAlign w:val="bottom"/>
            <w:shd w:val="clear" w:color="auto" w:fill="CCEEFF"/>
          </w:tcPr>
          <w:p>
            <w:pPr>
              <w:spacing w:after="0"/>
              <w:rPr>
                <w:sz w:val="13"/>
                <w:szCs w:val="13"/>
                <w:color w:val="auto"/>
              </w:rPr>
            </w:pPr>
          </w:p>
        </w:tc>
        <w:tc>
          <w:tcPr>
            <w:tcW w:w="6060" w:type="dxa"/>
            <w:vAlign w:val="bottom"/>
            <w:shd w:val="clear" w:color="auto" w:fill="CCEEFF"/>
          </w:tcPr>
          <w:p>
            <w:pPr>
              <w:spacing w:after="0"/>
              <w:rPr>
                <w:sz w:val="20"/>
                <w:szCs w:val="20"/>
                <w:color w:val="auto"/>
              </w:rPr>
            </w:pPr>
            <w:r>
              <w:rPr>
                <w:rFonts w:ascii="Arial" w:cs="Arial" w:eastAsia="Arial" w:hAnsi="Arial"/>
                <w:sz w:val="11"/>
                <w:szCs w:val="11"/>
                <w:color w:val="auto"/>
              </w:rPr>
              <w:t>customers.</w:t>
            </w:r>
          </w:p>
        </w:tc>
        <w:tc>
          <w:tcPr>
            <w:tcW w:w="0" w:type="dxa"/>
            <w:vAlign w:val="bottom"/>
          </w:tcPr>
          <w:p>
            <w:pPr>
              <w:spacing w:after="0"/>
              <w:rPr>
                <w:sz w:val="1"/>
                <w:szCs w:val="1"/>
                <w:color w:val="auto"/>
              </w:rPr>
            </w:pPr>
          </w:p>
        </w:tc>
      </w:tr>
      <w:tr>
        <w:trPr>
          <w:trHeight w:val="108"/>
        </w:trPr>
        <w:tc>
          <w:tcPr>
            <w:tcW w:w="3460" w:type="dxa"/>
            <w:vAlign w:val="bottom"/>
            <w:vMerge w:val="restart"/>
          </w:tcPr>
          <w:p>
            <w:pPr>
              <w:ind w:left="20"/>
              <w:spacing w:after="0"/>
              <w:rPr>
                <w:sz w:val="20"/>
                <w:szCs w:val="20"/>
                <w:color w:val="auto"/>
              </w:rPr>
            </w:pPr>
            <w:r>
              <w:rPr>
                <w:rFonts w:ascii="Arial" w:cs="Arial" w:eastAsia="Arial" w:hAnsi="Arial"/>
                <w:sz w:val="11"/>
                <w:szCs w:val="11"/>
                <w:color w:val="auto"/>
              </w:rPr>
              <w:t>Payment processing</w:t>
            </w:r>
          </w:p>
        </w:tc>
        <w:tc>
          <w:tcPr>
            <w:tcW w:w="100" w:type="dxa"/>
            <w:vAlign w:val="bottom"/>
          </w:tcPr>
          <w:p>
            <w:pPr>
              <w:spacing w:after="0"/>
              <w:rPr>
                <w:sz w:val="9"/>
                <w:szCs w:val="9"/>
                <w:color w:val="auto"/>
              </w:rPr>
            </w:pPr>
          </w:p>
        </w:tc>
        <w:tc>
          <w:tcPr>
            <w:tcW w:w="760" w:type="dxa"/>
            <w:vAlign w:val="bottom"/>
            <w:vMerge w:val="restart"/>
          </w:tcPr>
          <w:p>
            <w:pPr>
              <w:jc w:val="right"/>
              <w:spacing w:after="0"/>
              <w:rPr>
                <w:sz w:val="20"/>
                <w:szCs w:val="20"/>
                <w:color w:val="auto"/>
              </w:rPr>
            </w:pPr>
            <w:r>
              <w:rPr>
                <w:rFonts w:ascii="Arial" w:cs="Arial" w:eastAsia="Arial" w:hAnsi="Arial"/>
                <w:sz w:val="11"/>
                <w:szCs w:val="11"/>
                <w:color w:val="auto"/>
              </w:rPr>
              <w:t>28,979</w:t>
            </w:r>
          </w:p>
        </w:tc>
        <w:tc>
          <w:tcPr>
            <w:tcW w:w="100" w:type="dxa"/>
            <w:vAlign w:val="bottom"/>
          </w:tcPr>
          <w:p>
            <w:pPr>
              <w:spacing w:after="0"/>
              <w:rPr>
                <w:sz w:val="9"/>
                <w:szCs w:val="9"/>
                <w:color w:val="auto"/>
              </w:rPr>
            </w:pPr>
          </w:p>
        </w:tc>
        <w:tc>
          <w:tcPr>
            <w:tcW w:w="880" w:type="dxa"/>
            <w:vAlign w:val="bottom"/>
            <w:vMerge w:val="restart"/>
          </w:tcPr>
          <w:p>
            <w:pPr>
              <w:jc w:val="right"/>
              <w:spacing w:after="0"/>
              <w:rPr>
                <w:sz w:val="20"/>
                <w:szCs w:val="20"/>
                <w:color w:val="auto"/>
              </w:rPr>
            </w:pPr>
            <w:r>
              <w:rPr>
                <w:rFonts w:ascii="Arial" w:cs="Arial" w:eastAsia="Arial" w:hAnsi="Arial"/>
                <w:sz w:val="11"/>
                <w:szCs w:val="11"/>
                <w:color w:val="auto"/>
              </w:rPr>
              <w:t>19,926</w:t>
            </w:r>
          </w:p>
        </w:tc>
        <w:tc>
          <w:tcPr>
            <w:tcW w:w="100" w:type="dxa"/>
            <w:vAlign w:val="bottom"/>
          </w:tcPr>
          <w:p>
            <w:pPr>
              <w:spacing w:after="0"/>
              <w:rPr>
                <w:sz w:val="9"/>
                <w:szCs w:val="9"/>
                <w:color w:val="auto"/>
              </w:rPr>
            </w:pPr>
          </w:p>
        </w:tc>
        <w:tc>
          <w:tcPr>
            <w:tcW w:w="6060" w:type="dxa"/>
            <w:vAlign w:val="bottom"/>
          </w:tcPr>
          <w:p>
            <w:pPr>
              <w:spacing w:after="0" w:line="108" w:lineRule="exact"/>
              <w:rPr>
                <w:sz w:val="20"/>
                <w:szCs w:val="20"/>
                <w:color w:val="auto"/>
              </w:rPr>
            </w:pPr>
            <w:r>
              <w:rPr>
                <w:rFonts w:ascii="Arial" w:cs="Arial" w:eastAsia="Arial" w:hAnsi="Arial"/>
                <w:sz w:val="11"/>
                <w:szCs w:val="11"/>
                <w:color w:val="auto"/>
                <w:w w:val="95"/>
              </w:rPr>
              <w:t>Increase was due to the acquisition of TMS and an increase in payments volume from new and existing school and non-education</w:t>
            </w:r>
          </w:p>
        </w:tc>
        <w:tc>
          <w:tcPr>
            <w:tcW w:w="0" w:type="dxa"/>
            <w:vAlign w:val="bottom"/>
          </w:tcPr>
          <w:p>
            <w:pPr>
              <w:spacing w:after="0"/>
              <w:rPr>
                <w:sz w:val="1"/>
                <w:szCs w:val="1"/>
                <w:color w:val="auto"/>
              </w:rPr>
            </w:pPr>
          </w:p>
        </w:tc>
      </w:tr>
      <w:tr>
        <w:trPr>
          <w:trHeight w:val="149"/>
        </w:trPr>
        <w:tc>
          <w:tcPr>
            <w:tcW w:w="346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6060" w:type="dxa"/>
            <w:vAlign w:val="bottom"/>
          </w:tcPr>
          <w:p>
            <w:pPr>
              <w:spacing w:after="0"/>
              <w:rPr>
                <w:sz w:val="20"/>
                <w:szCs w:val="20"/>
                <w:color w:val="auto"/>
              </w:rPr>
            </w:pPr>
            <w:r>
              <w:rPr>
                <w:rFonts w:ascii="Arial" w:cs="Arial" w:eastAsia="Arial" w:hAnsi="Arial"/>
                <w:sz w:val="11"/>
                <w:szCs w:val="11"/>
                <w:color w:val="auto"/>
              </w:rPr>
              <w:t>customers.</w:t>
            </w:r>
          </w:p>
        </w:tc>
        <w:tc>
          <w:tcPr>
            <w:tcW w:w="0" w:type="dxa"/>
            <w:vAlign w:val="bottom"/>
          </w:tcPr>
          <w:p>
            <w:pPr>
              <w:spacing w:after="0"/>
              <w:rPr>
                <w:sz w:val="1"/>
                <w:szCs w:val="1"/>
                <w:color w:val="auto"/>
              </w:rPr>
            </w:pPr>
          </w:p>
        </w:tc>
      </w:tr>
      <w:tr>
        <w:trPr>
          <w:trHeight w:val="110"/>
        </w:trPr>
        <w:tc>
          <w:tcPr>
            <w:tcW w:w="346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76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88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6060" w:type="dxa"/>
            <w:vAlign w:val="bottom"/>
            <w:shd w:val="clear" w:color="auto" w:fill="CCEEFF"/>
          </w:tcPr>
          <w:p>
            <w:pPr>
              <w:spacing w:after="0" w:line="110" w:lineRule="exact"/>
              <w:rPr>
                <w:sz w:val="20"/>
                <w:szCs w:val="20"/>
                <w:color w:val="auto"/>
              </w:rPr>
            </w:pPr>
            <w:r>
              <w:rPr>
                <w:rFonts w:ascii="Arial" w:cs="Arial" w:eastAsia="Arial" w:hAnsi="Arial"/>
                <w:sz w:val="11"/>
                <w:szCs w:val="11"/>
                <w:color w:val="auto"/>
                <w:w w:val="97"/>
              </w:rPr>
              <w:t>Increase was due to an increase in the number of customers using the Company’s school administration software and services,</w:t>
            </w:r>
          </w:p>
        </w:tc>
        <w:tc>
          <w:tcPr>
            <w:tcW w:w="0" w:type="dxa"/>
            <w:vAlign w:val="bottom"/>
          </w:tcPr>
          <w:p>
            <w:pPr>
              <w:spacing w:after="0"/>
              <w:rPr>
                <w:sz w:val="1"/>
                <w:szCs w:val="1"/>
                <w:color w:val="auto"/>
              </w:rPr>
            </w:pPr>
          </w:p>
        </w:tc>
      </w:tr>
      <w:tr>
        <w:trPr>
          <w:trHeight w:val="108"/>
        </w:trPr>
        <w:tc>
          <w:tcPr>
            <w:tcW w:w="346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76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88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6060" w:type="dxa"/>
            <w:vAlign w:val="bottom"/>
            <w:shd w:val="clear" w:color="auto" w:fill="CCEEFF"/>
          </w:tcPr>
          <w:p>
            <w:pPr>
              <w:spacing w:after="0" w:line="108" w:lineRule="exact"/>
              <w:rPr>
                <w:sz w:val="20"/>
                <w:szCs w:val="20"/>
                <w:color w:val="auto"/>
              </w:rPr>
            </w:pPr>
            <w:r>
              <w:rPr>
                <w:rFonts w:ascii="Arial" w:cs="Arial" w:eastAsia="Arial" w:hAnsi="Arial"/>
                <w:sz w:val="11"/>
                <w:szCs w:val="11"/>
                <w:color w:val="auto"/>
                <w:w w:val="96"/>
              </w:rPr>
              <w:t>higher revenues from financial needs assessment services, and the acquisition of TMS. Additionally, FACTS Education Solutions</w:t>
            </w:r>
          </w:p>
        </w:tc>
        <w:tc>
          <w:tcPr>
            <w:tcW w:w="0" w:type="dxa"/>
            <w:vAlign w:val="bottom"/>
          </w:tcPr>
          <w:p>
            <w:pPr>
              <w:spacing w:after="0"/>
              <w:rPr>
                <w:sz w:val="1"/>
                <w:szCs w:val="1"/>
                <w:color w:val="auto"/>
              </w:rPr>
            </w:pPr>
          </w:p>
        </w:tc>
      </w:tr>
      <w:tr>
        <w:trPr>
          <w:trHeight w:val="108"/>
        </w:trPr>
        <w:tc>
          <w:tcPr>
            <w:tcW w:w="3460" w:type="dxa"/>
            <w:vAlign w:val="bottom"/>
            <w:vMerge w:val="restart"/>
            <w:shd w:val="clear" w:color="auto" w:fill="CCEEFF"/>
          </w:tcPr>
          <w:p>
            <w:pPr>
              <w:ind w:left="20"/>
              <w:spacing w:after="0"/>
              <w:rPr>
                <w:sz w:val="20"/>
                <w:szCs w:val="20"/>
                <w:color w:val="auto"/>
              </w:rPr>
            </w:pPr>
            <w:r>
              <w:rPr>
                <w:rFonts w:ascii="Arial" w:cs="Arial" w:eastAsia="Arial" w:hAnsi="Arial"/>
                <w:sz w:val="11"/>
                <w:szCs w:val="11"/>
                <w:color w:val="auto"/>
              </w:rPr>
              <w:t>Education technology and services</w:t>
            </w:r>
          </w:p>
        </w:tc>
        <w:tc>
          <w:tcPr>
            <w:tcW w:w="100" w:type="dxa"/>
            <w:vAlign w:val="bottom"/>
            <w:shd w:val="clear" w:color="auto" w:fill="CCEEFF"/>
          </w:tcPr>
          <w:p>
            <w:pPr>
              <w:spacing w:after="0"/>
              <w:rPr>
                <w:sz w:val="9"/>
                <w:szCs w:val="9"/>
                <w:color w:val="auto"/>
              </w:rPr>
            </w:pPr>
          </w:p>
        </w:tc>
        <w:tc>
          <w:tcPr>
            <w:tcW w:w="760" w:type="dxa"/>
            <w:vAlign w:val="bottom"/>
            <w:vMerge w:val="restart"/>
            <w:shd w:val="clear" w:color="auto" w:fill="CCEEFF"/>
          </w:tcPr>
          <w:p>
            <w:pPr>
              <w:jc w:val="right"/>
              <w:spacing w:after="0"/>
              <w:rPr>
                <w:sz w:val="20"/>
                <w:szCs w:val="20"/>
                <w:color w:val="auto"/>
              </w:rPr>
            </w:pPr>
            <w:r>
              <w:rPr>
                <w:rFonts w:ascii="Arial" w:cs="Arial" w:eastAsia="Arial" w:hAnsi="Arial"/>
                <w:sz w:val="11"/>
                <w:szCs w:val="11"/>
                <w:color w:val="auto"/>
              </w:rPr>
              <w:t>19,709</w:t>
            </w:r>
          </w:p>
        </w:tc>
        <w:tc>
          <w:tcPr>
            <w:tcW w:w="100" w:type="dxa"/>
            <w:vAlign w:val="bottom"/>
            <w:shd w:val="clear" w:color="auto" w:fill="CCEEFF"/>
          </w:tcPr>
          <w:p>
            <w:pPr>
              <w:spacing w:after="0"/>
              <w:rPr>
                <w:sz w:val="9"/>
                <w:szCs w:val="9"/>
                <w:color w:val="auto"/>
              </w:rPr>
            </w:pPr>
          </w:p>
        </w:tc>
        <w:tc>
          <w:tcPr>
            <w:tcW w:w="880" w:type="dxa"/>
            <w:vAlign w:val="bottom"/>
            <w:vMerge w:val="restart"/>
            <w:shd w:val="clear" w:color="auto" w:fill="CCEEFF"/>
          </w:tcPr>
          <w:p>
            <w:pPr>
              <w:jc w:val="right"/>
              <w:spacing w:after="0"/>
              <w:rPr>
                <w:sz w:val="20"/>
                <w:szCs w:val="20"/>
                <w:color w:val="auto"/>
              </w:rPr>
            </w:pPr>
            <w:r>
              <w:rPr>
                <w:rFonts w:ascii="Arial" w:cs="Arial" w:eastAsia="Arial" w:hAnsi="Arial"/>
                <w:sz w:val="11"/>
                <w:szCs w:val="11"/>
                <w:color w:val="auto"/>
              </w:rPr>
              <w:t>16,975</w:t>
            </w:r>
          </w:p>
        </w:tc>
        <w:tc>
          <w:tcPr>
            <w:tcW w:w="100" w:type="dxa"/>
            <w:vAlign w:val="bottom"/>
            <w:shd w:val="clear" w:color="auto" w:fill="CCEEFF"/>
          </w:tcPr>
          <w:p>
            <w:pPr>
              <w:spacing w:after="0"/>
              <w:rPr>
                <w:sz w:val="9"/>
                <w:szCs w:val="9"/>
                <w:color w:val="auto"/>
              </w:rPr>
            </w:pPr>
          </w:p>
        </w:tc>
        <w:tc>
          <w:tcPr>
            <w:tcW w:w="6060" w:type="dxa"/>
            <w:vAlign w:val="bottom"/>
            <w:shd w:val="clear" w:color="auto" w:fill="CCEEFF"/>
          </w:tcPr>
          <w:p>
            <w:pPr>
              <w:spacing w:after="0" w:line="108" w:lineRule="exact"/>
              <w:rPr>
                <w:sz w:val="20"/>
                <w:szCs w:val="20"/>
                <w:color w:val="auto"/>
              </w:rPr>
            </w:pPr>
            <w:r>
              <w:rPr>
                <w:rFonts w:ascii="Arial" w:cs="Arial" w:eastAsia="Arial" w:hAnsi="Arial"/>
                <w:sz w:val="11"/>
                <w:szCs w:val="11"/>
                <w:color w:val="auto"/>
                <w:w w:val="95"/>
              </w:rPr>
              <w:t>has experienced growth in the number of students and teachers receiving its professional development and educational instruction</w:t>
            </w:r>
          </w:p>
        </w:tc>
        <w:tc>
          <w:tcPr>
            <w:tcW w:w="0" w:type="dxa"/>
            <w:vAlign w:val="bottom"/>
          </w:tcPr>
          <w:p>
            <w:pPr>
              <w:spacing w:after="0"/>
              <w:rPr>
                <w:sz w:val="1"/>
                <w:szCs w:val="1"/>
                <w:color w:val="auto"/>
              </w:rPr>
            </w:pPr>
          </w:p>
        </w:tc>
      </w:tr>
      <w:tr>
        <w:trPr>
          <w:trHeight w:val="151"/>
        </w:trPr>
        <w:tc>
          <w:tcPr>
            <w:tcW w:w="3460" w:type="dxa"/>
            <w:vAlign w:val="bottom"/>
            <w:vMerge w:val="continue"/>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760" w:type="dxa"/>
            <w:vAlign w:val="bottom"/>
            <w:vMerge w:val="continue"/>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880" w:type="dxa"/>
            <w:vAlign w:val="bottom"/>
            <w:vMerge w:val="continue"/>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60" w:type="dxa"/>
            <w:vAlign w:val="bottom"/>
            <w:shd w:val="clear" w:color="auto" w:fill="CCEEFF"/>
          </w:tcPr>
          <w:p>
            <w:pPr>
              <w:spacing w:after="0"/>
              <w:rPr>
                <w:sz w:val="20"/>
                <w:szCs w:val="20"/>
                <w:color w:val="auto"/>
              </w:rPr>
            </w:pPr>
            <w:r>
              <w:rPr>
                <w:rFonts w:ascii="Arial" w:cs="Arial" w:eastAsia="Arial" w:hAnsi="Arial"/>
                <w:sz w:val="11"/>
                <w:szCs w:val="11"/>
                <w:color w:val="auto"/>
              </w:rPr>
              <w:t>services.</w:t>
            </w:r>
          </w:p>
        </w:tc>
        <w:tc>
          <w:tcPr>
            <w:tcW w:w="0" w:type="dxa"/>
            <w:vAlign w:val="bottom"/>
          </w:tcPr>
          <w:p>
            <w:pPr>
              <w:spacing w:after="0"/>
              <w:rPr>
                <w:sz w:val="1"/>
                <w:szCs w:val="1"/>
                <w:color w:val="auto"/>
              </w:rPr>
            </w:pPr>
          </w:p>
        </w:tc>
      </w:tr>
      <w:tr>
        <w:trPr>
          <w:trHeight w:val="157"/>
        </w:trPr>
        <w:tc>
          <w:tcPr>
            <w:tcW w:w="3460" w:type="dxa"/>
            <w:vAlign w:val="bottom"/>
            <w:tcBorders>
              <w:bottom w:val="single" w:sz="8" w:color="CCEEFF"/>
            </w:tcBorders>
          </w:tcPr>
          <w:p>
            <w:pPr>
              <w:ind w:left="20"/>
              <w:spacing w:after="0"/>
              <w:rPr>
                <w:sz w:val="20"/>
                <w:szCs w:val="20"/>
                <w:color w:val="auto"/>
              </w:rPr>
            </w:pPr>
            <w:r>
              <w:rPr>
                <w:rFonts w:ascii="Arial" w:cs="Arial" w:eastAsia="Arial" w:hAnsi="Arial"/>
                <w:sz w:val="11"/>
                <w:szCs w:val="11"/>
                <w:color w:val="auto"/>
              </w:rPr>
              <w:t>Other</w:t>
            </w:r>
          </w:p>
        </w:tc>
        <w:tc>
          <w:tcPr>
            <w:tcW w:w="100" w:type="dxa"/>
            <w:vAlign w:val="bottom"/>
            <w:tcBorders>
              <w:bottom w:val="single" w:sz="8" w:color="auto"/>
            </w:tcBorders>
          </w:tcPr>
          <w:p>
            <w:pPr>
              <w:spacing w:after="0"/>
              <w:rPr>
                <w:sz w:val="13"/>
                <w:szCs w:val="13"/>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298</w:t>
            </w:r>
          </w:p>
        </w:tc>
        <w:tc>
          <w:tcPr>
            <w:tcW w:w="100" w:type="dxa"/>
            <w:vAlign w:val="bottom"/>
            <w:tcBorders>
              <w:bottom w:val="single" w:sz="8" w:color="CCEEFF"/>
            </w:tcBorders>
          </w:tcPr>
          <w:p>
            <w:pPr>
              <w:spacing w:after="0"/>
              <w:rPr>
                <w:sz w:val="13"/>
                <w:szCs w:val="13"/>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277</w:t>
            </w:r>
          </w:p>
        </w:tc>
        <w:tc>
          <w:tcPr>
            <w:tcW w:w="100" w:type="dxa"/>
            <w:vAlign w:val="bottom"/>
            <w:tcBorders>
              <w:bottom w:val="single" w:sz="8" w:color="CCEEFF"/>
            </w:tcBorders>
          </w:tcPr>
          <w:p>
            <w:pPr>
              <w:spacing w:after="0"/>
              <w:rPr>
                <w:sz w:val="13"/>
                <w:szCs w:val="13"/>
                <w:color w:val="auto"/>
              </w:rPr>
            </w:pPr>
          </w:p>
        </w:tc>
        <w:tc>
          <w:tcPr>
            <w:tcW w:w="6060" w:type="dxa"/>
            <w:vAlign w:val="bottom"/>
            <w:tcBorders>
              <w:bottom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57"/>
        </w:trPr>
        <w:tc>
          <w:tcPr>
            <w:tcW w:w="3460" w:type="dxa"/>
            <w:vAlign w:val="bottom"/>
            <w:shd w:val="clear" w:color="auto" w:fill="CCEEFF"/>
          </w:tcPr>
          <w:p>
            <w:pPr>
              <w:ind w:left="20"/>
              <w:spacing w:after="0"/>
              <w:rPr>
                <w:sz w:val="20"/>
                <w:szCs w:val="20"/>
                <w:color w:val="auto"/>
              </w:rPr>
            </w:pPr>
            <w:r>
              <w:rPr>
                <w:rFonts w:ascii="Arial" w:cs="Arial" w:eastAsia="Arial" w:hAnsi="Arial"/>
                <w:sz w:val="11"/>
                <w:szCs w:val="11"/>
                <w:color w:val="auto"/>
              </w:rPr>
              <w:t>Education technology, services, and payment processing revenue</w:t>
            </w:r>
          </w:p>
        </w:tc>
        <w:tc>
          <w:tcPr>
            <w:tcW w:w="100" w:type="dxa"/>
            <w:vAlign w:val="bottom"/>
            <w:shd w:val="clear" w:color="auto" w:fill="CCEEFF"/>
          </w:tcPr>
          <w:p>
            <w:pPr>
              <w:spacing w:after="0"/>
              <w:rPr>
                <w:sz w:val="13"/>
                <w:szCs w:val="13"/>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79,159</w:t>
            </w:r>
          </w:p>
        </w:tc>
        <w:tc>
          <w:tcPr>
            <w:tcW w:w="100" w:type="dxa"/>
            <w:vAlign w:val="bottom"/>
            <w:shd w:val="clear" w:color="auto" w:fill="CCEEFF"/>
          </w:tcPr>
          <w:p>
            <w:pPr>
              <w:spacing w:after="0"/>
              <w:rPr>
                <w:sz w:val="13"/>
                <w:szCs w:val="13"/>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1"/>
                <w:szCs w:val="11"/>
                <w:color w:val="auto"/>
              </w:rPr>
              <w:t>60,221</w:t>
            </w:r>
          </w:p>
        </w:tc>
        <w:tc>
          <w:tcPr>
            <w:tcW w:w="100" w:type="dxa"/>
            <w:vAlign w:val="bottom"/>
            <w:shd w:val="clear" w:color="auto" w:fill="CCEEFF"/>
          </w:tcPr>
          <w:p>
            <w:pPr>
              <w:spacing w:after="0"/>
              <w:rPr>
                <w:sz w:val="13"/>
                <w:szCs w:val="13"/>
                <w:color w:val="auto"/>
              </w:rPr>
            </w:pPr>
          </w:p>
        </w:tc>
        <w:tc>
          <w:tcPr>
            <w:tcW w:w="60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29"/>
        </w:trPr>
        <w:tc>
          <w:tcPr>
            <w:tcW w:w="3460" w:type="dxa"/>
            <w:vAlign w:val="bottom"/>
          </w:tcPr>
          <w:p>
            <w:pPr>
              <w:ind w:left="20"/>
              <w:spacing w:after="0"/>
              <w:rPr>
                <w:sz w:val="20"/>
                <w:szCs w:val="20"/>
                <w:color w:val="auto"/>
              </w:rPr>
            </w:pPr>
            <w:r>
              <w:rPr>
                <w:rFonts w:ascii="Arial" w:cs="Arial" w:eastAsia="Arial" w:hAnsi="Arial"/>
                <w:sz w:val="11"/>
                <w:szCs w:val="11"/>
                <w:color w:val="auto"/>
                <w:w w:val="96"/>
              </w:rPr>
              <w:t>Cost to provide education technology, services, and payment processing</w:t>
            </w:r>
          </w:p>
        </w:tc>
        <w:tc>
          <w:tcPr>
            <w:tcW w:w="100" w:type="dxa"/>
            <w:vAlign w:val="bottom"/>
          </w:tcPr>
          <w:p>
            <w:pPr>
              <w:spacing w:after="0"/>
              <w:rPr>
                <w:sz w:val="11"/>
                <w:szCs w:val="11"/>
                <w:color w:val="auto"/>
              </w:rPr>
            </w:pPr>
          </w:p>
        </w:tc>
        <w:tc>
          <w:tcPr>
            <w:tcW w:w="760" w:type="dxa"/>
            <w:vAlign w:val="bottom"/>
            <w:vMerge w:val="restart"/>
          </w:tcPr>
          <w:p>
            <w:pPr>
              <w:jc w:val="right"/>
              <w:spacing w:after="0"/>
              <w:rPr>
                <w:sz w:val="20"/>
                <w:szCs w:val="20"/>
                <w:color w:val="auto"/>
              </w:rPr>
            </w:pPr>
            <w:r>
              <w:rPr>
                <w:rFonts w:ascii="Arial" w:cs="Arial" w:eastAsia="Arial" w:hAnsi="Arial"/>
                <w:sz w:val="11"/>
                <w:szCs w:val="11"/>
                <w:color w:val="auto"/>
              </w:rPr>
              <w:t>21,059</w:t>
            </w:r>
          </w:p>
        </w:tc>
        <w:tc>
          <w:tcPr>
            <w:tcW w:w="100" w:type="dxa"/>
            <w:vAlign w:val="bottom"/>
          </w:tcPr>
          <w:p>
            <w:pPr>
              <w:spacing w:after="0"/>
              <w:rPr>
                <w:sz w:val="11"/>
                <w:szCs w:val="11"/>
                <w:color w:val="auto"/>
              </w:rPr>
            </w:pPr>
          </w:p>
        </w:tc>
        <w:tc>
          <w:tcPr>
            <w:tcW w:w="880" w:type="dxa"/>
            <w:vAlign w:val="bottom"/>
            <w:vMerge w:val="restart"/>
          </w:tcPr>
          <w:p>
            <w:pPr>
              <w:jc w:val="right"/>
              <w:spacing w:after="0"/>
              <w:rPr>
                <w:sz w:val="20"/>
                <w:szCs w:val="20"/>
                <w:color w:val="auto"/>
              </w:rPr>
            </w:pPr>
            <w:r>
              <w:rPr>
                <w:rFonts w:ascii="Arial" w:cs="Arial" w:eastAsia="Arial" w:hAnsi="Arial"/>
                <w:sz w:val="11"/>
                <w:szCs w:val="11"/>
                <w:color w:val="auto"/>
              </w:rPr>
              <w:t>13,683</w:t>
            </w:r>
          </w:p>
        </w:tc>
        <w:tc>
          <w:tcPr>
            <w:tcW w:w="100" w:type="dxa"/>
            <w:vAlign w:val="bottom"/>
          </w:tcPr>
          <w:p>
            <w:pPr>
              <w:spacing w:after="0"/>
              <w:rPr>
                <w:sz w:val="11"/>
                <w:szCs w:val="11"/>
                <w:color w:val="auto"/>
              </w:rPr>
            </w:pPr>
          </w:p>
        </w:tc>
        <w:tc>
          <w:tcPr>
            <w:tcW w:w="6060" w:type="dxa"/>
            <w:vAlign w:val="bottom"/>
          </w:tcPr>
          <w:p>
            <w:pPr>
              <w:spacing w:after="0"/>
              <w:rPr>
                <w:sz w:val="20"/>
                <w:szCs w:val="20"/>
                <w:color w:val="auto"/>
              </w:rPr>
            </w:pPr>
            <w:r>
              <w:rPr>
                <w:rFonts w:ascii="Arial" w:cs="Arial" w:eastAsia="Arial" w:hAnsi="Arial"/>
                <w:sz w:val="11"/>
                <w:szCs w:val="11"/>
                <w:color w:val="auto"/>
                <w:w w:val="97"/>
              </w:rPr>
              <w:t>Costs primarily relate to payment processing revenue. Increase was due to the acquisition of TMS and an increase in payments</w:t>
            </w:r>
          </w:p>
        </w:tc>
        <w:tc>
          <w:tcPr>
            <w:tcW w:w="0" w:type="dxa"/>
            <w:vAlign w:val="bottom"/>
          </w:tcPr>
          <w:p>
            <w:pPr>
              <w:spacing w:after="0"/>
              <w:rPr>
                <w:sz w:val="1"/>
                <w:szCs w:val="1"/>
                <w:color w:val="auto"/>
              </w:rPr>
            </w:pPr>
          </w:p>
        </w:tc>
      </w:tr>
      <w:tr>
        <w:trPr>
          <w:trHeight w:val="149"/>
        </w:trPr>
        <w:tc>
          <w:tcPr>
            <w:tcW w:w="3460" w:type="dxa"/>
            <w:vAlign w:val="bottom"/>
            <w:tcBorders>
              <w:bottom w:val="single" w:sz="8" w:color="CCEEFF"/>
            </w:tcBorders>
          </w:tcPr>
          <w:p>
            <w:pPr>
              <w:ind w:left="220"/>
              <w:spacing w:after="0"/>
              <w:rPr>
                <w:sz w:val="20"/>
                <w:szCs w:val="20"/>
                <w:color w:val="auto"/>
              </w:rPr>
            </w:pPr>
            <w:r>
              <w:rPr>
                <w:rFonts w:ascii="Arial" w:cs="Arial" w:eastAsia="Arial" w:hAnsi="Arial"/>
                <w:sz w:val="11"/>
                <w:szCs w:val="11"/>
                <w:color w:val="auto"/>
              </w:rPr>
              <w:t>services</w:t>
            </w:r>
          </w:p>
        </w:tc>
        <w:tc>
          <w:tcPr>
            <w:tcW w:w="10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vMerge w:val="continue"/>
          </w:tcPr>
          <w:p>
            <w:pPr>
              <w:spacing w:after="0"/>
              <w:rPr>
                <w:sz w:val="12"/>
                <w:szCs w:val="12"/>
                <w:color w:val="auto"/>
              </w:rPr>
            </w:pPr>
          </w:p>
        </w:tc>
        <w:tc>
          <w:tcPr>
            <w:tcW w:w="100" w:type="dxa"/>
            <w:vAlign w:val="bottom"/>
            <w:tcBorders>
              <w:bottom w:val="single" w:sz="8" w:color="CCEEFF"/>
            </w:tcBorders>
          </w:tcPr>
          <w:p>
            <w:pPr>
              <w:spacing w:after="0"/>
              <w:rPr>
                <w:sz w:val="12"/>
                <w:szCs w:val="12"/>
                <w:color w:val="auto"/>
              </w:rPr>
            </w:pPr>
          </w:p>
        </w:tc>
        <w:tc>
          <w:tcPr>
            <w:tcW w:w="880" w:type="dxa"/>
            <w:vAlign w:val="bottom"/>
            <w:tcBorders>
              <w:bottom w:val="single" w:sz="8" w:color="auto"/>
            </w:tcBorders>
            <w:vMerge w:val="continue"/>
          </w:tcPr>
          <w:p>
            <w:pPr>
              <w:spacing w:after="0"/>
              <w:rPr>
                <w:sz w:val="12"/>
                <w:szCs w:val="12"/>
                <w:color w:val="auto"/>
              </w:rPr>
            </w:pPr>
          </w:p>
        </w:tc>
        <w:tc>
          <w:tcPr>
            <w:tcW w:w="100" w:type="dxa"/>
            <w:vAlign w:val="bottom"/>
            <w:tcBorders>
              <w:bottom w:val="single" w:sz="8" w:color="CCEEFF"/>
            </w:tcBorders>
          </w:tcPr>
          <w:p>
            <w:pPr>
              <w:spacing w:after="0"/>
              <w:rPr>
                <w:sz w:val="12"/>
                <w:szCs w:val="12"/>
                <w:color w:val="auto"/>
              </w:rPr>
            </w:pPr>
          </w:p>
        </w:tc>
        <w:tc>
          <w:tcPr>
            <w:tcW w:w="6060" w:type="dxa"/>
            <w:vAlign w:val="bottom"/>
            <w:tcBorders>
              <w:bottom w:val="single" w:sz="8" w:color="CCEEFF"/>
            </w:tcBorders>
          </w:tcPr>
          <w:p>
            <w:pPr>
              <w:spacing w:after="0"/>
              <w:rPr>
                <w:sz w:val="20"/>
                <w:szCs w:val="20"/>
                <w:color w:val="auto"/>
              </w:rPr>
            </w:pPr>
            <w:r>
              <w:rPr>
                <w:rFonts w:ascii="Arial" w:cs="Arial" w:eastAsia="Arial" w:hAnsi="Arial"/>
                <w:sz w:val="11"/>
                <w:szCs w:val="11"/>
                <w:color w:val="auto"/>
              </w:rPr>
              <w:t>volume from new and existing school and non-education customers.</w:t>
            </w:r>
          </w:p>
        </w:tc>
        <w:tc>
          <w:tcPr>
            <w:tcW w:w="0" w:type="dxa"/>
            <w:vAlign w:val="bottom"/>
          </w:tcPr>
          <w:p>
            <w:pPr>
              <w:spacing w:after="0"/>
              <w:rPr>
                <w:sz w:val="1"/>
                <w:szCs w:val="1"/>
                <w:color w:val="auto"/>
              </w:rPr>
            </w:pPr>
          </w:p>
        </w:tc>
      </w:tr>
      <w:tr>
        <w:trPr>
          <w:trHeight w:val="158"/>
        </w:trPr>
        <w:tc>
          <w:tcPr>
            <w:tcW w:w="3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1"/>
                <w:szCs w:val="11"/>
                <w:color w:val="auto"/>
              </w:rPr>
              <w:t>Net revenue</w:t>
            </w: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rPr>
              <w:t>58,100</w:t>
            </w:r>
          </w:p>
        </w:tc>
        <w:tc>
          <w:tcPr>
            <w:tcW w:w="100" w:type="dxa"/>
            <w:vAlign w:val="bottom"/>
            <w:tcBorders>
              <w:bottom w:val="single" w:sz="8" w:color="CCEEFF"/>
            </w:tcBorders>
            <w:shd w:val="clear" w:color="auto" w:fill="CCEEFF"/>
          </w:tcPr>
          <w:p>
            <w:pPr>
              <w:spacing w:after="0"/>
              <w:rPr>
                <w:sz w:val="13"/>
                <w:szCs w:val="13"/>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rPr>
              <w:t>46,538</w:t>
            </w:r>
          </w:p>
        </w:tc>
        <w:tc>
          <w:tcPr>
            <w:tcW w:w="100" w:type="dxa"/>
            <w:vAlign w:val="bottom"/>
            <w:tcBorders>
              <w:bottom w:val="single" w:sz="8" w:color="CCEEFF"/>
            </w:tcBorders>
            <w:shd w:val="clear" w:color="auto" w:fill="CCEEFF"/>
          </w:tcPr>
          <w:p>
            <w:pPr>
              <w:spacing w:after="0"/>
              <w:rPr>
                <w:sz w:val="13"/>
                <w:szCs w:val="13"/>
                <w:color w:val="auto"/>
              </w:rPr>
            </w:pPr>
          </w:p>
        </w:tc>
        <w:tc>
          <w:tcPr>
            <w:tcW w:w="6060" w:type="dxa"/>
            <w:vAlign w:val="bottom"/>
            <w:tcBorders>
              <w:bottom w:val="single" w:sz="8" w:color="CCEEFF"/>
            </w:tcBorders>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34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7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bottom w:val="single" w:sz="8" w:color="CCEEFF"/>
            </w:tcBorders>
            <w:vMerge w:val="restart"/>
          </w:tcPr>
          <w:p>
            <w:pPr>
              <w:spacing w:after="0" w:line="20" w:lineRule="exact"/>
              <w:rPr>
                <w:sz w:val="1"/>
                <w:szCs w:val="1"/>
                <w:color w:val="auto"/>
              </w:rPr>
            </w:pPr>
          </w:p>
        </w:tc>
        <w:tc>
          <w:tcPr>
            <w:tcW w:w="6060" w:type="dxa"/>
            <w:vAlign w:val="bottom"/>
            <w:tcBorders>
              <w:top w:val="single" w:sz="8" w:color="CCEEFF"/>
              <w:bottom w:val="single" w:sz="8" w:color="CCEEFF"/>
            </w:tcBorders>
            <w:vMerge w:val="restart"/>
          </w:tcPr>
          <w:p>
            <w:pPr>
              <w:spacing w:after="0" w:line="106" w:lineRule="exact"/>
              <w:rPr>
                <w:sz w:val="20"/>
                <w:szCs w:val="20"/>
                <w:color w:val="auto"/>
              </w:rPr>
            </w:pPr>
            <w:r>
              <w:rPr>
                <w:rFonts w:ascii="Arial" w:cs="Arial" w:eastAsia="Arial" w:hAnsi="Arial"/>
                <w:sz w:val="11"/>
                <w:szCs w:val="11"/>
                <w:color w:val="auto"/>
                <w:w w:val="97"/>
              </w:rPr>
              <w:t>Before tax operating margin (income before income taxes divided by net revenue) increased due to operating leverage and cost</w:t>
            </w:r>
          </w:p>
        </w:tc>
        <w:tc>
          <w:tcPr>
            <w:tcW w:w="0" w:type="dxa"/>
            <w:vAlign w:val="bottom"/>
          </w:tcPr>
          <w:p>
            <w:pPr>
              <w:spacing w:after="0" w:line="20" w:lineRule="exact"/>
              <w:rPr>
                <w:sz w:val="1"/>
                <w:szCs w:val="1"/>
                <w:color w:val="auto"/>
              </w:rPr>
            </w:pPr>
          </w:p>
        </w:tc>
      </w:tr>
      <w:tr>
        <w:trPr>
          <w:trHeight w:val="66"/>
        </w:trPr>
        <w:tc>
          <w:tcPr>
            <w:tcW w:w="3460" w:type="dxa"/>
            <w:vAlign w:val="bottom"/>
          </w:tcPr>
          <w:p>
            <w:pPr>
              <w:spacing w:after="0"/>
              <w:rPr>
                <w:sz w:val="5"/>
                <w:szCs w:val="5"/>
                <w:color w:val="auto"/>
              </w:rPr>
            </w:pPr>
          </w:p>
        </w:tc>
        <w:tc>
          <w:tcPr>
            <w:tcW w:w="100" w:type="dxa"/>
            <w:vAlign w:val="bottom"/>
          </w:tcPr>
          <w:p>
            <w:pPr>
              <w:spacing w:after="0"/>
              <w:rPr>
                <w:sz w:val="5"/>
                <w:szCs w:val="5"/>
                <w:color w:val="auto"/>
              </w:rPr>
            </w:pPr>
          </w:p>
        </w:tc>
        <w:tc>
          <w:tcPr>
            <w:tcW w:w="760" w:type="dxa"/>
            <w:vAlign w:val="bottom"/>
          </w:tcPr>
          <w:p>
            <w:pPr>
              <w:spacing w:after="0"/>
              <w:rPr>
                <w:sz w:val="5"/>
                <w:szCs w:val="5"/>
                <w:color w:val="auto"/>
              </w:rPr>
            </w:pPr>
          </w:p>
        </w:tc>
        <w:tc>
          <w:tcPr>
            <w:tcW w:w="100" w:type="dxa"/>
            <w:vAlign w:val="bottom"/>
          </w:tcPr>
          <w:p>
            <w:pPr>
              <w:spacing w:after="0"/>
              <w:rPr>
                <w:sz w:val="5"/>
                <w:szCs w:val="5"/>
                <w:color w:val="auto"/>
              </w:rPr>
            </w:pPr>
          </w:p>
        </w:tc>
        <w:tc>
          <w:tcPr>
            <w:tcW w:w="880" w:type="dxa"/>
            <w:vAlign w:val="bottom"/>
          </w:tcPr>
          <w:p>
            <w:pPr>
              <w:spacing w:after="0"/>
              <w:rPr>
                <w:sz w:val="5"/>
                <w:szCs w:val="5"/>
                <w:color w:val="auto"/>
              </w:rPr>
            </w:pPr>
          </w:p>
        </w:tc>
        <w:tc>
          <w:tcPr>
            <w:tcW w:w="100" w:type="dxa"/>
            <w:vAlign w:val="bottom"/>
            <w:vMerge w:val="continue"/>
          </w:tcPr>
          <w:p>
            <w:pPr>
              <w:spacing w:after="0"/>
              <w:rPr>
                <w:sz w:val="5"/>
                <w:szCs w:val="5"/>
                <w:color w:val="auto"/>
              </w:rPr>
            </w:pPr>
          </w:p>
        </w:tc>
        <w:tc>
          <w:tcPr>
            <w:tcW w:w="606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19"/>
        </w:trPr>
        <w:tc>
          <w:tcPr>
            <w:tcW w:w="34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60" w:type="dxa"/>
            <w:vAlign w:val="bottom"/>
          </w:tcPr>
          <w:p>
            <w:pPr>
              <w:spacing w:after="0" w:line="119" w:lineRule="exact"/>
              <w:rPr>
                <w:sz w:val="20"/>
                <w:szCs w:val="20"/>
                <w:color w:val="auto"/>
              </w:rPr>
            </w:pPr>
            <w:r>
              <w:rPr>
                <w:rFonts w:ascii="Arial" w:cs="Arial" w:eastAsia="Arial" w:hAnsi="Arial"/>
                <w:sz w:val="11"/>
                <w:szCs w:val="11"/>
                <w:color w:val="auto"/>
              </w:rPr>
              <w:t>reductions due to the Company's decision in October 2018 to terminate its investment in a proprietary payment processing</w:t>
            </w:r>
          </w:p>
        </w:tc>
        <w:tc>
          <w:tcPr>
            <w:tcW w:w="0" w:type="dxa"/>
            <w:vAlign w:val="bottom"/>
          </w:tcPr>
          <w:p>
            <w:pPr>
              <w:spacing w:after="0"/>
              <w:rPr>
                <w:sz w:val="1"/>
                <w:szCs w:val="1"/>
                <w:color w:val="auto"/>
              </w:rPr>
            </w:pPr>
          </w:p>
        </w:tc>
      </w:tr>
      <w:tr>
        <w:trPr>
          <w:trHeight w:val="146"/>
        </w:trPr>
        <w:tc>
          <w:tcPr>
            <w:tcW w:w="3460" w:type="dxa"/>
            <w:vAlign w:val="bottom"/>
          </w:tcPr>
          <w:p>
            <w:pPr>
              <w:ind w:left="20"/>
              <w:spacing w:after="0"/>
              <w:rPr>
                <w:sz w:val="20"/>
                <w:szCs w:val="20"/>
                <w:color w:val="auto"/>
              </w:rPr>
            </w:pPr>
            <w:r>
              <w:rPr>
                <w:rFonts w:ascii="Arial" w:cs="Arial" w:eastAsia="Arial" w:hAnsi="Arial"/>
                <w:sz w:val="11"/>
                <w:szCs w:val="11"/>
                <w:color w:val="auto"/>
              </w:rPr>
              <w:t>Before tax operating margin</w:t>
            </w:r>
          </w:p>
        </w:tc>
        <w:tc>
          <w:tcPr>
            <w:tcW w:w="100" w:type="dxa"/>
            <w:vAlign w:val="bottom"/>
          </w:tcPr>
          <w:p>
            <w:pPr>
              <w:spacing w:after="0"/>
              <w:rPr>
                <w:sz w:val="12"/>
                <w:szCs w:val="12"/>
                <w:color w:val="auto"/>
              </w:rPr>
            </w:pPr>
          </w:p>
        </w:tc>
        <w:tc>
          <w:tcPr>
            <w:tcW w:w="760" w:type="dxa"/>
            <w:vAlign w:val="bottom"/>
          </w:tcPr>
          <w:p>
            <w:pPr>
              <w:jc w:val="right"/>
              <w:spacing w:after="0"/>
              <w:rPr>
                <w:sz w:val="20"/>
                <w:szCs w:val="20"/>
                <w:color w:val="auto"/>
              </w:rPr>
            </w:pPr>
            <w:r>
              <w:rPr>
                <w:rFonts w:ascii="Arial" w:cs="Arial" w:eastAsia="Arial" w:hAnsi="Arial"/>
                <w:sz w:val="11"/>
                <w:szCs w:val="11"/>
                <w:color w:val="auto"/>
              </w:rPr>
              <w:t>43.0 %</w:t>
            </w:r>
          </w:p>
        </w:tc>
        <w:tc>
          <w:tcPr>
            <w:tcW w:w="100" w:type="dxa"/>
            <w:vAlign w:val="bottom"/>
          </w:tcPr>
          <w:p>
            <w:pPr>
              <w:spacing w:after="0"/>
              <w:rPr>
                <w:sz w:val="12"/>
                <w:szCs w:val="12"/>
                <w:color w:val="auto"/>
              </w:rPr>
            </w:pPr>
          </w:p>
        </w:tc>
        <w:tc>
          <w:tcPr>
            <w:tcW w:w="880" w:type="dxa"/>
            <w:vAlign w:val="bottom"/>
          </w:tcPr>
          <w:p>
            <w:pPr>
              <w:jc w:val="right"/>
              <w:spacing w:after="0"/>
              <w:rPr>
                <w:sz w:val="20"/>
                <w:szCs w:val="20"/>
                <w:color w:val="auto"/>
              </w:rPr>
            </w:pPr>
            <w:r>
              <w:rPr>
                <w:rFonts w:ascii="Arial" w:cs="Arial" w:eastAsia="Arial" w:hAnsi="Arial"/>
                <w:sz w:val="11"/>
                <w:szCs w:val="11"/>
                <w:color w:val="auto"/>
              </w:rPr>
              <w:t>37.8 %</w:t>
            </w:r>
          </w:p>
        </w:tc>
        <w:tc>
          <w:tcPr>
            <w:tcW w:w="100" w:type="dxa"/>
            <w:vAlign w:val="bottom"/>
          </w:tcPr>
          <w:p>
            <w:pPr>
              <w:spacing w:after="0"/>
              <w:rPr>
                <w:sz w:val="12"/>
                <w:szCs w:val="12"/>
                <w:color w:val="auto"/>
              </w:rPr>
            </w:pPr>
          </w:p>
        </w:tc>
        <w:tc>
          <w:tcPr>
            <w:tcW w:w="6060" w:type="dxa"/>
            <w:vAlign w:val="bottom"/>
          </w:tcPr>
          <w:p>
            <w:pPr>
              <w:spacing w:after="0"/>
              <w:rPr>
                <w:sz w:val="20"/>
                <w:szCs w:val="20"/>
                <w:color w:val="auto"/>
              </w:rPr>
            </w:pPr>
            <w:r>
              <w:rPr>
                <w:rFonts w:ascii="Arial" w:cs="Arial" w:eastAsia="Arial" w:hAnsi="Arial"/>
                <w:sz w:val="11"/>
                <w:szCs w:val="11"/>
                <w:color w:val="auto"/>
              </w:rPr>
              <w:t>platform.</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40</w:t>
      </w:r>
    </w:p>
    <w:p>
      <w:pPr>
        <w:sectPr>
          <w:pgSz w:w="11900" w:h="16838" w:orient="portrait"/>
          <w:cols w:equalWidth="0" w:num="1">
            <w:col w:w="11460"/>
          </w:cols>
          <w:pgMar w:left="220" w:top="743" w:right="219" w:bottom="1440" w:gutter="0" w:footer="0" w:header="0"/>
        </w:sectPr>
      </w:pPr>
    </w:p>
    <w:bookmarkStart w:id="41" w:name="page42"/>
    <w:bookmarkEnd w:id="41"/>
    <w:p>
      <w:pPr>
        <w:spacing w:after="0"/>
        <w:rPr>
          <w:sz w:val="20"/>
          <w:szCs w:val="20"/>
          <w:color w:val="auto"/>
        </w:rPr>
      </w:pPr>
      <w:r>
        <w:rPr>
          <w:rFonts w:ascii="Arial" w:cs="Arial" w:eastAsia="Arial" w:hAnsi="Arial"/>
          <w:sz w:val="14"/>
          <w:szCs w:val="14"/>
          <w:b w:val="1"/>
          <w:bCs w:val="1"/>
          <w:color w:val="auto"/>
        </w:rPr>
        <w:t>COMMUNICATIONS OPERATING SEGMENT – RESULTS OF OPERATIONS</w:t>
      </w:r>
    </w:p>
    <w:p>
      <w:pPr>
        <w:spacing w:after="0" w:line="145" w:lineRule="exact"/>
        <w:rPr>
          <w:sz w:val="20"/>
          <w:szCs w:val="20"/>
          <w:color w:val="auto"/>
        </w:rPr>
      </w:pPr>
    </w:p>
    <w:p>
      <w:pPr>
        <w:spacing w:after="0"/>
        <w:rPr>
          <w:sz w:val="20"/>
          <w:szCs w:val="20"/>
          <w:color w:val="auto"/>
        </w:rPr>
      </w:pPr>
      <w:r>
        <w:rPr>
          <w:rFonts w:ascii="Arial" w:cs="Arial" w:eastAsia="Arial" w:hAnsi="Arial"/>
          <w:sz w:val="14"/>
          <w:szCs w:val="14"/>
          <w:b w:val="1"/>
          <w:bCs w:val="1"/>
          <w:i w:val="1"/>
          <w:iCs w:val="1"/>
          <w:color w:val="auto"/>
        </w:rPr>
        <w:t>Summary and Comparison of Operating Results</w:t>
      </w:r>
    </w:p>
    <w:p>
      <w:pPr>
        <w:spacing w:after="0" w:line="91" w:lineRule="exact"/>
        <w:rPr>
          <w:sz w:val="20"/>
          <w:szCs w:val="20"/>
          <w:color w:val="auto"/>
        </w:rPr>
      </w:pPr>
    </w:p>
    <w:tbl>
      <w:tblPr>
        <w:tblLayout w:type="fixed"/>
        <w:tblInd w:w="20" w:type="dxa"/>
        <w:tblCellMar>
          <w:top w:w="0" w:type="dxa"/>
          <w:left w:w="0" w:type="dxa"/>
          <w:bottom w:w="0" w:type="dxa"/>
          <w:right w:w="0" w:type="dxa"/>
        </w:tblCellMar>
      </w:tblPr>
      <w:tr>
        <w:trPr>
          <w:trHeight w:val="153"/>
        </w:trPr>
        <w:tc>
          <w:tcPr>
            <w:tcW w:w="3000" w:type="dxa"/>
            <w:vAlign w:val="bottom"/>
          </w:tcPr>
          <w:p>
            <w:pPr>
              <w:spacing w:after="0"/>
              <w:rPr>
                <w:sz w:val="13"/>
                <w:szCs w:val="13"/>
                <w:color w:val="auto"/>
              </w:rPr>
            </w:pPr>
          </w:p>
        </w:tc>
        <w:tc>
          <w:tcPr>
            <w:tcW w:w="1980" w:type="dxa"/>
            <w:vAlign w:val="bottom"/>
            <w:tcBorders>
              <w:bottom w:val="single" w:sz="8" w:color="auto"/>
            </w:tcBorders>
            <w:gridSpan w:val="4"/>
          </w:tcPr>
          <w:p>
            <w:pPr>
              <w:jc w:val="right"/>
              <w:ind w:right="163"/>
              <w:spacing w:after="0"/>
              <w:rPr>
                <w:sz w:val="20"/>
                <w:szCs w:val="20"/>
                <w:color w:val="auto"/>
              </w:rPr>
            </w:pPr>
            <w:r>
              <w:rPr>
                <w:rFonts w:ascii="Arial" w:cs="Arial" w:eastAsia="Arial" w:hAnsi="Arial"/>
                <w:sz w:val="11"/>
                <w:szCs w:val="11"/>
                <w:b w:val="1"/>
                <w:bCs w:val="1"/>
                <w:color w:val="auto"/>
              </w:rPr>
              <w:t>Three months ended March 31,</w:t>
            </w:r>
          </w:p>
        </w:tc>
        <w:tc>
          <w:tcPr>
            <w:tcW w:w="100" w:type="dxa"/>
            <w:vAlign w:val="bottom"/>
          </w:tcPr>
          <w:p>
            <w:pPr>
              <w:spacing w:after="0"/>
              <w:rPr>
                <w:sz w:val="13"/>
                <w:szCs w:val="13"/>
                <w:color w:val="auto"/>
              </w:rPr>
            </w:pPr>
          </w:p>
        </w:tc>
        <w:tc>
          <w:tcPr>
            <w:tcW w:w="6360" w:type="dxa"/>
            <w:vAlign w:val="bottom"/>
            <w:tcBorders>
              <w:bottom w:val="single" w:sz="8" w:color="auto"/>
            </w:tcBorders>
          </w:tcPr>
          <w:p>
            <w:pPr>
              <w:ind w:left="2600"/>
              <w:spacing w:after="0"/>
              <w:rPr>
                <w:sz w:val="20"/>
                <w:szCs w:val="20"/>
                <w:color w:val="auto"/>
              </w:rPr>
            </w:pPr>
            <w:r>
              <w:rPr>
                <w:rFonts w:ascii="Arial" w:cs="Arial" w:eastAsia="Arial" w:hAnsi="Arial"/>
                <w:sz w:val="11"/>
                <w:szCs w:val="11"/>
                <w:b w:val="1"/>
                <w:bCs w:val="1"/>
                <w:color w:val="auto"/>
              </w:rPr>
              <w:t>Additional information</w:t>
            </w:r>
          </w:p>
        </w:tc>
        <w:tc>
          <w:tcPr>
            <w:tcW w:w="0" w:type="dxa"/>
            <w:vAlign w:val="bottom"/>
          </w:tcPr>
          <w:p>
            <w:pPr>
              <w:spacing w:after="0"/>
              <w:rPr>
                <w:sz w:val="1"/>
                <w:szCs w:val="1"/>
                <w:color w:val="auto"/>
              </w:rPr>
            </w:pPr>
          </w:p>
        </w:tc>
      </w:tr>
      <w:tr>
        <w:trPr>
          <w:trHeight w:val="152"/>
        </w:trPr>
        <w:tc>
          <w:tcPr>
            <w:tcW w:w="3000" w:type="dxa"/>
            <w:vAlign w:val="bottom"/>
            <w:tcBorders>
              <w:bottom w:val="single" w:sz="8" w:color="CCEEFF"/>
            </w:tcBorders>
          </w:tcPr>
          <w:p>
            <w:pPr>
              <w:spacing w:after="0"/>
              <w:rPr>
                <w:sz w:val="13"/>
                <w:szCs w:val="13"/>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1"/>
                <w:szCs w:val="11"/>
                <w:b w:val="1"/>
                <w:bCs w:val="1"/>
                <w:color w:val="auto"/>
              </w:rPr>
              <w:t>2019</w:t>
            </w:r>
          </w:p>
        </w:tc>
        <w:tc>
          <w:tcPr>
            <w:tcW w:w="360" w:type="dxa"/>
            <w:vAlign w:val="bottom"/>
            <w:tcBorders>
              <w:bottom w:val="single" w:sz="8" w:color="auto"/>
            </w:tcBorders>
          </w:tcPr>
          <w:p>
            <w:pPr>
              <w:spacing w:after="0"/>
              <w:rPr>
                <w:sz w:val="13"/>
                <w:szCs w:val="13"/>
                <w:color w:val="auto"/>
              </w:rPr>
            </w:pPr>
          </w:p>
        </w:tc>
        <w:tc>
          <w:tcPr>
            <w:tcW w:w="100" w:type="dxa"/>
            <w:vAlign w:val="bottom"/>
            <w:tcBorders>
              <w:bottom w:val="single" w:sz="8" w:color="CCEEFF"/>
            </w:tcBorders>
          </w:tcPr>
          <w:p>
            <w:pPr>
              <w:spacing w:after="0"/>
              <w:rPr>
                <w:sz w:val="13"/>
                <w:szCs w:val="13"/>
                <w:color w:val="auto"/>
              </w:rPr>
            </w:pPr>
          </w:p>
        </w:tc>
        <w:tc>
          <w:tcPr>
            <w:tcW w:w="920" w:type="dxa"/>
            <w:vAlign w:val="bottom"/>
            <w:tcBorders>
              <w:bottom w:val="single" w:sz="8" w:color="auto"/>
            </w:tcBorders>
          </w:tcPr>
          <w:p>
            <w:pPr>
              <w:jc w:val="right"/>
              <w:ind w:right="303"/>
              <w:spacing w:after="0"/>
              <w:rPr>
                <w:sz w:val="20"/>
                <w:szCs w:val="20"/>
                <w:color w:val="auto"/>
              </w:rPr>
            </w:pPr>
            <w:r>
              <w:rPr>
                <w:rFonts w:ascii="Arial" w:cs="Arial" w:eastAsia="Arial" w:hAnsi="Arial"/>
                <w:sz w:val="11"/>
                <w:szCs w:val="11"/>
                <w:b w:val="1"/>
                <w:bCs w:val="1"/>
                <w:color w:val="auto"/>
              </w:rPr>
              <w:t>2018</w:t>
            </w:r>
          </w:p>
        </w:tc>
        <w:tc>
          <w:tcPr>
            <w:tcW w:w="100" w:type="dxa"/>
            <w:vAlign w:val="bottom"/>
            <w:tcBorders>
              <w:bottom w:val="single" w:sz="8" w:color="CCEEFF"/>
            </w:tcBorders>
          </w:tcPr>
          <w:p>
            <w:pPr>
              <w:spacing w:after="0"/>
              <w:rPr>
                <w:sz w:val="13"/>
                <w:szCs w:val="13"/>
                <w:color w:val="auto"/>
              </w:rPr>
            </w:pPr>
          </w:p>
        </w:tc>
        <w:tc>
          <w:tcPr>
            <w:tcW w:w="6360" w:type="dxa"/>
            <w:vAlign w:val="bottom"/>
            <w:tcBorders>
              <w:bottom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57"/>
        </w:trPr>
        <w:tc>
          <w:tcPr>
            <w:tcW w:w="3000" w:type="dxa"/>
            <w:vAlign w:val="bottom"/>
            <w:shd w:val="clear" w:color="auto" w:fill="CCEEFF"/>
          </w:tcPr>
          <w:p>
            <w:pPr>
              <w:spacing w:after="0"/>
              <w:rPr>
                <w:sz w:val="20"/>
                <w:szCs w:val="20"/>
                <w:color w:val="auto"/>
              </w:rPr>
            </w:pPr>
            <w:r>
              <w:rPr>
                <w:rFonts w:ascii="Arial" w:cs="Arial" w:eastAsia="Arial" w:hAnsi="Arial"/>
                <w:sz w:val="11"/>
                <w:szCs w:val="11"/>
                <w:color w:val="auto"/>
              </w:rPr>
              <w:t>Net interest income (expense)</w:t>
            </w:r>
          </w:p>
        </w:tc>
        <w:tc>
          <w:tcPr>
            <w:tcW w:w="600" w:type="dxa"/>
            <w:vAlign w:val="bottom"/>
            <w:tcBorders>
              <w:bottom w:val="single" w:sz="8" w:color="auto"/>
            </w:tcBorders>
            <w:shd w:val="clear" w:color="auto" w:fill="CCEEFF"/>
          </w:tcPr>
          <w:p>
            <w:pPr>
              <w:jc w:val="right"/>
              <w:ind w:right="463"/>
              <w:spacing w:after="0"/>
              <w:rPr>
                <w:sz w:val="20"/>
                <w:szCs w:val="20"/>
                <w:color w:val="auto"/>
              </w:rPr>
            </w:pPr>
            <w:r>
              <w:rPr>
                <w:rFonts w:ascii="Arial" w:cs="Arial" w:eastAsia="Arial" w:hAnsi="Arial"/>
                <w:sz w:val="11"/>
                <w:szCs w:val="11"/>
                <w:color w:val="auto"/>
                <w:w w:val="97"/>
              </w:rPr>
              <w:t>$</w:t>
            </w:r>
          </w:p>
        </w:tc>
        <w:tc>
          <w:tcPr>
            <w:tcW w:w="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rPr>
              <w:t>2</w:t>
            </w:r>
          </w:p>
        </w:tc>
        <w:tc>
          <w:tcPr>
            <w:tcW w:w="100" w:type="dxa"/>
            <w:vAlign w:val="bottom"/>
            <w:shd w:val="clear" w:color="auto" w:fill="CCEEFF"/>
          </w:tcPr>
          <w:p>
            <w:pPr>
              <w:spacing w:after="0"/>
              <w:rPr>
                <w:sz w:val="13"/>
                <w:szCs w:val="13"/>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rPr>
              <w:t>(2,508)</w:t>
            </w:r>
          </w:p>
        </w:tc>
        <w:tc>
          <w:tcPr>
            <w:tcW w:w="100" w:type="dxa"/>
            <w:vAlign w:val="bottom"/>
            <w:shd w:val="clear" w:color="auto" w:fill="CCEEFF"/>
          </w:tcPr>
          <w:p>
            <w:pPr>
              <w:spacing w:after="0"/>
              <w:rPr>
                <w:sz w:val="13"/>
                <w:szCs w:val="13"/>
                <w:color w:val="auto"/>
              </w:rPr>
            </w:pPr>
          </w:p>
        </w:tc>
        <w:tc>
          <w:tcPr>
            <w:tcW w:w="6360" w:type="dxa"/>
            <w:vAlign w:val="bottom"/>
            <w:shd w:val="clear" w:color="auto" w:fill="CCEEFF"/>
          </w:tcPr>
          <w:p>
            <w:pPr>
              <w:spacing w:after="0"/>
              <w:rPr>
                <w:sz w:val="20"/>
                <w:szCs w:val="20"/>
                <w:color w:val="auto"/>
              </w:rPr>
            </w:pPr>
            <w:r>
              <w:rPr>
                <w:rFonts w:ascii="Arial" w:cs="Arial" w:eastAsia="Arial" w:hAnsi="Arial"/>
                <w:sz w:val="11"/>
                <w:szCs w:val="11"/>
                <w:color w:val="auto"/>
              </w:rPr>
              <w:t>See note (a) below for additional information.</w:t>
            </w:r>
          </w:p>
        </w:tc>
        <w:tc>
          <w:tcPr>
            <w:tcW w:w="0" w:type="dxa"/>
            <w:vAlign w:val="bottom"/>
          </w:tcPr>
          <w:p>
            <w:pPr>
              <w:spacing w:after="0"/>
              <w:rPr>
                <w:sz w:val="1"/>
                <w:szCs w:val="1"/>
                <w:color w:val="auto"/>
              </w:rPr>
            </w:pPr>
          </w:p>
        </w:tc>
      </w:tr>
      <w:tr>
        <w:trPr>
          <w:trHeight w:val="111"/>
        </w:trPr>
        <w:tc>
          <w:tcPr>
            <w:tcW w:w="3000" w:type="dxa"/>
            <w:vAlign w:val="bottom"/>
          </w:tcPr>
          <w:p>
            <w:pPr>
              <w:spacing w:after="0"/>
              <w:rPr>
                <w:sz w:val="9"/>
                <w:szCs w:val="9"/>
                <w:color w:val="auto"/>
              </w:rPr>
            </w:pPr>
          </w:p>
        </w:tc>
        <w:tc>
          <w:tcPr>
            <w:tcW w:w="600" w:type="dxa"/>
            <w:vAlign w:val="bottom"/>
          </w:tcPr>
          <w:p>
            <w:pPr>
              <w:spacing w:after="0"/>
              <w:rPr>
                <w:sz w:val="9"/>
                <w:szCs w:val="9"/>
                <w:color w:val="auto"/>
              </w:rPr>
            </w:pPr>
          </w:p>
        </w:tc>
        <w:tc>
          <w:tcPr>
            <w:tcW w:w="360" w:type="dxa"/>
            <w:vAlign w:val="bottom"/>
          </w:tcPr>
          <w:p>
            <w:pPr>
              <w:spacing w:after="0"/>
              <w:rPr>
                <w:sz w:val="9"/>
                <w:szCs w:val="9"/>
                <w:color w:val="auto"/>
              </w:rPr>
            </w:pPr>
          </w:p>
        </w:tc>
        <w:tc>
          <w:tcPr>
            <w:tcW w:w="100" w:type="dxa"/>
            <w:vAlign w:val="bottom"/>
          </w:tcPr>
          <w:p>
            <w:pPr>
              <w:spacing w:after="0"/>
              <w:rPr>
                <w:sz w:val="9"/>
                <w:szCs w:val="9"/>
                <w:color w:val="auto"/>
              </w:rPr>
            </w:pPr>
          </w:p>
        </w:tc>
        <w:tc>
          <w:tcPr>
            <w:tcW w:w="9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360" w:type="dxa"/>
            <w:vAlign w:val="bottom"/>
          </w:tcPr>
          <w:p>
            <w:pPr>
              <w:spacing w:after="0" w:line="111" w:lineRule="exact"/>
              <w:rPr>
                <w:sz w:val="20"/>
                <w:szCs w:val="20"/>
                <w:color w:val="auto"/>
              </w:rPr>
            </w:pPr>
            <w:r>
              <w:rPr>
                <w:rFonts w:ascii="Arial" w:cs="Arial" w:eastAsia="Arial" w:hAnsi="Arial"/>
                <w:sz w:val="11"/>
                <w:szCs w:val="11"/>
                <w:color w:val="auto"/>
                <w:w w:val="92"/>
              </w:rPr>
              <w:t>Communications revenue is derived primarily from the sale of pure fiber optic services to residential and business customers in Nebraska and</w:t>
            </w:r>
          </w:p>
        </w:tc>
        <w:tc>
          <w:tcPr>
            <w:tcW w:w="0" w:type="dxa"/>
            <w:vAlign w:val="bottom"/>
          </w:tcPr>
          <w:p>
            <w:pPr>
              <w:spacing w:after="0"/>
              <w:rPr>
                <w:sz w:val="1"/>
                <w:szCs w:val="1"/>
                <w:color w:val="auto"/>
              </w:rPr>
            </w:pPr>
          </w:p>
        </w:tc>
      </w:tr>
      <w:tr>
        <w:trPr>
          <w:trHeight w:val="119"/>
        </w:trPr>
        <w:tc>
          <w:tcPr>
            <w:tcW w:w="3000" w:type="dxa"/>
            <w:vAlign w:val="bottom"/>
            <w:vMerge w:val="restart"/>
          </w:tcPr>
          <w:p>
            <w:pPr>
              <w:spacing w:after="0"/>
              <w:rPr>
                <w:sz w:val="20"/>
                <w:szCs w:val="20"/>
                <w:color w:val="auto"/>
              </w:rPr>
            </w:pPr>
            <w:r>
              <w:rPr>
                <w:rFonts w:ascii="Arial" w:cs="Arial" w:eastAsia="Arial" w:hAnsi="Arial"/>
                <w:sz w:val="11"/>
                <w:szCs w:val="11"/>
                <w:color w:val="auto"/>
              </w:rPr>
              <w:t>Communications revenue</w:t>
            </w:r>
          </w:p>
        </w:tc>
        <w:tc>
          <w:tcPr>
            <w:tcW w:w="600" w:type="dxa"/>
            <w:vAlign w:val="bottom"/>
          </w:tcPr>
          <w:p>
            <w:pPr>
              <w:spacing w:after="0"/>
              <w:rPr>
                <w:sz w:val="10"/>
                <w:szCs w:val="10"/>
                <w:color w:val="auto"/>
              </w:rPr>
            </w:pPr>
          </w:p>
        </w:tc>
        <w:tc>
          <w:tcPr>
            <w:tcW w:w="360" w:type="dxa"/>
            <w:vAlign w:val="bottom"/>
            <w:vMerge w:val="restart"/>
          </w:tcPr>
          <w:p>
            <w:pPr>
              <w:jc w:val="right"/>
              <w:spacing w:after="0"/>
              <w:rPr>
                <w:sz w:val="20"/>
                <w:szCs w:val="20"/>
                <w:color w:val="auto"/>
              </w:rPr>
            </w:pPr>
            <w:r>
              <w:rPr>
                <w:rFonts w:ascii="Arial" w:cs="Arial" w:eastAsia="Arial" w:hAnsi="Arial"/>
                <w:sz w:val="11"/>
                <w:szCs w:val="11"/>
                <w:color w:val="auto"/>
                <w:w w:val="89"/>
              </w:rPr>
              <w:t>14,543</w:t>
            </w:r>
          </w:p>
        </w:tc>
        <w:tc>
          <w:tcPr>
            <w:tcW w:w="100" w:type="dxa"/>
            <w:vAlign w:val="bottom"/>
          </w:tcPr>
          <w:p>
            <w:pPr>
              <w:spacing w:after="0"/>
              <w:rPr>
                <w:sz w:val="10"/>
                <w:szCs w:val="10"/>
                <w:color w:val="auto"/>
              </w:rPr>
            </w:pPr>
          </w:p>
        </w:tc>
        <w:tc>
          <w:tcPr>
            <w:tcW w:w="920" w:type="dxa"/>
            <w:vAlign w:val="bottom"/>
            <w:vMerge w:val="restart"/>
          </w:tcPr>
          <w:p>
            <w:pPr>
              <w:jc w:val="right"/>
              <w:ind w:right="3"/>
              <w:spacing w:after="0"/>
              <w:rPr>
                <w:sz w:val="20"/>
                <w:szCs w:val="20"/>
                <w:color w:val="auto"/>
              </w:rPr>
            </w:pPr>
            <w:r>
              <w:rPr>
                <w:rFonts w:ascii="Arial" w:cs="Arial" w:eastAsia="Arial" w:hAnsi="Arial"/>
                <w:sz w:val="11"/>
                <w:szCs w:val="11"/>
                <w:color w:val="auto"/>
              </w:rPr>
              <w:t>9,189</w:t>
            </w:r>
          </w:p>
        </w:tc>
        <w:tc>
          <w:tcPr>
            <w:tcW w:w="100" w:type="dxa"/>
            <w:vAlign w:val="bottom"/>
          </w:tcPr>
          <w:p>
            <w:pPr>
              <w:spacing w:after="0"/>
              <w:rPr>
                <w:sz w:val="10"/>
                <w:szCs w:val="10"/>
                <w:color w:val="auto"/>
              </w:rPr>
            </w:pPr>
          </w:p>
        </w:tc>
        <w:tc>
          <w:tcPr>
            <w:tcW w:w="6360" w:type="dxa"/>
            <w:vAlign w:val="bottom"/>
          </w:tcPr>
          <w:p>
            <w:pPr>
              <w:spacing w:after="0" w:line="119" w:lineRule="exact"/>
              <w:rPr>
                <w:sz w:val="20"/>
                <w:szCs w:val="20"/>
                <w:color w:val="auto"/>
              </w:rPr>
            </w:pPr>
            <w:r>
              <w:rPr>
                <w:rFonts w:ascii="Arial" w:cs="Arial" w:eastAsia="Arial" w:hAnsi="Arial"/>
                <w:sz w:val="11"/>
                <w:szCs w:val="11"/>
                <w:color w:val="auto"/>
                <w:w w:val="93"/>
              </w:rPr>
              <w:t>Colorado, including internet, television, and telephone services. Increase was primarily due to additional residential households served. See</w:t>
            </w:r>
          </w:p>
        </w:tc>
        <w:tc>
          <w:tcPr>
            <w:tcW w:w="0" w:type="dxa"/>
            <w:vAlign w:val="bottom"/>
          </w:tcPr>
          <w:p>
            <w:pPr>
              <w:spacing w:after="0"/>
              <w:rPr>
                <w:sz w:val="1"/>
                <w:szCs w:val="1"/>
                <w:color w:val="auto"/>
              </w:rPr>
            </w:pPr>
          </w:p>
        </w:tc>
      </w:tr>
      <w:tr>
        <w:trPr>
          <w:trHeight w:val="145"/>
        </w:trPr>
        <w:tc>
          <w:tcPr>
            <w:tcW w:w="3000" w:type="dxa"/>
            <w:vAlign w:val="bottom"/>
            <w:vMerge w:val="continue"/>
          </w:tcPr>
          <w:p>
            <w:pPr>
              <w:spacing w:after="0"/>
              <w:rPr>
                <w:sz w:val="12"/>
                <w:szCs w:val="12"/>
                <w:color w:val="auto"/>
              </w:rPr>
            </w:pPr>
          </w:p>
        </w:tc>
        <w:tc>
          <w:tcPr>
            <w:tcW w:w="600" w:type="dxa"/>
            <w:vAlign w:val="bottom"/>
          </w:tcPr>
          <w:p>
            <w:pPr>
              <w:spacing w:after="0"/>
              <w:rPr>
                <w:sz w:val="12"/>
                <w:szCs w:val="12"/>
                <w:color w:val="auto"/>
              </w:rPr>
            </w:pPr>
          </w:p>
        </w:tc>
        <w:tc>
          <w:tcPr>
            <w:tcW w:w="36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6360" w:type="dxa"/>
            <w:vAlign w:val="bottom"/>
          </w:tcPr>
          <w:p>
            <w:pPr>
              <w:spacing w:after="0"/>
              <w:rPr>
                <w:sz w:val="20"/>
                <w:szCs w:val="20"/>
                <w:color w:val="auto"/>
              </w:rPr>
            </w:pPr>
            <w:r>
              <w:rPr>
                <w:rFonts w:ascii="Arial" w:cs="Arial" w:eastAsia="Arial" w:hAnsi="Arial"/>
                <w:sz w:val="11"/>
                <w:szCs w:val="11"/>
                <w:color w:val="auto"/>
              </w:rPr>
              <w:t>additional financial and operating data for ALLO in the tables below.</w:t>
            </w:r>
          </w:p>
        </w:tc>
        <w:tc>
          <w:tcPr>
            <w:tcW w:w="0" w:type="dxa"/>
            <w:vAlign w:val="bottom"/>
          </w:tcPr>
          <w:p>
            <w:pPr>
              <w:spacing w:after="0"/>
              <w:rPr>
                <w:sz w:val="1"/>
                <w:szCs w:val="1"/>
                <w:color w:val="auto"/>
              </w:rPr>
            </w:pPr>
          </w:p>
        </w:tc>
      </w:tr>
      <w:tr>
        <w:trPr>
          <w:trHeight w:val="162"/>
        </w:trPr>
        <w:tc>
          <w:tcPr>
            <w:tcW w:w="3000" w:type="dxa"/>
            <w:vAlign w:val="bottom"/>
            <w:shd w:val="clear" w:color="auto" w:fill="CCEEFF"/>
          </w:tcPr>
          <w:p>
            <w:pPr>
              <w:spacing w:after="0"/>
              <w:rPr>
                <w:sz w:val="20"/>
                <w:szCs w:val="20"/>
                <w:color w:val="auto"/>
              </w:rPr>
            </w:pPr>
            <w:r>
              <w:rPr>
                <w:rFonts w:ascii="Arial" w:cs="Arial" w:eastAsia="Arial" w:hAnsi="Arial"/>
                <w:sz w:val="11"/>
                <w:szCs w:val="11"/>
                <w:color w:val="auto"/>
              </w:rPr>
              <w:t>Other income</w:t>
            </w:r>
          </w:p>
        </w:tc>
        <w:tc>
          <w:tcPr>
            <w:tcW w:w="600" w:type="dxa"/>
            <w:vAlign w:val="bottom"/>
            <w:tcBorders>
              <w:bottom w:val="single" w:sz="8" w:color="auto"/>
            </w:tcBorders>
            <w:shd w:val="clear" w:color="auto" w:fill="CCEEFF"/>
          </w:tcPr>
          <w:p>
            <w:pPr>
              <w:spacing w:after="0"/>
              <w:rPr>
                <w:sz w:val="14"/>
                <w:szCs w:val="14"/>
                <w:color w:val="auto"/>
              </w:rPr>
            </w:pPr>
          </w:p>
        </w:tc>
        <w:tc>
          <w:tcPr>
            <w:tcW w:w="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rPr>
              <w:t>125</w:t>
            </w:r>
          </w:p>
        </w:tc>
        <w:tc>
          <w:tcPr>
            <w:tcW w:w="100" w:type="dxa"/>
            <w:vAlign w:val="bottom"/>
            <w:shd w:val="clear" w:color="auto" w:fill="CCEEFF"/>
          </w:tcPr>
          <w:p>
            <w:pPr>
              <w:spacing w:after="0"/>
              <w:rPr>
                <w:sz w:val="14"/>
                <w:szCs w:val="14"/>
                <w:color w:val="auto"/>
              </w:rPr>
            </w:pPr>
          </w:p>
        </w:tc>
        <w:tc>
          <w:tcPr>
            <w:tcW w:w="920" w:type="dxa"/>
            <w:vAlign w:val="bottom"/>
            <w:tcBorders>
              <w:bottom w:val="single" w:sz="8" w:color="auto"/>
            </w:tcBorders>
            <w:shd w:val="clear" w:color="auto" w:fill="CCEEFF"/>
          </w:tcPr>
          <w:p>
            <w:pPr>
              <w:jc w:val="right"/>
              <w:ind w:right="3"/>
              <w:spacing w:after="0"/>
              <w:rPr>
                <w:sz w:val="20"/>
                <w:szCs w:val="20"/>
                <w:color w:val="auto"/>
              </w:rPr>
            </w:pPr>
            <w:r>
              <w:rPr>
                <w:rFonts w:ascii="Arial" w:cs="Arial" w:eastAsia="Arial" w:hAnsi="Arial"/>
                <w:sz w:val="11"/>
                <w:szCs w:val="11"/>
                <w:color w:val="auto"/>
              </w:rPr>
              <w:t>—</w:t>
            </w:r>
          </w:p>
        </w:tc>
        <w:tc>
          <w:tcPr>
            <w:tcW w:w="100" w:type="dxa"/>
            <w:vAlign w:val="bottom"/>
            <w:shd w:val="clear" w:color="auto" w:fill="CCEEFF"/>
          </w:tcPr>
          <w:p>
            <w:pPr>
              <w:spacing w:after="0"/>
              <w:rPr>
                <w:sz w:val="14"/>
                <w:szCs w:val="14"/>
                <w:color w:val="auto"/>
              </w:rPr>
            </w:pPr>
          </w:p>
        </w:tc>
        <w:tc>
          <w:tcPr>
            <w:tcW w:w="63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52"/>
        </w:trPr>
        <w:tc>
          <w:tcPr>
            <w:tcW w:w="3000" w:type="dxa"/>
            <w:vAlign w:val="bottom"/>
            <w:tcBorders>
              <w:bottom w:val="single" w:sz="8" w:color="CCEEFF"/>
            </w:tcBorders>
          </w:tcPr>
          <w:p>
            <w:pPr>
              <w:ind w:left="80"/>
              <w:spacing w:after="0"/>
              <w:rPr>
                <w:sz w:val="20"/>
                <w:szCs w:val="20"/>
                <w:color w:val="auto"/>
              </w:rPr>
            </w:pPr>
            <w:r>
              <w:rPr>
                <w:rFonts w:ascii="Arial" w:cs="Arial" w:eastAsia="Arial" w:hAnsi="Arial"/>
                <w:sz w:val="11"/>
                <w:szCs w:val="11"/>
                <w:color w:val="auto"/>
              </w:rPr>
              <w:t>Total other income</w:t>
            </w:r>
          </w:p>
        </w:tc>
        <w:tc>
          <w:tcPr>
            <w:tcW w:w="600" w:type="dxa"/>
            <w:vAlign w:val="bottom"/>
            <w:tcBorders>
              <w:bottom w:val="single" w:sz="8" w:color="auto"/>
            </w:tcBorders>
          </w:tcPr>
          <w:p>
            <w:pPr>
              <w:spacing w:after="0"/>
              <w:rPr>
                <w:sz w:val="13"/>
                <w:szCs w:val="13"/>
                <w:color w:val="auto"/>
              </w:rPr>
            </w:pPr>
          </w:p>
        </w:tc>
        <w:tc>
          <w:tcPr>
            <w:tcW w:w="36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w w:val="89"/>
              </w:rPr>
              <w:t>14,668</w:t>
            </w:r>
          </w:p>
        </w:tc>
        <w:tc>
          <w:tcPr>
            <w:tcW w:w="100" w:type="dxa"/>
            <w:vAlign w:val="bottom"/>
            <w:tcBorders>
              <w:bottom w:val="single" w:sz="8" w:color="CCEEFF"/>
            </w:tcBorders>
          </w:tcPr>
          <w:p>
            <w:pPr>
              <w:spacing w:after="0"/>
              <w:rPr>
                <w:sz w:val="13"/>
                <w:szCs w:val="13"/>
                <w:color w:val="auto"/>
              </w:rPr>
            </w:pPr>
          </w:p>
        </w:tc>
        <w:tc>
          <w:tcPr>
            <w:tcW w:w="920" w:type="dxa"/>
            <w:vAlign w:val="bottom"/>
            <w:tcBorders>
              <w:bottom w:val="single" w:sz="8" w:color="auto"/>
            </w:tcBorders>
          </w:tcPr>
          <w:p>
            <w:pPr>
              <w:jc w:val="right"/>
              <w:ind w:right="3"/>
              <w:spacing w:after="0"/>
              <w:rPr>
                <w:sz w:val="20"/>
                <w:szCs w:val="20"/>
                <w:color w:val="auto"/>
              </w:rPr>
            </w:pPr>
            <w:r>
              <w:rPr>
                <w:rFonts w:ascii="Arial" w:cs="Arial" w:eastAsia="Arial" w:hAnsi="Arial"/>
                <w:sz w:val="11"/>
                <w:szCs w:val="11"/>
                <w:color w:val="auto"/>
              </w:rPr>
              <w:t>9,189</w:t>
            </w:r>
          </w:p>
        </w:tc>
        <w:tc>
          <w:tcPr>
            <w:tcW w:w="100" w:type="dxa"/>
            <w:vAlign w:val="bottom"/>
            <w:tcBorders>
              <w:bottom w:val="single" w:sz="8" w:color="CCEEFF"/>
            </w:tcBorders>
          </w:tcPr>
          <w:p>
            <w:pPr>
              <w:spacing w:after="0"/>
              <w:rPr>
                <w:sz w:val="13"/>
                <w:szCs w:val="13"/>
                <w:color w:val="auto"/>
              </w:rPr>
            </w:pPr>
          </w:p>
        </w:tc>
        <w:tc>
          <w:tcPr>
            <w:tcW w:w="6360" w:type="dxa"/>
            <w:vAlign w:val="bottom"/>
            <w:tcBorders>
              <w:bottom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15"/>
        </w:trPr>
        <w:tc>
          <w:tcPr>
            <w:tcW w:w="3000" w:type="dxa"/>
            <w:vAlign w:val="bottom"/>
            <w:vMerge w:val="restart"/>
            <w:shd w:val="clear" w:color="auto" w:fill="CCEEFF"/>
          </w:tcPr>
          <w:p>
            <w:pPr>
              <w:spacing w:after="0"/>
              <w:rPr>
                <w:sz w:val="20"/>
                <w:szCs w:val="20"/>
                <w:color w:val="auto"/>
              </w:rPr>
            </w:pPr>
            <w:r>
              <w:rPr>
                <w:rFonts w:ascii="Arial" w:cs="Arial" w:eastAsia="Arial" w:hAnsi="Arial"/>
                <w:sz w:val="11"/>
                <w:szCs w:val="11"/>
                <w:color w:val="auto"/>
              </w:rPr>
              <w:t>Cost to provide communications services</w:t>
            </w:r>
          </w:p>
        </w:tc>
        <w:tc>
          <w:tcPr>
            <w:tcW w:w="600" w:type="dxa"/>
            <w:vAlign w:val="bottom"/>
            <w:shd w:val="clear" w:color="auto" w:fill="CCEEFF"/>
          </w:tcPr>
          <w:p>
            <w:pPr>
              <w:spacing w:after="0"/>
              <w:rPr>
                <w:sz w:val="10"/>
                <w:szCs w:val="10"/>
                <w:color w:val="auto"/>
              </w:rPr>
            </w:pPr>
          </w:p>
        </w:tc>
        <w:tc>
          <w:tcPr>
            <w:tcW w:w="360" w:type="dxa"/>
            <w:vAlign w:val="bottom"/>
            <w:vMerge w:val="restart"/>
            <w:shd w:val="clear" w:color="auto" w:fill="CCEEFF"/>
          </w:tcPr>
          <w:p>
            <w:pPr>
              <w:jc w:val="right"/>
              <w:spacing w:after="0"/>
              <w:rPr>
                <w:sz w:val="20"/>
                <w:szCs w:val="20"/>
                <w:color w:val="auto"/>
              </w:rPr>
            </w:pPr>
            <w:r>
              <w:rPr>
                <w:rFonts w:ascii="Arial" w:cs="Arial" w:eastAsia="Arial" w:hAnsi="Arial"/>
                <w:sz w:val="11"/>
                <w:szCs w:val="11"/>
                <w:color w:val="auto"/>
              </w:rPr>
              <w:t>4,759</w:t>
            </w:r>
          </w:p>
        </w:tc>
        <w:tc>
          <w:tcPr>
            <w:tcW w:w="100" w:type="dxa"/>
            <w:vAlign w:val="bottom"/>
            <w:shd w:val="clear" w:color="auto" w:fill="CCEEFF"/>
          </w:tcPr>
          <w:p>
            <w:pPr>
              <w:spacing w:after="0"/>
              <w:rPr>
                <w:sz w:val="10"/>
                <w:szCs w:val="10"/>
                <w:color w:val="auto"/>
              </w:rPr>
            </w:pPr>
          </w:p>
        </w:tc>
        <w:tc>
          <w:tcPr>
            <w:tcW w:w="920" w:type="dxa"/>
            <w:vAlign w:val="bottom"/>
            <w:vMerge w:val="restart"/>
            <w:shd w:val="clear" w:color="auto" w:fill="CCEEFF"/>
          </w:tcPr>
          <w:p>
            <w:pPr>
              <w:jc w:val="right"/>
              <w:ind w:right="3"/>
              <w:spacing w:after="0"/>
              <w:rPr>
                <w:sz w:val="20"/>
                <w:szCs w:val="20"/>
                <w:color w:val="auto"/>
              </w:rPr>
            </w:pPr>
            <w:r>
              <w:rPr>
                <w:rFonts w:ascii="Arial" w:cs="Arial" w:eastAsia="Arial" w:hAnsi="Arial"/>
                <w:sz w:val="11"/>
                <w:szCs w:val="11"/>
                <w:color w:val="auto"/>
              </w:rPr>
              <w:t>3,717</w:t>
            </w:r>
          </w:p>
        </w:tc>
        <w:tc>
          <w:tcPr>
            <w:tcW w:w="100" w:type="dxa"/>
            <w:vAlign w:val="bottom"/>
            <w:shd w:val="clear" w:color="auto" w:fill="CCEEFF"/>
          </w:tcPr>
          <w:p>
            <w:pPr>
              <w:spacing w:after="0"/>
              <w:rPr>
                <w:sz w:val="10"/>
                <w:szCs w:val="10"/>
                <w:color w:val="auto"/>
              </w:rPr>
            </w:pPr>
          </w:p>
        </w:tc>
        <w:tc>
          <w:tcPr>
            <w:tcW w:w="6360" w:type="dxa"/>
            <w:vAlign w:val="bottom"/>
            <w:shd w:val="clear" w:color="auto" w:fill="CCEEFF"/>
          </w:tcPr>
          <w:p>
            <w:pPr>
              <w:spacing w:after="0" w:line="115" w:lineRule="exact"/>
              <w:rPr>
                <w:sz w:val="20"/>
                <w:szCs w:val="20"/>
                <w:color w:val="auto"/>
              </w:rPr>
            </w:pPr>
            <w:r>
              <w:rPr>
                <w:rFonts w:ascii="Arial" w:cs="Arial" w:eastAsia="Arial" w:hAnsi="Arial"/>
                <w:sz w:val="11"/>
                <w:szCs w:val="11"/>
                <w:color w:val="auto"/>
                <w:w w:val="93"/>
              </w:rPr>
              <w:t>Cost of services are primarily associated with television programming costs. Other costs include connectivity, franchise, and other regulatory</w:t>
            </w:r>
          </w:p>
        </w:tc>
        <w:tc>
          <w:tcPr>
            <w:tcW w:w="0" w:type="dxa"/>
            <w:vAlign w:val="bottom"/>
          </w:tcPr>
          <w:p>
            <w:pPr>
              <w:spacing w:after="0"/>
              <w:rPr>
                <w:sz w:val="1"/>
                <w:szCs w:val="1"/>
                <w:color w:val="auto"/>
              </w:rPr>
            </w:pPr>
          </w:p>
        </w:tc>
      </w:tr>
      <w:tr>
        <w:trPr>
          <w:trHeight w:val="150"/>
        </w:trPr>
        <w:tc>
          <w:tcPr>
            <w:tcW w:w="3000" w:type="dxa"/>
            <w:vAlign w:val="bottom"/>
            <w:vMerge w:val="continue"/>
            <w:shd w:val="clear" w:color="auto" w:fill="CCEEFF"/>
          </w:tcPr>
          <w:p>
            <w:pPr>
              <w:spacing w:after="0"/>
              <w:rPr>
                <w:sz w:val="13"/>
                <w:szCs w:val="13"/>
                <w:color w:val="auto"/>
              </w:rPr>
            </w:pPr>
          </w:p>
        </w:tc>
        <w:tc>
          <w:tcPr>
            <w:tcW w:w="600" w:type="dxa"/>
            <w:vAlign w:val="bottom"/>
            <w:tcBorders>
              <w:bottom w:val="single" w:sz="8" w:color="auto"/>
            </w:tcBorders>
            <w:shd w:val="clear" w:color="auto" w:fill="CCEEFF"/>
          </w:tcPr>
          <w:p>
            <w:pPr>
              <w:spacing w:after="0"/>
              <w:rPr>
                <w:sz w:val="13"/>
                <w:szCs w:val="13"/>
                <w:color w:val="auto"/>
              </w:rPr>
            </w:pPr>
          </w:p>
        </w:tc>
        <w:tc>
          <w:tcPr>
            <w:tcW w:w="360" w:type="dxa"/>
            <w:vAlign w:val="bottom"/>
            <w:tcBorders>
              <w:bottom w:val="single" w:sz="8" w:color="auto"/>
            </w:tcBorders>
            <w:vMerge w:val="continue"/>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920" w:type="dxa"/>
            <w:vAlign w:val="bottom"/>
            <w:tcBorders>
              <w:bottom w:val="single" w:sz="8" w:color="auto"/>
            </w:tcBorders>
            <w:vMerge w:val="continue"/>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360" w:type="dxa"/>
            <w:vAlign w:val="bottom"/>
            <w:shd w:val="clear" w:color="auto" w:fill="CCEEFF"/>
          </w:tcPr>
          <w:p>
            <w:pPr>
              <w:spacing w:after="0"/>
              <w:rPr>
                <w:sz w:val="20"/>
                <w:szCs w:val="20"/>
                <w:color w:val="auto"/>
              </w:rPr>
            </w:pPr>
            <w:r>
              <w:rPr>
                <w:rFonts w:ascii="Arial" w:cs="Arial" w:eastAsia="Arial" w:hAnsi="Arial"/>
                <w:sz w:val="11"/>
                <w:szCs w:val="11"/>
                <w:color w:val="auto"/>
              </w:rPr>
              <w:t>costs directly related to providing internet and voice services.</w:t>
            </w:r>
          </w:p>
        </w:tc>
        <w:tc>
          <w:tcPr>
            <w:tcW w:w="0" w:type="dxa"/>
            <w:vAlign w:val="bottom"/>
          </w:tcPr>
          <w:p>
            <w:pPr>
              <w:spacing w:after="0"/>
              <w:rPr>
                <w:sz w:val="1"/>
                <w:szCs w:val="1"/>
                <w:color w:val="auto"/>
              </w:rPr>
            </w:pPr>
          </w:p>
        </w:tc>
      </w:tr>
      <w:tr>
        <w:trPr>
          <w:trHeight w:val="111"/>
        </w:trPr>
        <w:tc>
          <w:tcPr>
            <w:tcW w:w="3000" w:type="dxa"/>
            <w:vAlign w:val="bottom"/>
          </w:tcPr>
          <w:p>
            <w:pPr>
              <w:spacing w:after="0"/>
              <w:rPr>
                <w:sz w:val="9"/>
                <w:szCs w:val="9"/>
                <w:color w:val="auto"/>
              </w:rPr>
            </w:pPr>
          </w:p>
        </w:tc>
        <w:tc>
          <w:tcPr>
            <w:tcW w:w="600" w:type="dxa"/>
            <w:vAlign w:val="bottom"/>
          </w:tcPr>
          <w:p>
            <w:pPr>
              <w:spacing w:after="0"/>
              <w:rPr>
                <w:sz w:val="9"/>
                <w:szCs w:val="9"/>
                <w:color w:val="auto"/>
              </w:rPr>
            </w:pPr>
          </w:p>
        </w:tc>
        <w:tc>
          <w:tcPr>
            <w:tcW w:w="360" w:type="dxa"/>
            <w:vAlign w:val="bottom"/>
          </w:tcPr>
          <w:p>
            <w:pPr>
              <w:spacing w:after="0"/>
              <w:rPr>
                <w:sz w:val="9"/>
                <w:szCs w:val="9"/>
                <w:color w:val="auto"/>
              </w:rPr>
            </w:pPr>
          </w:p>
        </w:tc>
        <w:tc>
          <w:tcPr>
            <w:tcW w:w="100" w:type="dxa"/>
            <w:vAlign w:val="bottom"/>
          </w:tcPr>
          <w:p>
            <w:pPr>
              <w:spacing w:after="0"/>
              <w:rPr>
                <w:sz w:val="9"/>
                <w:szCs w:val="9"/>
                <w:color w:val="auto"/>
              </w:rPr>
            </w:pPr>
          </w:p>
        </w:tc>
        <w:tc>
          <w:tcPr>
            <w:tcW w:w="9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360" w:type="dxa"/>
            <w:vAlign w:val="bottom"/>
          </w:tcPr>
          <w:p>
            <w:pPr>
              <w:spacing w:after="0" w:line="111" w:lineRule="exact"/>
              <w:rPr>
                <w:sz w:val="20"/>
                <w:szCs w:val="20"/>
                <w:color w:val="auto"/>
              </w:rPr>
            </w:pPr>
            <w:r>
              <w:rPr>
                <w:rFonts w:ascii="Arial" w:cs="Arial" w:eastAsia="Arial" w:hAnsi="Arial"/>
                <w:sz w:val="11"/>
                <w:szCs w:val="11"/>
                <w:color w:val="auto"/>
                <w:w w:val="98"/>
              </w:rPr>
              <w:t>As of December 31, 2017, March 31, 2018, December 31, 2018, and March 31, 2019, ALLO had 508, 516, 550 and 554 employees,</w:t>
            </w:r>
          </w:p>
        </w:tc>
        <w:tc>
          <w:tcPr>
            <w:tcW w:w="0" w:type="dxa"/>
            <w:vAlign w:val="bottom"/>
          </w:tcPr>
          <w:p>
            <w:pPr>
              <w:spacing w:after="0"/>
              <w:rPr>
                <w:sz w:val="1"/>
                <w:szCs w:val="1"/>
                <w:color w:val="auto"/>
              </w:rPr>
            </w:pPr>
          </w:p>
        </w:tc>
      </w:tr>
      <w:tr>
        <w:trPr>
          <w:trHeight w:val="119"/>
        </w:trPr>
        <w:tc>
          <w:tcPr>
            <w:tcW w:w="3000" w:type="dxa"/>
            <w:vAlign w:val="bottom"/>
            <w:vMerge w:val="restart"/>
          </w:tcPr>
          <w:p>
            <w:pPr>
              <w:spacing w:after="0"/>
              <w:rPr>
                <w:sz w:val="20"/>
                <w:szCs w:val="20"/>
                <w:color w:val="auto"/>
              </w:rPr>
            </w:pPr>
            <w:r>
              <w:rPr>
                <w:rFonts w:ascii="Arial" w:cs="Arial" w:eastAsia="Arial" w:hAnsi="Arial"/>
                <w:sz w:val="11"/>
                <w:szCs w:val="11"/>
                <w:color w:val="auto"/>
              </w:rPr>
              <w:t>Salaries and benefits</w:t>
            </w:r>
          </w:p>
        </w:tc>
        <w:tc>
          <w:tcPr>
            <w:tcW w:w="600" w:type="dxa"/>
            <w:vAlign w:val="bottom"/>
          </w:tcPr>
          <w:p>
            <w:pPr>
              <w:spacing w:after="0"/>
              <w:rPr>
                <w:sz w:val="10"/>
                <w:szCs w:val="10"/>
                <w:color w:val="auto"/>
              </w:rPr>
            </w:pPr>
          </w:p>
        </w:tc>
        <w:tc>
          <w:tcPr>
            <w:tcW w:w="360" w:type="dxa"/>
            <w:vAlign w:val="bottom"/>
            <w:vMerge w:val="restart"/>
          </w:tcPr>
          <w:p>
            <w:pPr>
              <w:jc w:val="right"/>
              <w:spacing w:after="0"/>
              <w:rPr>
                <w:sz w:val="20"/>
                <w:szCs w:val="20"/>
                <w:color w:val="auto"/>
              </w:rPr>
            </w:pPr>
            <w:r>
              <w:rPr>
                <w:rFonts w:ascii="Arial" w:cs="Arial" w:eastAsia="Arial" w:hAnsi="Arial"/>
                <w:sz w:val="11"/>
                <w:szCs w:val="11"/>
                <w:color w:val="auto"/>
              </w:rPr>
              <w:t>4,737</w:t>
            </w:r>
          </w:p>
        </w:tc>
        <w:tc>
          <w:tcPr>
            <w:tcW w:w="100" w:type="dxa"/>
            <w:vAlign w:val="bottom"/>
          </w:tcPr>
          <w:p>
            <w:pPr>
              <w:spacing w:after="0"/>
              <w:rPr>
                <w:sz w:val="10"/>
                <w:szCs w:val="10"/>
                <w:color w:val="auto"/>
              </w:rPr>
            </w:pPr>
          </w:p>
        </w:tc>
        <w:tc>
          <w:tcPr>
            <w:tcW w:w="920" w:type="dxa"/>
            <w:vAlign w:val="bottom"/>
            <w:vMerge w:val="restart"/>
          </w:tcPr>
          <w:p>
            <w:pPr>
              <w:jc w:val="right"/>
              <w:ind w:right="3"/>
              <w:spacing w:after="0"/>
              <w:rPr>
                <w:sz w:val="20"/>
                <w:szCs w:val="20"/>
                <w:color w:val="auto"/>
              </w:rPr>
            </w:pPr>
            <w:r>
              <w:rPr>
                <w:rFonts w:ascii="Arial" w:cs="Arial" w:eastAsia="Arial" w:hAnsi="Arial"/>
                <w:sz w:val="11"/>
                <w:szCs w:val="11"/>
                <w:color w:val="auto"/>
              </w:rPr>
              <w:t>4,063</w:t>
            </w:r>
          </w:p>
        </w:tc>
        <w:tc>
          <w:tcPr>
            <w:tcW w:w="100" w:type="dxa"/>
            <w:vAlign w:val="bottom"/>
          </w:tcPr>
          <w:p>
            <w:pPr>
              <w:spacing w:after="0"/>
              <w:rPr>
                <w:sz w:val="10"/>
                <w:szCs w:val="10"/>
                <w:color w:val="auto"/>
              </w:rPr>
            </w:pPr>
          </w:p>
        </w:tc>
        <w:tc>
          <w:tcPr>
            <w:tcW w:w="6360" w:type="dxa"/>
            <w:vAlign w:val="bottom"/>
          </w:tcPr>
          <w:p>
            <w:pPr>
              <w:spacing w:after="0" w:line="119" w:lineRule="exact"/>
              <w:rPr>
                <w:sz w:val="20"/>
                <w:szCs w:val="20"/>
                <w:color w:val="auto"/>
              </w:rPr>
            </w:pPr>
            <w:r>
              <w:rPr>
                <w:rFonts w:ascii="Arial" w:cs="Arial" w:eastAsia="Arial" w:hAnsi="Arial"/>
                <w:sz w:val="11"/>
                <w:szCs w:val="11"/>
                <w:color w:val="auto"/>
                <w:w w:val="92"/>
              </w:rPr>
              <w:t>respectively, including part-time employees. ALLO also uses temporary employees in the normal course of business. Certain costs qualify for</w:t>
            </w:r>
          </w:p>
        </w:tc>
        <w:tc>
          <w:tcPr>
            <w:tcW w:w="0" w:type="dxa"/>
            <w:vAlign w:val="bottom"/>
          </w:tcPr>
          <w:p>
            <w:pPr>
              <w:spacing w:after="0"/>
              <w:rPr>
                <w:sz w:val="1"/>
                <w:szCs w:val="1"/>
                <w:color w:val="auto"/>
              </w:rPr>
            </w:pPr>
          </w:p>
        </w:tc>
      </w:tr>
      <w:tr>
        <w:trPr>
          <w:trHeight w:val="145"/>
        </w:trPr>
        <w:tc>
          <w:tcPr>
            <w:tcW w:w="3000" w:type="dxa"/>
            <w:vAlign w:val="bottom"/>
            <w:vMerge w:val="continue"/>
          </w:tcPr>
          <w:p>
            <w:pPr>
              <w:spacing w:after="0"/>
              <w:rPr>
                <w:sz w:val="12"/>
                <w:szCs w:val="12"/>
                <w:color w:val="auto"/>
              </w:rPr>
            </w:pPr>
          </w:p>
        </w:tc>
        <w:tc>
          <w:tcPr>
            <w:tcW w:w="600" w:type="dxa"/>
            <w:vAlign w:val="bottom"/>
          </w:tcPr>
          <w:p>
            <w:pPr>
              <w:spacing w:after="0"/>
              <w:rPr>
                <w:sz w:val="12"/>
                <w:szCs w:val="12"/>
                <w:color w:val="auto"/>
              </w:rPr>
            </w:pPr>
          </w:p>
        </w:tc>
        <w:tc>
          <w:tcPr>
            <w:tcW w:w="36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6360" w:type="dxa"/>
            <w:vAlign w:val="bottom"/>
          </w:tcPr>
          <w:p>
            <w:pPr>
              <w:spacing w:after="0"/>
              <w:rPr>
                <w:sz w:val="20"/>
                <w:szCs w:val="20"/>
                <w:color w:val="auto"/>
              </w:rPr>
            </w:pPr>
            <w:r>
              <w:rPr>
                <w:rFonts w:ascii="Arial" w:cs="Arial" w:eastAsia="Arial" w:hAnsi="Arial"/>
                <w:sz w:val="11"/>
                <w:szCs w:val="11"/>
                <w:color w:val="auto"/>
              </w:rPr>
              <w:t>capitalization as ALLO builds its network.</w:t>
            </w:r>
          </w:p>
        </w:tc>
        <w:tc>
          <w:tcPr>
            <w:tcW w:w="0" w:type="dxa"/>
            <w:vAlign w:val="bottom"/>
          </w:tcPr>
          <w:p>
            <w:pPr>
              <w:spacing w:after="0"/>
              <w:rPr>
                <w:sz w:val="1"/>
                <w:szCs w:val="1"/>
                <w:color w:val="auto"/>
              </w:rPr>
            </w:pPr>
          </w:p>
        </w:tc>
      </w:tr>
      <w:tr>
        <w:trPr>
          <w:trHeight w:val="135"/>
        </w:trPr>
        <w:tc>
          <w:tcPr>
            <w:tcW w:w="300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360" w:type="dxa"/>
            <w:vAlign w:val="bottom"/>
            <w:shd w:val="clear" w:color="auto" w:fill="CCEEFF"/>
          </w:tcPr>
          <w:p>
            <w:pPr>
              <w:spacing w:after="0"/>
              <w:rPr>
                <w:sz w:val="20"/>
                <w:szCs w:val="20"/>
                <w:color w:val="auto"/>
              </w:rPr>
            </w:pPr>
            <w:r>
              <w:rPr>
                <w:rFonts w:ascii="Arial" w:cs="Arial" w:eastAsia="Arial" w:hAnsi="Arial"/>
                <w:sz w:val="11"/>
                <w:szCs w:val="11"/>
                <w:color w:val="auto"/>
                <w:w w:val="91"/>
              </w:rPr>
              <w:t>Depreciation reflects the allocation of the costs of ALLO's property and equipment over the period in which such assets are used. A significant</w:t>
            </w:r>
          </w:p>
        </w:tc>
        <w:tc>
          <w:tcPr>
            <w:tcW w:w="0" w:type="dxa"/>
            <w:vAlign w:val="bottom"/>
          </w:tcPr>
          <w:p>
            <w:pPr>
              <w:spacing w:after="0"/>
              <w:rPr>
                <w:sz w:val="1"/>
                <w:szCs w:val="1"/>
                <w:color w:val="auto"/>
              </w:rPr>
            </w:pPr>
          </w:p>
        </w:tc>
      </w:tr>
      <w:tr>
        <w:trPr>
          <w:trHeight w:val="119"/>
        </w:trPr>
        <w:tc>
          <w:tcPr>
            <w:tcW w:w="3000" w:type="dxa"/>
            <w:vAlign w:val="bottom"/>
            <w:shd w:val="clear" w:color="auto" w:fill="CCEEFF"/>
          </w:tcPr>
          <w:p>
            <w:pPr>
              <w:spacing w:after="0"/>
              <w:rPr>
                <w:sz w:val="10"/>
                <w:szCs w:val="10"/>
                <w:color w:val="auto"/>
              </w:rPr>
            </w:pPr>
          </w:p>
        </w:tc>
        <w:tc>
          <w:tcPr>
            <w:tcW w:w="600" w:type="dxa"/>
            <w:vAlign w:val="bottom"/>
            <w:shd w:val="clear" w:color="auto" w:fill="CCEEFF"/>
          </w:tcPr>
          <w:p>
            <w:pPr>
              <w:spacing w:after="0"/>
              <w:rPr>
                <w:sz w:val="10"/>
                <w:szCs w:val="10"/>
                <w:color w:val="auto"/>
              </w:rPr>
            </w:pPr>
          </w:p>
        </w:tc>
        <w:tc>
          <w:tcPr>
            <w:tcW w:w="3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9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360" w:type="dxa"/>
            <w:vAlign w:val="bottom"/>
            <w:shd w:val="clear" w:color="auto" w:fill="CCEEFF"/>
          </w:tcPr>
          <w:p>
            <w:pPr>
              <w:spacing w:after="0" w:line="119" w:lineRule="exact"/>
              <w:rPr>
                <w:sz w:val="20"/>
                <w:szCs w:val="20"/>
                <w:color w:val="auto"/>
              </w:rPr>
            </w:pPr>
            <w:r>
              <w:rPr>
                <w:rFonts w:ascii="Arial" w:cs="Arial" w:eastAsia="Arial" w:hAnsi="Arial"/>
                <w:sz w:val="11"/>
                <w:szCs w:val="11"/>
                <w:color w:val="auto"/>
                <w:w w:val="92"/>
              </w:rPr>
              <w:t>amount of property and equipment purchases have been made to support the Lincoln, Nebraska network expansion. The gross property and</w:t>
            </w:r>
          </w:p>
        </w:tc>
        <w:tc>
          <w:tcPr>
            <w:tcW w:w="0" w:type="dxa"/>
            <w:vAlign w:val="bottom"/>
          </w:tcPr>
          <w:p>
            <w:pPr>
              <w:spacing w:after="0"/>
              <w:rPr>
                <w:sz w:val="1"/>
                <w:szCs w:val="1"/>
                <w:color w:val="auto"/>
              </w:rPr>
            </w:pPr>
          </w:p>
        </w:tc>
      </w:tr>
      <w:tr>
        <w:trPr>
          <w:trHeight w:val="119"/>
        </w:trPr>
        <w:tc>
          <w:tcPr>
            <w:tcW w:w="3000" w:type="dxa"/>
            <w:vAlign w:val="bottom"/>
            <w:shd w:val="clear" w:color="auto" w:fill="CCEEFF"/>
          </w:tcPr>
          <w:p>
            <w:pPr>
              <w:spacing w:after="0"/>
              <w:rPr>
                <w:sz w:val="10"/>
                <w:szCs w:val="10"/>
                <w:color w:val="auto"/>
              </w:rPr>
            </w:pPr>
          </w:p>
        </w:tc>
        <w:tc>
          <w:tcPr>
            <w:tcW w:w="600" w:type="dxa"/>
            <w:vAlign w:val="bottom"/>
            <w:shd w:val="clear" w:color="auto" w:fill="CCEEFF"/>
          </w:tcPr>
          <w:p>
            <w:pPr>
              <w:spacing w:after="0"/>
              <w:rPr>
                <w:sz w:val="10"/>
                <w:szCs w:val="10"/>
                <w:color w:val="auto"/>
              </w:rPr>
            </w:pPr>
          </w:p>
        </w:tc>
        <w:tc>
          <w:tcPr>
            <w:tcW w:w="3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9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360" w:type="dxa"/>
            <w:vAlign w:val="bottom"/>
            <w:shd w:val="clear" w:color="auto" w:fill="CCEEFF"/>
          </w:tcPr>
          <w:p>
            <w:pPr>
              <w:spacing w:after="0" w:line="119" w:lineRule="exact"/>
              <w:rPr>
                <w:sz w:val="20"/>
                <w:szCs w:val="20"/>
                <w:color w:val="auto"/>
              </w:rPr>
            </w:pPr>
            <w:r>
              <w:rPr>
                <w:rFonts w:ascii="Arial" w:cs="Arial" w:eastAsia="Arial" w:hAnsi="Arial"/>
                <w:sz w:val="11"/>
                <w:szCs w:val="11"/>
                <w:color w:val="auto"/>
                <w:w w:val="91"/>
              </w:rPr>
              <w:t>equipment balances related to this segment as of December 31, 2017, March 31, 2018, December 31, 2018, and March 31, 2019 were $186.4</w:t>
            </w:r>
          </w:p>
        </w:tc>
        <w:tc>
          <w:tcPr>
            <w:tcW w:w="0" w:type="dxa"/>
            <w:vAlign w:val="bottom"/>
          </w:tcPr>
          <w:p>
            <w:pPr>
              <w:spacing w:after="0"/>
              <w:rPr>
                <w:sz w:val="1"/>
                <w:szCs w:val="1"/>
                <w:color w:val="auto"/>
              </w:rPr>
            </w:pPr>
          </w:p>
        </w:tc>
      </w:tr>
      <w:tr>
        <w:trPr>
          <w:trHeight w:val="119"/>
        </w:trPr>
        <w:tc>
          <w:tcPr>
            <w:tcW w:w="3000" w:type="dxa"/>
            <w:vAlign w:val="bottom"/>
            <w:vMerge w:val="restart"/>
            <w:shd w:val="clear" w:color="auto" w:fill="CCEEFF"/>
          </w:tcPr>
          <w:p>
            <w:pPr>
              <w:spacing w:after="0"/>
              <w:rPr>
                <w:sz w:val="20"/>
                <w:szCs w:val="20"/>
                <w:color w:val="auto"/>
              </w:rPr>
            </w:pPr>
            <w:r>
              <w:rPr>
                <w:rFonts w:ascii="Arial" w:cs="Arial" w:eastAsia="Arial" w:hAnsi="Arial"/>
                <w:sz w:val="11"/>
                <w:szCs w:val="11"/>
                <w:color w:val="auto"/>
              </w:rPr>
              <w:t>Depreciation and amortization</w:t>
            </w:r>
          </w:p>
        </w:tc>
        <w:tc>
          <w:tcPr>
            <w:tcW w:w="600" w:type="dxa"/>
            <w:vAlign w:val="bottom"/>
            <w:shd w:val="clear" w:color="auto" w:fill="CCEEFF"/>
          </w:tcPr>
          <w:p>
            <w:pPr>
              <w:spacing w:after="0"/>
              <w:rPr>
                <w:sz w:val="10"/>
                <w:szCs w:val="10"/>
                <w:color w:val="auto"/>
              </w:rPr>
            </w:pPr>
          </w:p>
        </w:tc>
        <w:tc>
          <w:tcPr>
            <w:tcW w:w="360" w:type="dxa"/>
            <w:vAlign w:val="bottom"/>
            <w:vMerge w:val="restart"/>
            <w:shd w:val="clear" w:color="auto" w:fill="CCEEFF"/>
          </w:tcPr>
          <w:p>
            <w:pPr>
              <w:jc w:val="right"/>
              <w:spacing w:after="0"/>
              <w:rPr>
                <w:sz w:val="20"/>
                <w:szCs w:val="20"/>
                <w:color w:val="auto"/>
              </w:rPr>
            </w:pPr>
            <w:r>
              <w:rPr>
                <w:rFonts w:ascii="Arial" w:cs="Arial" w:eastAsia="Arial" w:hAnsi="Arial"/>
                <w:sz w:val="11"/>
                <w:szCs w:val="11"/>
                <w:color w:val="auto"/>
              </w:rPr>
              <w:t>7,362</w:t>
            </w:r>
          </w:p>
        </w:tc>
        <w:tc>
          <w:tcPr>
            <w:tcW w:w="100" w:type="dxa"/>
            <w:vAlign w:val="bottom"/>
            <w:shd w:val="clear" w:color="auto" w:fill="CCEEFF"/>
          </w:tcPr>
          <w:p>
            <w:pPr>
              <w:spacing w:after="0"/>
              <w:rPr>
                <w:sz w:val="10"/>
                <w:szCs w:val="10"/>
                <w:color w:val="auto"/>
              </w:rPr>
            </w:pPr>
          </w:p>
        </w:tc>
        <w:tc>
          <w:tcPr>
            <w:tcW w:w="920" w:type="dxa"/>
            <w:vAlign w:val="bottom"/>
            <w:vMerge w:val="restart"/>
            <w:shd w:val="clear" w:color="auto" w:fill="CCEEFF"/>
          </w:tcPr>
          <w:p>
            <w:pPr>
              <w:jc w:val="right"/>
              <w:ind w:right="3"/>
              <w:spacing w:after="0"/>
              <w:rPr>
                <w:sz w:val="20"/>
                <w:szCs w:val="20"/>
                <w:color w:val="auto"/>
              </w:rPr>
            </w:pPr>
            <w:r>
              <w:rPr>
                <w:rFonts w:ascii="Arial" w:cs="Arial" w:eastAsia="Arial" w:hAnsi="Arial"/>
                <w:sz w:val="11"/>
                <w:szCs w:val="11"/>
                <w:color w:val="auto"/>
              </w:rPr>
              <w:t>4,921</w:t>
            </w:r>
          </w:p>
        </w:tc>
        <w:tc>
          <w:tcPr>
            <w:tcW w:w="100" w:type="dxa"/>
            <w:vAlign w:val="bottom"/>
            <w:shd w:val="clear" w:color="auto" w:fill="CCEEFF"/>
          </w:tcPr>
          <w:p>
            <w:pPr>
              <w:spacing w:after="0"/>
              <w:rPr>
                <w:sz w:val="10"/>
                <w:szCs w:val="10"/>
                <w:color w:val="auto"/>
              </w:rPr>
            </w:pPr>
          </w:p>
        </w:tc>
        <w:tc>
          <w:tcPr>
            <w:tcW w:w="6360" w:type="dxa"/>
            <w:vAlign w:val="bottom"/>
            <w:shd w:val="clear" w:color="auto" w:fill="CCEEFF"/>
          </w:tcPr>
          <w:p>
            <w:pPr>
              <w:spacing w:after="0" w:line="119" w:lineRule="exact"/>
              <w:rPr>
                <w:sz w:val="20"/>
                <w:szCs w:val="20"/>
                <w:color w:val="auto"/>
              </w:rPr>
            </w:pPr>
            <w:r>
              <w:rPr>
                <w:rFonts w:ascii="Arial" w:cs="Arial" w:eastAsia="Arial" w:hAnsi="Arial"/>
                <w:sz w:val="11"/>
                <w:szCs w:val="11"/>
                <w:color w:val="auto"/>
                <w:w w:val="97"/>
              </w:rPr>
              <w:t>million, $204.3 million, $273.9 million and $285.8 million, respectively. Amortization reflects the allocation of costs related to intangible</w:t>
            </w:r>
          </w:p>
        </w:tc>
        <w:tc>
          <w:tcPr>
            <w:tcW w:w="0" w:type="dxa"/>
            <w:vAlign w:val="bottom"/>
          </w:tcPr>
          <w:p>
            <w:pPr>
              <w:spacing w:after="0"/>
              <w:rPr>
                <w:sz w:val="1"/>
                <w:szCs w:val="1"/>
                <w:color w:val="auto"/>
              </w:rPr>
            </w:pPr>
          </w:p>
        </w:tc>
      </w:tr>
      <w:tr>
        <w:trPr>
          <w:trHeight w:val="150"/>
        </w:trPr>
        <w:tc>
          <w:tcPr>
            <w:tcW w:w="3000" w:type="dxa"/>
            <w:vAlign w:val="bottom"/>
            <w:vMerge w:val="continue"/>
            <w:shd w:val="clear" w:color="auto" w:fill="CCEEFF"/>
          </w:tcPr>
          <w:p>
            <w:pPr>
              <w:spacing w:after="0"/>
              <w:rPr>
                <w:sz w:val="13"/>
                <w:szCs w:val="13"/>
                <w:color w:val="auto"/>
              </w:rPr>
            </w:pPr>
          </w:p>
        </w:tc>
        <w:tc>
          <w:tcPr>
            <w:tcW w:w="600" w:type="dxa"/>
            <w:vAlign w:val="bottom"/>
            <w:shd w:val="clear" w:color="auto" w:fill="CCEEFF"/>
          </w:tcPr>
          <w:p>
            <w:pPr>
              <w:spacing w:after="0"/>
              <w:rPr>
                <w:sz w:val="13"/>
                <w:szCs w:val="13"/>
                <w:color w:val="auto"/>
              </w:rPr>
            </w:pPr>
          </w:p>
        </w:tc>
        <w:tc>
          <w:tcPr>
            <w:tcW w:w="360" w:type="dxa"/>
            <w:vAlign w:val="bottom"/>
            <w:vMerge w:val="continue"/>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920" w:type="dxa"/>
            <w:vAlign w:val="bottom"/>
            <w:vMerge w:val="continue"/>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360" w:type="dxa"/>
            <w:vAlign w:val="bottom"/>
            <w:shd w:val="clear" w:color="auto" w:fill="CCEEFF"/>
          </w:tcPr>
          <w:p>
            <w:pPr>
              <w:spacing w:after="0"/>
              <w:rPr>
                <w:sz w:val="20"/>
                <w:szCs w:val="20"/>
                <w:color w:val="auto"/>
              </w:rPr>
            </w:pPr>
            <w:r>
              <w:rPr>
                <w:rFonts w:ascii="Arial" w:cs="Arial" w:eastAsia="Arial" w:hAnsi="Arial"/>
                <w:sz w:val="11"/>
                <w:szCs w:val="11"/>
                <w:color w:val="auto"/>
              </w:rPr>
              <w:t>assets recorded at fair value as of the date the Company acquired ALLO over their estimated useful lives.</w:t>
            </w:r>
          </w:p>
        </w:tc>
        <w:tc>
          <w:tcPr>
            <w:tcW w:w="0" w:type="dxa"/>
            <w:vAlign w:val="bottom"/>
          </w:tcPr>
          <w:p>
            <w:pPr>
              <w:spacing w:after="0"/>
              <w:rPr>
                <w:sz w:val="1"/>
                <w:szCs w:val="1"/>
                <w:color w:val="auto"/>
              </w:rPr>
            </w:pPr>
          </w:p>
        </w:tc>
      </w:tr>
      <w:tr>
        <w:trPr>
          <w:trHeight w:val="131"/>
        </w:trPr>
        <w:tc>
          <w:tcPr>
            <w:tcW w:w="30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360" w:type="dxa"/>
            <w:vAlign w:val="bottom"/>
          </w:tcPr>
          <w:p>
            <w:pPr>
              <w:spacing w:after="0"/>
              <w:rPr>
                <w:sz w:val="20"/>
                <w:szCs w:val="20"/>
                <w:color w:val="auto"/>
              </w:rPr>
            </w:pPr>
            <w:r>
              <w:rPr>
                <w:rFonts w:ascii="Arial" w:cs="Arial" w:eastAsia="Arial" w:hAnsi="Arial"/>
                <w:sz w:val="11"/>
                <w:szCs w:val="11"/>
                <w:color w:val="auto"/>
                <w:w w:val="91"/>
              </w:rPr>
              <w:t>Other expenses includes selling, general, and administrative expenses necessary for operations, such as advertising, occupancy, professional</w:t>
            </w:r>
          </w:p>
        </w:tc>
        <w:tc>
          <w:tcPr>
            <w:tcW w:w="0" w:type="dxa"/>
            <w:vAlign w:val="bottom"/>
          </w:tcPr>
          <w:p>
            <w:pPr>
              <w:spacing w:after="0"/>
              <w:rPr>
                <w:sz w:val="1"/>
                <w:szCs w:val="1"/>
                <w:color w:val="auto"/>
              </w:rPr>
            </w:pPr>
          </w:p>
        </w:tc>
      </w:tr>
      <w:tr>
        <w:trPr>
          <w:trHeight w:val="119"/>
        </w:trPr>
        <w:tc>
          <w:tcPr>
            <w:tcW w:w="3000" w:type="dxa"/>
            <w:vAlign w:val="bottom"/>
            <w:vMerge w:val="restart"/>
          </w:tcPr>
          <w:p>
            <w:pPr>
              <w:spacing w:after="0"/>
              <w:rPr>
                <w:sz w:val="20"/>
                <w:szCs w:val="20"/>
                <w:color w:val="auto"/>
              </w:rPr>
            </w:pPr>
            <w:r>
              <w:rPr>
                <w:rFonts w:ascii="Arial" w:cs="Arial" w:eastAsia="Arial" w:hAnsi="Arial"/>
                <w:sz w:val="11"/>
                <w:szCs w:val="11"/>
                <w:color w:val="auto"/>
              </w:rPr>
              <w:t>Other expenses</w:t>
            </w:r>
          </w:p>
        </w:tc>
        <w:tc>
          <w:tcPr>
            <w:tcW w:w="600" w:type="dxa"/>
            <w:vAlign w:val="bottom"/>
          </w:tcPr>
          <w:p>
            <w:pPr>
              <w:spacing w:after="0"/>
              <w:rPr>
                <w:sz w:val="10"/>
                <w:szCs w:val="10"/>
                <w:color w:val="auto"/>
              </w:rPr>
            </w:pPr>
          </w:p>
        </w:tc>
        <w:tc>
          <w:tcPr>
            <w:tcW w:w="360" w:type="dxa"/>
            <w:vAlign w:val="bottom"/>
            <w:vMerge w:val="restart"/>
          </w:tcPr>
          <w:p>
            <w:pPr>
              <w:jc w:val="right"/>
              <w:spacing w:after="0"/>
              <w:rPr>
                <w:sz w:val="20"/>
                <w:szCs w:val="20"/>
                <w:color w:val="auto"/>
              </w:rPr>
            </w:pPr>
            <w:r>
              <w:rPr>
                <w:rFonts w:ascii="Arial" w:cs="Arial" w:eastAsia="Arial" w:hAnsi="Arial"/>
                <w:sz w:val="11"/>
                <w:szCs w:val="11"/>
                <w:color w:val="auto"/>
              </w:rPr>
              <w:t>3,477</w:t>
            </w:r>
          </w:p>
        </w:tc>
        <w:tc>
          <w:tcPr>
            <w:tcW w:w="100" w:type="dxa"/>
            <w:vAlign w:val="bottom"/>
          </w:tcPr>
          <w:p>
            <w:pPr>
              <w:spacing w:after="0"/>
              <w:rPr>
                <w:sz w:val="10"/>
                <w:szCs w:val="10"/>
                <w:color w:val="auto"/>
              </w:rPr>
            </w:pPr>
          </w:p>
        </w:tc>
        <w:tc>
          <w:tcPr>
            <w:tcW w:w="920" w:type="dxa"/>
            <w:vAlign w:val="bottom"/>
            <w:vMerge w:val="restart"/>
          </w:tcPr>
          <w:p>
            <w:pPr>
              <w:jc w:val="right"/>
              <w:ind w:right="3"/>
              <w:spacing w:after="0"/>
              <w:rPr>
                <w:sz w:val="20"/>
                <w:szCs w:val="20"/>
                <w:color w:val="auto"/>
              </w:rPr>
            </w:pPr>
            <w:r>
              <w:rPr>
                <w:rFonts w:ascii="Arial" w:cs="Arial" w:eastAsia="Arial" w:hAnsi="Arial"/>
                <w:sz w:val="11"/>
                <w:szCs w:val="11"/>
                <w:color w:val="auto"/>
              </w:rPr>
              <w:t>2,638</w:t>
            </w:r>
          </w:p>
        </w:tc>
        <w:tc>
          <w:tcPr>
            <w:tcW w:w="100" w:type="dxa"/>
            <w:vAlign w:val="bottom"/>
          </w:tcPr>
          <w:p>
            <w:pPr>
              <w:spacing w:after="0"/>
              <w:rPr>
                <w:sz w:val="10"/>
                <w:szCs w:val="10"/>
                <w:color w:val="auto"/>
              </w:rPr>
            </w:pPr>
          </w:p>
        </w:tc>
        <w:tc>
          <w:tcPr>
            <w:tcW w:w="6360" w:type="dxa"/>
            <w:vAlign w:val="bottom"/>
          </w:tcPr>
          <w:p>
            <w:pPr>
              <w:spacing w:after="0" w:line="119" w:lineRule="exact"/>
              <w:rPr>
                <w:sz w:val="20"/>
                <w:szCs w:val="20"/>
                <w:color w:val="auto"/>
              </w:rPr>
            </w:pPr>
            <w:r>
              <w:rPr>
                <w:rFonts w:ascii="Arial" w:cs="Arial" w:eastAsia="Arial" w:hAnsi="Arial"/>
                <w:sz w:val="11"/>
                <w:szCs w:val="11"/>
                <w:color w:val="auto"/>
                <w:w w:val="91"/>
              </w:rPr>
              <w:t>services, construction materials, and personal property taxes. Increase was due to expansion of the Lincoln, Nebraska network and number of</w:t>
            </w:r>
          </w:p>
        </w:tc>
        <w:tc>
          <w:tcPr>
            <w:tcW w:w="0" w:type="dxa"/>
            <w:vAlign w:val="bottom"/>
          </w:tcPr>
          <w:p>
            <w:pPr>
              <w:spacing w:after="0"/>
              <w:rPr>
                <w:sz w:val="1"/>
                <w:szCs w:val="1"/>
                <w:color w:val="auto"/>
              </w:rPr>
            </w:pPr>
          </w:p>
        </w:tc>
      </w:tr>
      <w:tr>
        <w:trPr>
          <w:trHeight w:val="145"/>
        </w:trPr>
        <w:tc>
          <w:tcPr>
            <w:tcW w:w="3000" w:type="dxa"/>
            <w:vAlign w:val="bottom"/>
            <w:vMerge w:val="continue"/>
          </w:tcPr>
          <w:p>
            <w:pPr>
              <w:spacing w:after="0"/>
              <w:rPr>
                <w:sz w:val="12"/>
                <w:szCs w:val="12"/>
                <w:color w:val="auto"/>
              </w:rPr>
            </w:pPr>
          </w:p>
        </w:tc>
        <w:tc>
          <w:tcPr>
            <w:tcW w:w="600" w:type="dxa"/>
            <w:vAlign w:val="bottom"/>
          </w:tcPr>
          <w:p>
            <w:pPr>
              <w:spacing w:after="0"/>
              <w:rPr>
                <w:sz w:val="12"/>
                <w:szCs w:val="12"/>
                <w:color w:val="auto"/>
              </w:rPr>
            </w:pPr>
          </w:p>
        </w:tc>
        <w:tc>
          <w:tcPr>
            <w:tcW w:w="36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6360" w:type="dxa"/>
            <w:vAlign w:val="bottom"/>
          </w:tcPr>
          <w:p>
            <w:pPr>
              <w:spacing w:after="0"/>
              <w:rPr>
                <w:sz w:val="20"/>
                <w:szCs w:val="20"/>
                <w:color w:val="auto"/>
              </w:rPr>
            </w:pPr>
            <w:r>
              <w:rPr>
                <w:rFonts w:ascii="Arial" w:cs="Arial" w:eastAsia="Arial" w:hAnsi="Arial"/>
                <w:sz w:val="11"/>
                <w:szCs w:val="11"/>
                <w:color w:val="auto"/>
              </w:rPr>
              <w:t>households served.</w:t>
            </w:r>
          </w:p>
        </w:tc>
        <w:tc>
          <w:tcPr>
            <w:tcW w:w="0" w:type="dxa"/>
            <w:vAlign w:val="bottom"/>
          </w:tcPr>
          <w:p>
            <w:pPr>
              <w:spacing w:after="0"/>
              <w:rPr>
                <w:sz w:val="1"/>
                <w:szCs w:val="1"/>
                <w:color w:val="auto"/>
              </w:rPr>
            </w:pPr>
          </w:p>
        </w:tc>
      </w:tr>
      <w:tr>
        <w:trPr>
          <w:trHeight w:val="135"/>
        </w:trPr>
        <w:tc>
          <w:tcPr>
            <w:tcW w:w="3000" w:type="dxa"/>
            <w:vAlign w:val="bottom"/>
            <w:vMerge w:val="restart"/>
            <w:shd w:val="clear" w:color="auto" w:fill="CCEEFF"/>
          </w:tcPr>
          <w:p>
            <w:pPr>
              <w:spacing w:after="0"/>
              <w:rPr>
                <w:sz w:val="20"/>
                <w:szCs w:val="20"/>
                <w:color w:val="auto"/>
              </w:rPr>
            </w:pPr>
            <w:r>
              <w:rPr>
                <w:rFonts w:ascii="Arial" w:cs="Arial" w:eastAsia="Arial" w:hAnsi="Arial"/>
                <w:sz w:val="11"/>
                <w:szCs w:val="11"/>
                <w:color w:val="auto"/>
              </w:rPr>
              <w:t>Intersegment expenses</w:t>
            </w:r>
          </w:p>
        </w:tc>
        <w:tc>
          <w:tcPr>
            <w:tcW w:w="600" w:type="dxa"/>
            <w:vAlign w:val="bottom"/>
            <w:shd w:val="clear" w:color="auto" w:fill="CCEEFF"/>
          </w:tcPr>
          <w:p>
            <w:pPr>
              <w:spacing w:after="0"/>
              <w:rPr>
                <w:sz w:val="11"/>
                <w:szCs w:val="11"/>
                <w:color w:val="auto"/>
              </w:rPr>
            </w:pPr>
          </w:p>
        </w:tc>
        <w:tc>
          <w:tcPr>
            <w:tcW w:w="360" w:type="dxa"/>
            <w:vAlign w:val="bottom"/>
            <w:vMerge w:val="restart"/>
            <w:shd w:val="clear" w:color="auto" w:fill="CCEEFF"/>
          </w:tcPr>
          <w:p>
            <w:pPr>
              <w:jc w:val="right"/>
              <w:spacing w:after="0"/>
              <w:rPr>
                <w:sz w:val="20"/>
                <w:szCs w:val="20"/>
                <w:color w:val="auto"/>
              </w:rPr>
            </w:pPr>
            <w:r>
              <w:rPr>
                <w:rFonts w:ascii="Arial" w:cs="Arial" w:eastAsia="Arial" w:hAnsi="Arial"/>
                <w:sz w:val="11"/>
                <w:szCs w:val="11"/>
                <w:color w:val="auto"/>
              </w:rPr>
              <w:t>664</w:t>
            </w:r>
          </w:p>
        </w:tc>
        <w:tc>
          <w:tcPr>
            <w:tcW w:w="100" w:type="dxa"/>
            <w:vAlign w:val="bottom"/>
            <w:shd w:val="clear" w:color="auto" w:fill="CCEEFF"/>
          </w:tcPr>
          <w:p>
            <w:pPr>
              <w:spacing w:after="0"/>
              <w:rPr>
                <w:sz w:val="11"/>
                <w:szCs w:val="11"/>
                <w:color w:val="auto"/>
              </w:rPr>
            </w:pPr>
          </w:p>
        </w:tc>
        <w:tc>
          <w:tcPr>
            <w:tcW w:w="920" w:type="dxa"/>
            <w:vAlign w:val="bottom"/>
            <w:vMerge w:val="restart"/>
            <w:shd w:val="clear" w:color="auto" w:fill="CCEEFF"/>
          </w:tcPr>
          <w:p>
            <w:pPr>
              <w:jc w:val="right"/>
              <w:ind w:right="3"/>
              <w:spacing w:after="0"/>
              <w:rPr>
                <w:sz w:val="20"/>
                <w:szCs w:val="20"/>
                <w:color w:val="auto"/>
              </w:rPr>
            </w:pPr>
            <w:r>
              <w:rPr>
                <w:rFonts w:ascii="Arial" w:cs="Arial" w:eastAsia="Arial" w:hAnsi="Arial"/>
                <w:sz w:val="11"/>
                <w:szCs w:val="11"/>
                <w:color w:val="auto"/>
              </w:rPr>
              <w:t>605</w:t>
            </w:r>
          </w:p>
        </w:tc>
        <w:tc>
          <w:tcPr>
            <w:tcW w:w="100" w:type="dxa"/>
            <w:vAlign w:val="bottom"/>
            <w:shd w:val="clear" w:color="auto" w:fill="CCEEFF"/>
          </w:tcPr>
          <w:p>
            <w:pPr>
              <w:spacing w:after="0"/>
              <w:rPr>
                <w:sz w:val="11"/>
                <w:szCs w:val="11"/>
                <w:color w:val="auto"/>
              </w:rPr>
            </w:pPr>
          </w:p>
        </w:tc>
        <w:tc>
          <w:tcPr>
            <w:tcW w:w="6360" w:type="dxa"/>
            <w:vAlign w:val="bottom"/>
            <w:shd w:val="clear" w:color="auto" w:fill="CCEEFF"/>
          </w:tcPr>
          <w:p>
            <w:pPr>
              <w:spacing w:after="0"/>
              <w:rPr>
                <w:sz w:val="20"/>
                <w:szCs w:val="20"/>
                <w:color w:val="auto"/>
              </w:rPr>
            </w:pPr>
            <w:r>
              <w:rPr>
                <w:rFonts w:ascii="Arial" w:cs="Arial" w:eastAsia="Arial" w:hAnsi="Arial"/>
                <w:sz w:val="11"/>
                <w:szCs w:val="11"/>
                <w:color w:val="auto"/>
                <w:w w:val="94"/>
              </w:rPr>
              <w:t>Intersegment expenses represent costs for certain corporate activities and services that are allocated to each operating segment based on</w:t>
            </w:r>
          </w:p>
        </w:tc>
        <w:tc>
          <w:tcPr>
            <w:tcW w:w="0" w:type="dxa"/>
            <w:vAlign w:val="bottom"/>
          </w:tcPr>
          <w:p>
            <w:pPr>
              <w:spacing w:after="0"/>
              <w:rPr>
                <w:sz w:val="1"/>
                <w:szCs w:val="1"/>
                <w:color w:val="auto"/>
              </w:rPr>
            </w:pPr>
          </w:p>
        </w:tc>
      </w:tr>
      <w:tr>
        <w:trPr>
          <w:trHeight w:val="145"/>
        </w:trPr>
        <w:tc>
          <w:tcPr>
            <w:tcW w:w="3000" w:type="dxa"/>
            <w:vAlign w:val="bottom"/>
            <w:vMerge w:val="continue"/>
            <w:shd w:val="clear" w:color="auto" w:fill="CCEEFF"/>
          </w:tcPr>
          <w:p>
            <w:pPr>
              <w:spacing w:after="0"/>
              <w:rPr>
                <w:sz w:val="12"/>
                <w:szCs w:val="12"/>
                <w:color w:val="auto"/>
              </w:rPr>
            </w:pPr>
          </w:p>
        </w:tc>
        <w:tc>
          <w:tcPr>
            <w:tcW w:w="600" w:type="dxa"/>
            <w:vAlign w:val="bottom"/>
            <w:tcBorders>
              <w:bottom w:val="single" w:sz="8" w:color="auto"/>
            </w:tcBorders>
            <w:shd w:val="clear" w:color="auto" w:fill="CCEEFF"/>
          </w:tcPr>
          <w:p>
            <w:pPr>
              <w:spacing w:after="0"/>
              <w:rPr>
                <w:sz w:val="12"/>
                <w:szCs w:val="12"/>
                <w:color w:val="auto"/>
              </w:rPr>
            </w:pPr>
          </w:p>
        </w:tc>
        <w:tc>
          <w:tcPr>
            <w:tcW w:w="360" w:type="dxa"/>
            <w:vAlign w:val="bottom"/>
            <w:tcBorders>
              <w:bottom w:val="single" w:sz="8" w:color="auto"/>
            </w:tcBorders>
            <w:vMerge w:val="continue"/>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20" w:type="dxa"/>
            <w:vAlign w:val="bottom"/>
            <w:tcBorders>
              <w:bottom w:val="single" w:sz="8" w:color="auto"/>
            </w:tcBorders>
            <w:vMerge w:val="continue"/>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360" w:type="dxa"/>
            <w:vAlign w:val="bottom"/>
            <w:shd w:val="clear" w:color="auto" w:fill="CCEEFF"/>
          </w:tcPr>
          <w:p>
            <w:pPr>
              <w:spacing w:after="0"/>
              <w:rPr>
                <w:sz w:val="20"/>
                <w:szCs w:val="20"/>
                <w:color w:val="auto"/>
              </w:rPr>
            </w:pPr>
            <w:r>
              <w:rPr>
                <w:rFonts w:ascii="Arial" w:cs="Arial" w:eastAsia="Arial" w:hAnsi="Arial"/>
                <w:sz w:val="11"/>
                <w:szCs w:val="11"/>
                <w:color w:val="auto"/>
              </w:rPr>
              <w:t>estimated use of such activities and services.</w:t>
            </w:r>
          </w:p>
        </w:tc>
        <w:tc>
          <w:tcPr>
            <w:tcW w:w="0" w:type="dxa"/>
            <w:vAlign w:val="bottom"/>
          </w:tcPr>
          <w:p>
            <w:pPr>
              <w:spacing w:after="0"/>
              <w:rPr>
                <w:sz w:val="1"/>
                <w:szCs w:val="1"/>
                <w:color w:val="auto"/>
              </w:rPr>
            </w:pPr>
          </w:p>
        </w:tc>
      </w:tr>
      <w:tr>
        <w:trPr>
          <w:trHeight w:val="152"/>
        </w:trPr>
        <w:tc>
          <w:tcPr>
            <w:tcW w:w="3000" w:type="dxa"/>
            <w:vAlign w:val="bottom"/>
            <w:tcBorders>
              <w:bottom w:val="single" w:sz="8" w:color="CCEEFF"/>
            </w:tcBorders>
          </w:tcPr>
          <w:p>
            <w:pPr>
              <w:jc w:val="center"/>
              <w:ind w:right="1443"/>
              <w:spacing w:after="0"/>
              <w:rPr>
                <w:sz w:val="20"/>
                <w:szCs w:val="20"/>
                <w:color w:val="auto"/>
              </w:rPr>
            </w:pPr>
            <w:r>
              <w:rPr>
                <w:rFonts w:ascii="Arial" w:cs="Arial" w:eastAsia="Arial" w:hAnsi="Arial"/>
                <w:sz w:val="11"/>
                <w:szCs w:val="11"/>
                <w:color w:val="auto"/>
                <w:w w:val="92"/>
              </w:rPr>
              <w:t>Total operating expenses</w:t>
            </w:r>
          </w:p>
        </w:tc>
        <w:tc>
          <w:tcPr>
            <w:tcW w:w="600" w:type="dxa"/>
            <w:vAlign w:val="bottom"/>
            <w:tcBorders>
              <w:bottom w:val="single" w:sz="8" w:color="auto"/>
            </w:tcBorders>
          </w:tcPr>
          <w:p>
            <w:pPr>
              <w:spacing w:after="0"/>
              <w:rPr>
                <w:sz w:val="13"/>
                <w:szCs w:val="13"/>
                <w:color w:val="auto"/>
              </w:rPr>
            </w:pPr>
          </w:p>
        </w:tc>
        <w:tc>
          <w:tcPr>
            <w:tcW w:w="36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w w:val="89"/>
              </w:rPr>
              <w:t>16,240</w:t>
            </w:r>
          </w:p>
        </w:tc>
        <w:tc>
          <w:tcPr>
            <w:tcW w:w="100" w:type="dxa"/>
            <w:vAlign w:val="bottom"/>
            <w:tcBorders>
              <w:bottom w:val="single" w:sz="8" w:color="CCEEFF"/>
            </w:tcBorders>
          </w:tcPr>
          <w:p>
            <w:pPr>
              <w:spacing w:after="0"/>
              <w:rPr>
                <w:sz w:val="13"/>
                <w:szCs w:val="13"/>
                <w:color w:val="auto"/>
              </w:rPr>
            </w:pPr>
          </w:p>
        </w:tc>
        <w:tc>
          <w:tcPr>
            <w:tcW w:w="920" w:type="dxa"/>
            <w:vAlign w:val="bottom"/>
            <w:tcBorders>
              <w:bottom w:val="single" w:sz="8" w:color="auto"/>
            </w:tcBorders>
          </w:tcPr>
          <w:p>
            <w:pPr>
              <w:jc w:val="right"/>
              <w:ind w:right="3"/>
              <w:spacing w:after="0"/>
              <w:rPr>
                <w:sz w:val="20"/>
                <w:szCs w:val="20"/>
                <w:color w:val="auto"/>
              </w:rPr>
            </w:pPr>
            <w:r>
              <w:rPr>
                <w:rFonts w:ascii="Arial" w:cs="Arial" w:eastAsia="Arial" w:hAnsi="Arial"/>
                <w:sz w:val="11"/>
                <w:szCs w:val="11"/>
                <w:color w:val="auto"/>
              </w:rPr>
              <w:t>12,227</w:t>
            </w:r>
          </w:p>
        </w:tc>
        <w:tc>
          <w:tcPr>
            <w:tcW w:w="100" w:type="dxa"/>
            <w:vAlign w:val="bottom"/>
            <w:tcBorders>
              <w:bottom w:val="single" w:sz="8" w:color="CCEEFF"/>
            </w:tcBorders>
          </w:tcPr>
          <w:p>
            <w:pPr>
              <w:spacing w:after="0"/>
              <w:rPr>
                <w:sz w:val="13"/>
                <w:szCs w:val="13"/>
                <w:color w:val="auto"/>
              </w:rPr>
            </w:pPr>
          </w:p>
        </w:tc>
        <w:tc>
          <w:tcPr>
            <w:tcW w:w="6360" w:type="dxa"/>
            <w:vAlign w:val="bottom"/>
            <w:tcBorders>
              <w:bottom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57"/>
        </w:trPr>
        <w:tc>
          <w:tcPr>
            <w:tcW w:w="3000" w:type="dxa"/>
            <w:vAlign w:val="bottom"/>
            <w:shd w:val="clear" w:color="auto" w:fill="CCEEFF"/>
          </w:tcPr>
          <w:p>
            <w:pPr>
              <w:jc w:val="center"/>
              <w:ind w:right="1443"/>
              <w:spacing w:after="0"/>
              <w:rPr>
                <w:sz w:val="20"/>
                <w:szCs w:val="20"/>
                <w:color w:val="auto"/>
              </w:rPr>
            </w:pPr>
            <w:r>
              <w:rPr>
                <w:rFonts w:ascii="Arial" w:cs="Arial" w:eastAsia="Arial" w:hAnsi="Arial"/>
                <w:sz w:val="11"/>
                <w:szCs w:val="11"/>
                <w:color w:val="auto"/>
                <w:w w:val="94"/>
              </w:rPr>
              <w:t>Loss before income taxes</w:t>
            </w:r>
          </w:p>
        </w:tc>
        <w:tc>
          <w:tcPr>
            <w:tcW w:w="600" w:type="dxa"/>
            <w:vAlign w:val="bottom"/>
            <w:shd w:val="clear" w:color="auto" w:fill="CCEEFF"/>
          </w:tcPr>
          <w:p>
            <w:pPr>
              <w:spacing w:after="0"/>
              <w:rPr>
                <w:sz w:val="13"/>
                <w:szCs w:val="13"/>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1"/>
                <w:szCs w:val="11"/>
                <w:color w:val="auto"/>
                <w:w w:val="91"/>
              </w:rPr>
              <w:t>(6,329)</w:t>
            </w:r>
          </w:p>
        </w:tc>
        <w:tc>
          <w:tcPr>
            <w:tcW w:w="100" w:type="dxa"/>
            <w:vAlign w:val="bottom"/>
            <w:shd w:val="clear" w:color="auto" w:fill="CCEEFF"/>
          </w:tcPr>
          <w:p>
            <w:pPr>
              <w:spacing w:after="0"/>
              <w:rPr>
                <w:sz w:val="13"/>
                <w:szCs w:val="13"/>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1"/>
                <w:szCs w:val="11"/>
                <w:color w:val="auto"/>
              </w:rPr>
              <w:t>(9,263)</w:t>
            </w:r>
          </w:p>
        </w:tc>
        <w:tc>
          <w:tcPr>
            <w:tcW w:w="100" w:type="dxa"/>
            <w:vAlign w:val="bottom"/>
            <w:shd w:val="clear" w:color="auto" w:fill="CCEEFF"/>
          </w:tcPr>
          <w:p>
            <w:pPr>
              <w:spacing w:after="0"/>
              <w:rPr>
                <w:sz w:val="13"/>
                <w:szCs w:val="13"/>
                <w:color w:val="auto"/>
              </w:rPr>
            </w:pPr>
          </w:p>
        </w:tc>
        <w:tc>
          <w:tcPr>
            <w:tcW w:w="63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7"/>
        </w:trPr>
        <w:tc>
          <w:tcPr>
            <w:tcW w:w="3000" w:type="dxa"/>
            <w:vAlign w:val="bottom"/>
            <w:tcBorders>
              <w:bottom w:val="single" w:sz="8" w:color="CCEEFF"/>
            </w:tcBorders>
          </w:tcPr>
          <w:p>
            <w:pPr>
              <w:spacing w:after="0"/>
              <w:rPr>
                <w:sz w:val="20"/>
                <w:szCs w:val="20"/>
                <w:color w:val="auto"/>
              </w:rPr>
            </w:pPr>
            <w:r>
              <w:rPr>
                <w:rFonts w:ascii="Arial" w:cs="Arial" w:eastAsia="Arial" w:hAnsi="Arial"/>
                <w:sz w:val="11"/>
                <w:szCs w:val="11"/>
                <w:color w:val="auto"/>
              </w:rPr>
              <w:t>Income tax benefit</w:t>
            </w:r>
          </w:p>
        </w:tc>
        <w:tc>
          <w:tcPr>
            <w:tcW w:w="600" w:type="dxa"/>
            <w:vAlign w:val="bottom"/>
            <w:tcBorders>
              <w:bottom w:val="single" w:sz="8" w:color="auto"/>
            </w:tcBorders>
          </w:tcPr>
          <w:p>
            <w:pPr>
              <w:spacing w:after="0"/>
              <w:rPr>
                <w:sz w:val="13"/>
                <w:szCs w:val="13"/>
                <w:color w:val="auto"/>
              </w:rPr>
            </w:pPr>
          </w:p>
        </w:tc>
        <w:tc>
          <w:tcPr>
            <w:tcW w:w="36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1,519</w:t>
            </w:r>
          </w:p>
        </w:tc>
        <w:tc>
          <w:tcPr>
            <w:tcW w:w="100" w:type="dxa"/>
            <w:vAlign w:val="bottom"/>
            <w:tcBorders>
              <w:bottom w:val="single" w:sz="8" w:color="CCEEFF"/>
            </w:tcBorders>
          </w:tcPr>
          <w:p>
            <w:pPr>
              <w:spacing w:after="0"/>
              <w:rPr>
                <w:sz w:val="13"/>
                <w:szCs w:val="13"/>
                <w:color w:val="auto"/>
              </w:rPr>
            </w:pPr>
          </w:p>
        </w:tc>
        <w:tc>
          <w:tcPr>
            <w:tcW w:w="920" w:type="dxa"/>
            <w:vAlign w:val="bottom"/>
            <w:tcBorders>
              <w:bottom w:val="single" w:sz="8" w:color="auto"/>
            </w:tcBorders>
          </w:tcPr>
          <w:p>
            <w:pPr>
              <w:jc w:val="right"/>
              <w:ind w:right="3"/>
              <w:spacing w:after="0"/>
              <w:rPr>
                <w:sz w:val="20"/>
                <w:szCs w:val="20"/>
                <w:color w:val="auto"/>
              </w:rPr>
            </w:pPr>
            <w:r>
              <w:rPr>
                <w:rFonts w:ascii="Arial" w:cs="Arial" w:eastAsia="Arial" w:hAnsi="Arial"/>
                <w:sz w:val="11"/>
                <w:szCs w:val="11"/>
                <w:color w:val="auto"/>
              </w:rPr>
              <w:t>2,223</w:t>
            </w:r>
          </w:p>
        </w:tc>
        <w:tc>
          <w:tcPr>
            <w:tcW w:w="100" w:type="dxa"/>
            <w:vAlign w:val="bottom"/>
            <w:tcBorders>
              <w:bottom w:val="single" w:sz="8" w:color="CCEEFF"/>
            </w:tcBorders>
          </w:tcPr>
          <w:p>
            <w:pPr>
              <w:spacing w:after="0"/>
              <w:rPr>
                <w:sz w:val="13"/>
                <w:szCs w:val="13"/>
                <w:color w:val="auto"/>
              </w:rPr>
            </w:pPr>
          </w:p>
        </w:tc>
        <w:tc>
          <w:tcPr>
            <w:tcW w:w="6360" w:type="dxa"/>
            <w:vAlign w:val="bottom"/>
            <w:tcBorders>
              <w:bottom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15"/>
        </w:trPr>
        <w:tc>
          <w:tcPr>
            <w:tcW w:w="3000" w:type="dxa"/>
            <w:vAlign w:val="bottom"/>
            <w:shd w:val="clear" w:color="auto" w:fill="CCEEFF"/>
          </w:tcPr>
          <w:p>
            <w:pPr>
              <w:spacing w:after="0"/>
              <w:rPr>
                <w:sz w:val="10"/>
                <w:szCs w:val="10"/>
                <w:color w:val="auto"/>
              </w:rPr>
            </w:pPr>
          </w:p>
        </w:tc>
        <w:tc>
          <w:tcPr>
            <w:tcW w:w="600" w:type="dxa"/>
            <w:vAlign w:val="bottom"/>
            <w:shd w:val="clear" w:color="auto" w:fill="CCEEFF"/>
          </w:tcPr>
          <w:p>
            <w:pPr>
              <w:spacing w:after="0"/>
              <w:rPr>
                <w:sz w:val="10"/>
                <w:szCs w:val="10"/>
                <w:color w:val="auto"/>
              </w:rPr>
            </w:pPr>
          </w:p>
        </w:tc>
        <w:tc>
          <w:tcPr>
            <w:tcW w:w="3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9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360" w:type="dxa"/>
            <w:vAlign w:val="bottom"/>
            <w:shd w:val="clear" w:color="auto" w:fill="CCEEFF"/>
          </w:tcPr>
          <w:p>
            <w:pPr>
              <w:spacing w:after="0" w:line="115" w:lineRule="exact"/>
              <w:rPr>
                <w:sz w:val="20"/>
                <w:szCs w:val="20"/>
                <w:color w:val="auto"/>
              </w:rPr>
            </w:pPr>
            <w:r>
              <w:rPr>
                <w:rFonts w:ascii="Arial" w:cs="Arial" w:eastAsia="Arial" w:hAnsi="Arial"/>
                <w:sz w:val="11"/>
                <w:szCs w:val="11"/>
                <w:color w:val="auto"/>
                <w:w w:val="95"/>
              </w:rPr>
              <w:t>The Company anticipates this operating segment will be dilutive to consolidated earnings as it continues to build and add customers to its</w:t>
            </w:r>
          </w:p>
        </w:tc>
        <w:tc>
          <w:tcPr>
            <w:tcW w:w="0" w:type="dxa"/>
            <w:vAlign w:val="bottom"/>
          </w:tcPr>
          <w:p>
            <w:pPr>
              <w:spacing w:after="0"/>
              <w:rPr>
                <w:sz w:val="1"/>
                <w:szCs w:val="1"/>
                <w:color w:val="auto"/>
              </w:rPr>
            </w:pPr>
          </w:p>
        </w:tc>
      </w:tr>
      <w:tr>
        <w:trPr>
          <w:trHeight w:val="119"/>
        </w:trPr>
        <w:tc>
          <w:tcPr>
            <w:tcW w:w="3000" w:type="dxa"/>
            <w:vAlign w:val="bottom"/>
            <w:vMerge w:val="restart"/>
            <w:shd w:val="clear" w:color="auto" w:fill="CCEEFF"/>
          </w:tcPr>
          <w:p>
            <w:pPr>
              <w:ind w:left="160"/>
              <w:spacing w:after="0"/>
              <w:rPr>
                <w:sz w:val="20"/>
                <w:szCs w:val="20"/>
                <w:color w:val="auto"/>
              </w:rPr>
            </w:pPr>
            <w:r>
              <w:rPr>
                <w:rFonts w:ascii="Arial" w:cs="Arial" w:eastAsia="Arial" w:hAnsi="Arial"/>
                <w:sz w:val="11"/>
                <w:szCs w:val="11"/>
                <w:color w:val="auto"/>
              </w:rPr>
              <w:t>Net loss</w:t>
            </w:r>
          </w:p>
        </w:tc>
        <w:tc>
          <w:tcPr>
            <w:tcW w:w="600" w:type="dxa"/>
            <w:vAlign w:val="bottom"/>
            <w:vMerge w:val="restart"/>
            <w:shd w:val="clear" w:color="auto" w:fill="CCEEFF"/>
          </w:tcPr>
          <w:p>
            <w:pPr>
              <w:jc w:val="right"/>
              <w:ind w:right="463"/>
              <w:spacing w:after="0"/>
              <w:rPr>
                <w:sz w:val="20"/>
                <w:szCs w:val="20"/>
                <w:color w:val="auto"/>
              </w:rPr>
            </w:pPr>
            <w:r>
              <w:rPr>
                <w:rFonts w:ascii="Arial" w:cs="Arial" w:eastAsia="Arial" w:hAnsi="Arial"/>
                <w:sz w:val="11"/>
                <w:szCs w:val="11"/>
                <w:color w:val="auto"/>
                <w:w w:val="97"/>
              </w:rPr>
              <w:t>$</w:t>
            </w:r>
          </w:p>
        </w:tc>
        <w:tc>
          <w:tcPr>
            <w:tcW w:w="360" w:type="dxa"/>
            <w:vAlign w:val="bottom"/>
            <w:vMerge w:val="restart"/>
            <w:shd w:val="clear" w:color="auto" w:fill="CCEEFF"/>
          </w:tcPr>
          <w:p>
            <w:pPr>
              <w:jc w:val="right"/>
              <w:spacing w:after="0"/>
              <w:rPr>
                <w:sz w:val="20"/>
                <w:szCs w:val="20"/>
                <w:color w:val="auto"/>
              </w:rPr>
            </w:pPr>
            <w:r>
              <w:rPr>
                <w:rFonts w:ascii="Arial" w:cs="Arial" w:eastAsia="Arial" w:hAnsi="Arial"/>
                <w:sz w:val="11"/>
                <w:szCs w:val="11"/>
                <w:color w:val="auto"/>
                <w:w w:val="91"/>
              </w:rPr>
              <w:t>(4,810)</w:t>
            </w:r>
          </w:p>
        </w:tc>
        <w:tc>
          <w:tcPr>
            <w:tcW w:w="100" w:type="dxa"/>
            <w:vAlign w:val="bottom"/>
            <w:shd w:val="clear" w:color="auto" w:fill="CCEEFF"/>
          </w:tcPr>
          <w:p>
            <w:pPr>
              <w:spacing w:after="0"/>
              <w:rPr>
                <w:sz w:val="10"/>
                <w:szCs w:val="10"/>
                <w:color w:val="auto"/>
              </w:rPr>
            </w:pP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1"/>
                <w:szCs w:val="11"/>
                <w:color w:val="auto"/>
              </w:rPr>
              <w:t>(7,040)</w:t>
            </w:r>
          </w:p>
        </w:tc>
        <w:tc>
          <w:tcPr>
            <w:tcW w:w="100" w:type="dxa"/>
            <w:vAlign w:val="bottom"/>
            <w:shd w:val="clear" w:color="auto" w:fill="CCEEFF"/>
          </w:tcPr>
          <w:p>
            <w:pPr>
              <w:spacing w:after="0"/>
              <w:rPr>
                <w:sz w:val="10"/>
                <w:szCs w:val="10"/>
                <w:color w:val="auto"/>
              </w:rPr>
            </w:pPr>
          </w:p>
        </w:tc>
        <w:tc>
          <w:tcPr>
            <w:tcW w:w="6360" w:type="dxa"/>
            <w:vAlign w:val="bottom"/>
            <w:shd w:val="clear" w:color="auto" w:fill="CCEEFF"/>
          </w:tcPr>
          <w:p>
            <w:pPr>
              <w:spacing w:after="0" w:line="119" w:lineRule="exact"/>
              <w:rPr>
                <w:sz w:val="20"/>
                <w:szCs w:val="20"/>
                <w:color w:val="auto"/>
              </w:rPr>
            </w:pPr>
            <w:r>
              <w:rPr>
                <w:rFonts w:ascii="Arial" w:cs="Arial" w:eastAsia="Arial" w:hAnsi="Arial"/>
                <w:sz w:val="11"/>
                <w:szCs w:val="11"/>
                <w:color w:val="auto"/>
                <w:w w:val="96"/>
              </w:rPr>
              <w:t>network in Lincoln, Nebraska and other communities, due to large upfront capital expenditures and associated depreciation and upfront</w:t>
            </w:r>
          </w:p>
        </w:tc>
        <w:tc>
          <w:tcPr>
            <w:tcW w:w="0" w:type="dxa"/>
            <w:vAlign w:val="bottom"/>
          </w:tcPr>
          <w:p>
            <w:pPr>
              <w:spacing w:after="0"/>
              <w:rPr>
                <w:sz w:val="1"/>
                <w:szCs w:val="1"/>
                <w:color w:val="auto"/>
              </w:rPr>
            </w:pPr>
          </w:p>
        </w:tc>
      </w:tr>
      <w:tr>
        <w:trPr>
          <w:trHeight w:val="148"/>
        </w:trPr>
        <w:tc>
          <w:tcPr>
            <w:tcW w:w="3000" w:type="dxa"/>
            <w:vAlign w:val="bottom"/>
            <w:tcBorders>
              <w:bottom w:val="single" w:sz="8" w:color="CCEEFF"/>
            </w:tcBorders>
            <w:vMerge w:val="continue"/>
            <w:shd w:val="clear" w:color="auto" w:fill="CCEEFF"/>
          </w:tcPr>
          <w:p>
            <w:pPr>
              <w:spacing w:after="0"/>
              <w:rPr>
                <w:sz w:val="12"/>
                <w:szCs w:val="12"/>
                <w:color w:val="auto"/>
              </w:rPr>
            </w:pPr>
          </w:p>
        </w:tc>
        <w:tc>
          <w:tcPr>
            <w:tcW w:w="600" w:type="dxa"/>
            <w:vAlign w:val="bottom"/>
            <w:tcBorders>
              <w:bottom w:val="single" w:sz="8" w:color="auto"/>
            </w:tcBorders>
            <w:vMerge w:val="continue"/>
            <w:shd w:val="clear" w:color="auto" w:fill="CCEEFF"/>
          </w:tcPr>
          <w:p>
            <w:pPr>
              <w:spacing w:after="0"/>
              <w:rPr>
                <w:sz w:val="12"/>
                <w:szCs w:val="12"/>
                <w:color w:val="auto"/>
              </w:rPr>
            </w:pPr>
          </w:p>
        </w:tc>
        <w:tc>
          <w:tcPr>
            <w:tcW w:w="360" w:type="dxa"/>
            <w:vAlign w:val="bottom"/>
            <w:tcBorders>
              <w:bottom w:val="single" w:sz="8" w:color="auto"/>
            </w:tcBorders>
            <w:vMerge w:val="continue"/>
            <w:shd w:val="clear" w:color="auto" w:fill="CCEEFF"/>
          </w:tcPr>
          <w:p>
            <w:pPr>
              <w:spacing w:after="0"/>
              <w:rPr>
                <w:sz w:val="12"/>
                <w:szCs w:val="12"/>
                <w:color w:val="auto"/>
              </w:rPr>
            </w:pPr>
          </w:p>
        </w:tc>
        <w:tc>
          <w:tcPr>
            <w:tcW w:w="100" w:type="dxa"/>
            <w:vAlign w:val="bottom"/>
            <w:tcBorders>
              <w:bottom w:val="single" w:sz="8" w:color="CCEEFF"/>
            </w:tcBorders>
            <w:shd w:val="clear" w:color="auto" w:fill="CCEEFF"/>
          </w:tcPr>
          <w:p>
            <w:pPr>
              <w:spacing w:after="0"/>
              <w:rPr>
                <w:sz w:val="12"/>
                <w:szCs w:val="12"/>
                <w:color w:val="auto"/>
              </w:rPr>
            </w:pPr>
          </w:p>
        </w:tc>
        <w:tc>
          <w:tcPr>
            <w:tcW w:w="920" w:type="dxa"/>
            <w:vAlign w:val="bottom"/>
            <w:tcBorders>
              <w:bottom w:val="single" w:sz="8" w:color="auto"/>
            </w:tcBorders>
            <w:vMerge w:val="continue"/>
            <w:shd w:val="clear" w:color="auto" w:fill="CCEEFF"/>
          </w:tcPr>
          <w:p>
            <w:pPr>
              <w:spacing w:after="0"/>
              <w:rPr>
                <w:sz w:val="12"/>
                <w:szCs w:val="12"/>
                <w:color w:val="auto"/>
              </w:rPr>
            </w:pPr>
          </w:p>
        </w:tc>
        <w:tc>
          <w:tcPr>
            <w:tcW w:w="100" w:type="dxa"/>
            <w:vAlign w:val="bottom"/>
            <w:tcBorders>
              <w:bottom w:val="single" w:sz="8" w:color="CCEEFF"/>
            </w:tcBorders>
            <w:shd w:val="clear" w:color="auto" w:fill="CCEEFF"/>
          </w:tcPr>
          <w:p>
            <w:pPr>
              <w:spacing w:after="0"/>
              <w:rPr>
                <w:sz w:val="12"/>
                <w:szCs w:val="12"/>
                <w:color w:val="auto"/>
              </w:rPr>
            </w:pPr>
          </w:p>
        </w:tc>
        <w:tc>
          <w:tcPr>
            <w:tcW w:w="63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1"/>
                <w:szCs w:val="11"/>
                <w:color w:val="auto"/>
              </w:rPr>
              <w:t>customer acquisition costs.</w:t>
            </w:r>
          </w:p>
        </w:tc>
        <w:tc>
          <w:tcPr>
            <w:tcW w:w="0" w:type="dxa"/>
            <w:vAlign w:val="bottom"/>
          </w:tcPr>
          <w:p>
            <w:pPr>
              <w:spacing w:after="0"/>
              <w:rPr>
                <w:sz w:val="1"/>
                <w:szCs w:val="1"/>
                <w:color w:val="auto"/>
              </w:rPr>
            </w:pPr>
          </w:p>
        </w:tc>
      </w:tr>
      <w:tr>
        <w:trPr>
          <w:trHeight w:val="20"/>
        </w:trPr>
        <w:tc>
          <w:tcPr>
            <w:tcW w:w="300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CCEEFF"/>
              <w:bottom w:val="single" w:sz="8" w:color="auto"/>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36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7"/>
        </w:trPr>
        <w:tc>
          <w:tcPr>
            <w:tcW w:w="30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3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1"/>
        </w:trPr>
        <w:tc>
          <w:tcPr>
            <w:tcW w:w="3000" w:type="dxa"/>
            <w:vAlign w:val="bottom"/>
            <w:shd w:val="clear" w:color="auto" w:fill="CCEEFF"/>
          </w:tcPr>
          <w:p>
            <w:pPr>
              <w:spacing w:after="0"/>
              <w:rPr>
                <w:sz w:val="20"/>
                <w:szCs w:val="20"/>
                <w:color w:val="auto"/>
              </w:rPr>
            </w:pPr>
            <w:r>
              <w:rPr>
                <w:rFonts w:ascii="Arial" w:cs="Arial" w:eastAsia="Arial" w:hAnsi="Arial"/>
                <w:sz w:val="11"/>
                <w:szCs w:val="11"/>
                <w:color w:val="auto"/>
              </w:rPr>
              <w:t>Additional information:</w:t>
            </w:r>
          </w:p>
        </w:tc>
        <w:tc>
          <w:tcPr>
            <w:tcW w:w="60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9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3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7"/>
        </w:trPr>
        <w:tc>
          <w:tcPr>
            <w:tcW w:w="3000" w:type="dxa"/>
            <w:vAlign w:val="bottom"/>
          </w:tcPr>
          <w:p>
            <w:pPr>
              <w:ind w:left="100"/>
              <w:spacing w:after="0"/>
              <w:rPr>
                <w:sz w:val="20"/>
                <w:szCs w:val="20"/>
                <w:color w:val="auto"/>
              </w:rPr>
            </w:pPr>
            <w:r>
              <w:rPr>
                <w:rFonts w:ascii="Arial" w:cs="Arial" w:eastAsia="Arial" w:hAnsi="Arial"/>
                <w:sz w:val="11"/>
                <w:szCs w:val="11"/>
                <w:color w:val="auto"/>
              </w:rPr>
              <w:t>Net loss</w:t>
            </w:r>
          </w:p>
        </w:tc>
        <w:tc>
          <w:tcPr>
            <w:tcW w:w="600" w:type="dxa"/>
            <w:vAlign w:val="bottom"/>
          </w:tcPr>
          <w:p>
            <w:pPr>
              <w:jc w:val="right"/>
              <w:ind w:right="463"/>
              <w:spacing w:after="0"/>
              <w:rPr>
                <w:sz w:val="20"/>
                <w:szCs w:val="20"/>
                <w:color w:val="auto"/>
              </w:rPr>
            </w:pPr>
            <w:r>
              <w:rPr>
                <w:rFonts w:ascii="Arial" w:cs="Arial" w:eastAsia="Arial" w:hAnsi="Arial"/>
                <w:sz w:val="11"/>
                <w:szCs w:val="11"/>
                <w:color w:val="auto"/>
                <w:w w:val="97"/>
              </w:rPr>
              <w:t>$</w:t>
            </w:r>
          </w:p>
        </w:tc>
        <w:tc>
          <w:tcPr>
            <w:tcW w:w="360" w:type="dxa"/>
            <w:vAlign w:val="bottom"/>
          </w:tcPr>
          <w:p>
            <w:pPr>
              <w:jc w:val="right"/>
              <w:spacing w:after="0"/>
              <w:rPr>
                <w:sz w:val="20"/>
                <w:szCs w:val="20"/>
                <w:color w:val="auto"/>
              </w:rPr>
            </w:pPr>
            <w:r>
              <w:rPr>
                <w:rFonts w:ascii="Arial" w:cs="Arial" w:eastAsia="Arial" w:hAnsi="Arial"/>
                <w:sz w:val="11"/>
                <w:szCs w:val="11"/>
                <w:color w:val="auto"/>
                <w:w w:val="91"/>
              </w:rPr>
              <w:t>(4,810)</w:t>
            </w:r>
          </w:p>
        </w:tc>
        <w:tc>
          <w:tcPr>
            <w:tcW w:w="100" w:type="dxa"/>
            <w:vAlign w:val="bottom"/>
          </w:tcPr>
          <w:p>
            <w:pPr>
              <w:spacing w:after="0"/>
              <w:rPr>
                <w:sz w:val="13"/>
                <w:szCs w:val="13"/>
                <w:color w:val="auto"/>
              </w:rPr>
            </w:pPr>
          </w:p>
        </w:tc>
        <w:tc>
          <w:tcPr>
            <w:tcW w:w="920" w:type="dxa"/>
            <w:vAlign w:val="bottom"/>
          </w:tcPr>
          <w:p>
            <w:pPr>
              <w:jc w:val="right"/>
              <w:spacing w:after="0"/>
              <w:rPr>
                <w:sz w:val="20"/>
                <w:szCs w:val="20"/>
                <w:color w:val="auto"/>
              </w:rPr>
            </w:pPr>
            <w:r>
              <w:rPr>
                <w:rFonts w:ascii="Arial" w:cs="Arial" w:eastAsia="Arial" w:hAnsi="Arial"/>
                <w:sz w:val="11"/>
                <w:szCs w:val="11"/>
                <w:color w:val="auto"/>
              </w:rPr>
              <w:t>(7,040)</w:t>
            </w:r>
          </w:p>
        </w:tc>
        <w:tc>
          <w:tcPr>
            <w:tcW w:w="100" w:type="dxa"/>
            <w:vAlign w:val="bottom"/>
          </w:tcPr>
          <w:p>
            <w:pPr>
              <w:spacing w:after="0"/>
              <w:rPr>
                <w:sz w:val="13"/>
                <w:szCs w:val="13"/>
                <w:color w:val="auto"/>
              </w:rPr>
            </w:pPr>
          </w:p>
        </w:tc>
        <w:tc>
          <w:tcPr>
            <w:tcW w:w="63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3000" w:type="dxa"/>
            <w:vAlign w:val="bottom"/>
            <w:shd w:val="clear" w:color="auto" w:fill="CCEEFF"/>
          </w:tcPr>
          <w:p>
            <w:pPr>
              <w:ind w:left="100"/>
              <w:spacing w:after="0"/>
              <w:rPr>
                <w:sz w:val="20"/>
                <w:szCs w:val="20"/>
                <w:color w:val="auto"/>
              </w:rPr>
            </w:pPr>
            <w:r>
              <w:rPr>
                <w:rFonts w:ascii="Arial" w:cs="Arial" w:eastAsia="Arial" w:hAnsi="Arial"/>
                <w:sz w:val="11"/>
                <w:szCs w:val="11"/>
                <w:color w:val="auto"/>
              </w:rPr>
              <w:t>Net interest (income) expense</w:t>
            </w:r>
          </w:p>
        </w:tc>
        <w:tc>
          <w:tcPr>
            <w:tcW w:w="600" w:type="dxa"/>
            <w:vAlign w:val="bottom"/>
            <w:shd w:val="clear" w:color="auto" w:fill="CCEEFF"/>
          </w:tcPr>
          <w:p>
            <w:pPr>
              <w:spacing w:after="0"/>
              <w:rPr>
                <w:sz w:val="14"/>
                <w:szCs w:val="14"/>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(2)</w:t>
            </w:r>
          </w:p>
        </w:tc>
        <w:tc>
          <w:tcPr>
            <w:tcW w:w="100" w:type="dxa"/>
            <w:vAlign w:val="bottom"/>
            <w:shd w:val="clear" w:color="auto" w:fill="CCEEFF"/>
          </w:tcPr>
          <w:p>
            <w:pPr>
              <w:spacing w:after="0"/>
              <w:rPr>
                <w:sz w:val="14"/>
                <w:szCs w:val="14"/>
                <w:color w:val="auto"/>
              </w:rPr>
            </w:pPr>
          </w:p>
        </w:tc>
        <w:tc>
          <w:tcPr>
            <w:tcW w:w="920" w:type="dxa"/>
            <w:vAlign w:val="bottom"/>
            <w:shd w:val="clear" w:color="auto" w:fill="CCEEFF"/>
          </w:tcPr>
          <w:p>
            <w:pPr>
              <w:jc w:val="right"/>
              <w:ind w:right="3"/>
              <w:spacing w:after="0"/>
              <w:rPr>
                <w:sz w:val="20"/>
                <w:szCs w:val="20"/>
                <w:color w:val="auto"/>
              </w:rPr>
            </w:pPr>
            <w:r>
              <w:rPr>
                <w:rFonts w:ascii="Arial" w:cs="Arial" w:eastAsia="Arial" w:hAnsi="Arial"/>
                <w:sz w:val="11"/>
                <w:szCs w:val="11"/>
                <w:color w:val="auto"/>
              </w:rPr>
              <w:t>2,508</w:t>
            </w:r>
          </w:p>
        </w:tc>
        <w:tc>
          <w:tcPr>
            <w:tcW w:w="100" w:type="dxa"/>
            <w:vAlign w:val="bottom"/>
            <w:shd w:val="clear" w:color="auto" w:fill="CCEEFF"/>
          </w:tcPr>
          <w:p>
            <w:pPr>
              <w:spacing w:after="0"/>
              <w:rPr>
                <w:sz w:val="14"/>
                <w:szCs w:val="14"/>
                <w:color w:val="auto"/>
              </w:rPr>
            </w:pPr>
          </w:p>
        </w:tc>
        <w:tc>
          <w:tcPr>
            <w:tcW w:w="63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57"/>
        </w:trPr>
        <w:tc>
          <w:tcPr>
            <w:tcW w:w="3000" w:type="dxa"/>
            <w:vAlign w:val="bottom"/>
          </w:tcPr>
          <w:p>
            <w:pPr>
              <w:ind w:left="100"/>
              <w:spacing w:after="0"/>
              <w:rPr>
                <w:sz w:val="20"/>
                <w:szCs w:val="20"/>
                <w:color w:val="auto"/>
              </w:rPr>
            </w:pPr>
            <w:r>
              <w:rPr>
                <w:rFonts w:ascii="Arial" w:cs="Arial" w:eastAsia="Arial" w:hAnsi="Arial"/>
                <w:sz w:val="11"/>
                <w:szCs w:val="11"/>
                <w:color w:val="auto"/>
              </w:rPr>
              <w:t>Income tax benefit</w:t>
            </w:r>
          </w:p>
        </w:tc>
        <w:tc>
          <w:tcPr>
            <w:tcW w:w="600" w:type="dxa"/>
            <w:vAlign w:val="bottom"/>
          </w:tcPr>
          <w:p>
            <w:pPr>
              <w:spacing w:after="0"/>
              <w:rPr>
                <w:sz w:val="13"/>
                <w:szCs w:val="13"/>
                <w:color w:val="auto"/>
              </w:rPr>
            </w:pPr>
          </w:p>
        </w:tc>
        <w:tc>
          <w:tcPr>
            <w:tcW w:w="360" w:type="dxa"/>
            <w:vAlign w:val="bottom"/>
          </w:tcPr>
          <w:p>
            <w:pPr>
              <w:jc w:val="right"/>
              <w:spacing w:after="0"/>
              <w:rPr>
                <w:sz w:val="20"/>
                <w:szCs w:val="20"/>
                <w:color w:val="auto"/>
              </w:rPr>
            </w:pPr>
            <w:r>
              <w:rPr>
                <w:rFonts w:ascii="Arial" w:cs="Arial" w:eastAsia="Arial" w:hAnsi="Arial"/>
                <w:sz w:val="11"/>
                <w:szCs w:val="11"/>
                <w:color w:val="auto"/>
                <w:w w:val="91"/>
              </w:rPr>
              <w:t>(1,519)</w:t>
            </w:r>
          </w:p>
        </w:tc>
        <w:tc>
          <w:tcPr>
            <w:tcW w:w="100" w:type="dxa"/>
            <w:vAlign w:val="bottom"/>
          </w:tcPr>
          <w:p>
            <w:pPr>
              <w:spacing w:after="0"/>
              <w:rPr>
                <w:sz w:val="13"/>
                <w:szCs w:val="13"/>
                <w:color w:val="auto"/>
              </w:rPr>
            </w:pPr>
          </w:p>
        </w:tc>
        <w:tc>
          <w:tcPr>
            <w:tcW w:w="920" w:type="dxa"/>
            <w:vAlign w:val="bottom"/>
          </w:tcPr>
          <w:p>
            <w:pPr>
              <w:jc w:val="right"/>
              <w:spacing w:after="0"/>
              <w:rPr>
                <w:sz w:val="20"/>
                <w:szCs w:val="20"/>
                <w:color w:val="auto"/>
              </w:rPr>
            </w:pPr>
            <w:r>
              <w:rPr>
                <w:rFonts w:ascii="Arial" w:cs="Arial" w:eastAsia="Arial" w:hAnsi="Arial"/>
                <w:sz w:val="11"/>
                <w:szCs w:val="11"/>
                <w:color w:val="auto"/>
              </w:rPr>
              <w:t>(2,223)</w:t>
            </w:r>
          </w:p>
        </w:tc>
        <w:tc>
          <w:tcPr>
            <w:tcW w:w="100" w:type="dxa"/>
            <w:vAlign w:val="bottom"/>
          </w:tcPr>
          <w:p>
            <w:pPr>
              <w:spacing w:after="0"/>
              <w:rPr>
                <w:sz w:val="13"/>
                <w:szCs w:val="13"/>
                <w:color w:val="auto"/>
              </w:rPr>
            </w:pPr>
          </w:p>
        </w:tc>
        <w:tc>
          <w:tcPr>
            <w:tcW w:w="63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3000" w:type="dxa"/>
            <w:vAlign w:val="bottom"/>
            <w:shd w:val="clear" w:color="auto" w:fill="CCEEFF"/>
          </w:tcPr>
          <w:p>
            <w:pPr>
              <w:ind w:left="100"/>
              <w:spacing w:after="0"/>
              <w:rPr>
                <w:sz w:val="20"/>
                <w:szCs w:val="20"/>
                <w:color w:val="auto"/>
              </w:rPr>
            </w:pPr>
            <w:r>
              <w:rPr>
                <w:rFonts w:ascii="Arial" w:cs="Arial" w:eastAsia="Arial" w:hAnsi="Arial"/>
                <w:sz w:val="11"/>
                <w:szCs w:val="11"/>
                <w:color w:val="auto"/>
              </w:rPr>
              <w:t>Depreciation and amortization</w:t>
            </w:r>
          </w:p>
        </w:tc>
        <w:tc>
          <w:tcPr>
            <w:tcW w:w="600" w:type="dxa"/>
            <w:vAlign w:val="bottom"/>
            <w:tcBorders>
              <w:bottom w:val="single" w:sz="8" w:color="auto"/>
            </w:tcBorders>
            <w:shd w:val="clear" w:color="auto" w:fill="CCEEFF"/>
          </w:tcPr>
          <w:p>
            <w:pPr>
              <w:spacing w:after="0"/>
              <w:rPr>
                <w:sz w:val="14"/>
                <w:szCs w:val="14"/>
                <w:color w:val="auto"/>
              </w:rPr>
            </w:pPr>
          </w:p>
        </w:tc>
        <w:tc>
          <w:tcPr>
            <w:tcW w:w="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rPr>
              <w:t>7,362</w:t>
            </w:r>
          </w:p>
        </w:tc>
        <w:tc>
          <w:tcPr>
            <w:tcW w:w="100" w:type="dxa"/>
            <w:vAlign w:val="bottom"/>
            <w:shd w:val="clear" w:color="auto" w:fill="CCEEFF"/>
          </w:tcPr>
          <w:p>
            <w:pPr>
              <w:spacing w:after="0"/>
              <w:rPr>
                <w:sz w:val="14"/>
                <w:szCs w:val="14"/>
                <w:color w:val="auto"/>
              </w:rPr>
            </w:pPr>
          </w:p>
        </w:tc>
        <w:tc>
          <w:tcPr>
            <w:tcW w:w="920" w:type="dxa"/>
            <w:vAlign w:val="bottom"/>
            <w:tcBorders>
              <w:bottom w:val="single" w:sz="8" w:color="auto"/>
            </w:tcBorders>
            <w:shd w:val="clear" w:color="auto" w:fill="CCEEFF"/>
          </w:tcPr>
          <w:p>
            <w:pPr>
              <w:jc w:val="right"/>
              <w:ind w:right="3"/>
              <w:spacing w:after="0"/>
              <w:rPr>
                <w:sz w:val="20"/>
                <w:szCs w:val="20"/>
                <w:color w:val="auto"/>
              </w:rPr>
            </w:pPr>
            <w:r>
              <w:rPr>
                <w:rFonts w:ascii="Arial" w:cs="Arial" w:eastAsia="Arial" w:hAnsi="Arial"/>
                <w:sz w:val="11"/>
                <w:szCs w:val="11"/>
                <w:color w:val="auto"/>
              </w:rPr>
              <w:t>4,921</w:t>
            </w:r>
          </w:p>
        </w:tc>
        <w:tc>
          <w:tcPr>
            <w:tcW w:w="100" w:type="dxa"/>
            <w:vAlign w:val="bottom"/>
            <w:shd w:val="clear" w:color="auto" w:fill="CCEEFF"/>
          </w:tcPr>
          <w:p>
            <w:pPr>
              <w:spacing w:after="0"/>
              <w:rPr>
                <w:sz w:val="14"/>
                <w:szCs w:val="14"/>
                <w:color w:val="auto"/>
              </w:rPr>
            </w:pPr>
          </w:p>
        </w:tc>
        <w:tc>
          <w:tcPr>
            <w:tcW w:w="63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3000" w:type="dxa"/>
            <w:vAlign w:val="bottom"/>
          </w:tcPr>
          <w:p>
            <w:pPr>
              <w:ind w:left="100"/>
              <w:spacing w:after="0" w:line="88" w:lineRule="exact"/>
              <w:rPr>
                <w:sz w:val="20"/>
                <w:szCs w:val="20"/>
                <w:color w:val="auto"/>
              </w:rPr>
            </w:pPr>
            <w:r>
              <w:rPr>
                <w:rFonts w:ascii="Arial" w:cs="Arial" w:eastAsia="Arial" w:hAnsi="Arial"/>
                <w:sz w:val="10"/>
                <w:szCs w:val="10"/>
                <w:color w:val="auto"/>
              </w:rPr>
              <w:t>Earnings (loss) before interest, income taxes, depreciation, and</w:t>
            </w:r>
          </w:p>
        </w:tc>
        <w:tc>
          <w:tcPr>
            <w:tcW w:w="600" w:type="dxa"/>
            <w:vAlign w:val="bottom"/>
            <w:vMerge w:val="restart"/>
          </w:tcPr>
          <w:p>
            <w:pPr>
              <w:jc w:val="right"/>
              <w:ind w:right="463"/>
              <w:spacing w:after="0"/>
              <w:rPr>
                <w:sz w:val="20"/>
                <w:szCs w:val="20"/>
                <w:color w:val="auto"/>
              </w:rPr>
            </w:pPr>
            <w:r>
              <w:rPr>
                <w:rFonts w:ascii="Arial" w:cs="Arial" w:eastAsia="Arial" w:hAnsi="Arial"/>
                <w:sz w:val="11"/>
                <w:szCs w:val="11"/>
                <w:color w:val="auto"/>
                <w:w w:val="97"/>
              </w:rPr>
              <w:t>$</w:t>
            </w:r>
          </w:p>
        </w:tc>
        <w:tc>
          <w:tcPr>
            <w:tcW w:w="360" w:type="dxa"/>
            <w:vAlign w:val="bottom"/>
            <w:vMerge w:val="restart"/>
          </w:tcPr>
          <w:p>
            <w:pPr>
              <w:jc w:val="right"/>
              <w:spacing w:after="0"/>
              <w:rPr>
                <w:sz w:val="20"/>
                <w:szCs w:val="20"/>
                <w:color w:val="auto"/>
              </w:rPr>
            </w:pPr>
            <w:r>
              <w:rPr>
                <w:rFonts w:ascii="Arial" w:cs="Arial" w:eastAsia="Arial" w:hAnsi="Arial"/>
                <w:sz w:val="11"/>
                <w:szCs w:val="11"/>
                <w:color w:val="auto"/>
              </w:rPr>
              <w:t>1,031</w:t>
            </w:r>
          </w:p>
        </w:tc>
        <w:tc>
          <w:tcPr>
            <w:tcW w:w="100" w:type="dxa"/>
            <w:vAlign w:val="bottom"/>
          </w:tcPr>
          <w:p>
            <w:pPr>
              <w:spacing w:after="0"/>
              <w:rPr>
                <w:sz w:val="7"/>
                <w:szCs w:val="7"/>
                <w:color w:val="auto"/>
              </w:rPr>
            </w:pPr>
          </w:p>
        </w:tc>
        <w:tc>
          <w:tcPr>
            <w:tcW w:w="920" w:type="dxa"/>
            <w:vAlign w:val="bottom"/>
            <w:vMerge w:val="restart"/>
          </w:tcPr>
          <w:p>
            <w:pPr>
              <w:jc w:val="right"/>
              <w:spacing w:after="0"/>
              <w:rPr>
                <w:sz w:val="20"/>
                <w:szCs w:val="20"/>
                <w:color w:val="auto"/>
              </w:rPr>
            </w:pPr>
            <w:r>
              <w:rPr>
                <w:rFonts w:ascii="Arial" w:cs="Arial" w:eastAsia="Arial" w:hAnsi="Arial"/>
                <w:sz w:val="11"/>
                <w:szCs w:val="11"/>
                <w:color w:val="auto"/>
              </w:rPr>
              <w:t>(1,834)</w:t>
            </w:r>
          </w:p>
        </w:tc>
        <w:tc>
          <w:tcPr>
            <w:tcW w:w="100" w:type="dxa"/>
            <w:vAlign w:val="bottom"/>
          </w:tcPr>
          <w:p>
            <w:pPr>
              <w:spacing w:after="0"/>
              <w:rPr>
                <w:sz w:val="7"/>
                <w:szCs w:val="7"/>
                <w:color w:val="auto"/>
              </w:rPr>
            </w:pPr>
          </w:p>
        </w:tc>
        <w:tc>
          <w:tcPr>
            <w:tcW w:w="6360" w:type="dxa"/>
            <w:vAlign w:val="bottom"/>
            <w:vMerge w:val="restart"/>
          </w:tcPr>
          <w:p>
            <w:pPr>
              <w:spacing w:after="0"/>
              <w:rPr>
                <w:sz w:val="20"/>
                <w:szCs w:val="20"/>
                <w:color w:val="auto"/>
              </w:rPr>
            </w:pPr>
            <w:r>
              <w:rPr>
                <w:rFonts w:ascii="Arial" w:cs="Arial" w:eastAsia="Arial" w:hAnsi="Arial"/>
                <w:sz w:val="11"/>
                <w:szCs w:val="11"/>
                <w:color w:val="auto"/>
              </w:rPr>
              <w:t>For additional information regarding this non-GAAP measure, see the table below.</w:t>
            </w:r>
          </w:p>
        </w:tc>
        <w:tc>
          <w:tcPr>
            <w:tcW w:w="0" w:type="dxa"/>
            <w:vAlign w:val="bottom"/>
          </w:tcPr>
          <w:p>
            <w:pPr>
              <w:spacing w:after="0"/>
              <w:rPr>
                <w:sz w:val="1"/>
                <w:szCs w:val="1"/>
                <w:color w:val="auto"/>
              </w:rPr>
            </w:pPr>
          </w:p>
        </w:tc>
      </w:tr>
      <w:tr>
        <w:trPr>
          <w:trHeight w:val="134"/>
        </w:trPr>
        <w:tc>
          <w:tcPr>
            <w:tcW w:w="3000" w:type="dxa"/>
            <w:vAlign w:val="bottom"/>
          </w:tcPr>
          <w:p>
            <w:pPr>
              <w:jc w:val="center"/>
              <w:ind w:right="1443"/>
              <w:spacing w:after="0"/>
              <w:rPr>
                <w:sz w:val="20"/>
                <w:szCs w:val="20"/>
                <w:color w:val="auto"/>
              </w:rPr>
            </w:pPr>
            <w:r>
              <w:rPr>
                <w:rFonts w:ascii="Arial" w:cs="Arial" w:eastAsia="Arial" w:hAnsi="Arial"/>
                <w:sz w:val="11"/>
                <w:szCs w:val="11"/>
                <w:color w:val="auto"/>
                <w:w w:val="99"/>
              </w:rPr>
              <w:t>amortization (EBITDA)</w:t>
            </w:r>
          </w:p>
        </w:tc>
        <w:tc>
          <w:tcPr>
            <w:tcW w:w="600" w:type="dxa"/>
            <w:vAlign w:val="bottom"/>
            <w:tcBorders>
              <w:bottom w:val="single" w:sz="8" w:color="auto"/>
            </w:tcBorders>
            <w:vMerge w:val="continue"/>
          </w:tcPr>
          <w:p>
            <w:pPr>
              <w:spacing w:after="0"/>
              <w:rPr>
                <w:sz w:val="11"/>
                <w:szCs w:val="11"/>
                <w:color w:val="auto"/>
              </w:rPr>
            </w:pPr>
          </w:p>
        </w:tc>
        <w:tc>
          <w:tcPr>
            <w:tcW w:w="360" w:type="dxa"/>
            <w:vAlign w:val="bottom"/>
            <w:tcBorders>
              <w:bottom w:val="single" w:sz="8" w:color="auto"/>
            </w:tcBorders>
            <w:vMerge w:val="continue"/>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Borders>
              <w:bottom w:val="single" w:sz="8" w:color="auto"/>
            </w:tcBorders>
            <w:vMerge w:val="continue"/>
          </w:tcPr>
          <w:p>
            <w:pPr>
              <w:spacing w:after="0"/>
              <w:rPr>
                <w:sz w:val="11"/>
                <w:szCs w:val="11"/>
                <w:color w:val="auto"/>
              </w:rPr>
            </w:pPr>
          </w:p>
        </w:tc>
        <w:tc>
          <w:tcPr>
            <w:tcW w:w="100" w:type="dxa"/>
            <w:vAlign w:val="bottom"/>
          </w:tcPr>
          <w:p>
            <w:pPr>
              <w:spacing w:after="0"/>
              <w:rPr>
                <w:sz w:val="11"/>
                <w:szCs w:val="11"/>
                <w:color w:val="auto"/>
              </w:rPr>
            </w:pPr>
          </w:p>
        </w:tc>
        <w:tc>
          <w:tcPr>
            <w:tcW w:w="636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300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3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3" w:lineRule="exact"/>
        <w:rPr>
          <w:sz w:val="20"/>
          <w:szCs w:val="20"/>
          <w:color w:val="auto"/>
        </w:rPr>
      </w:pPr>
    </w:p>
    <w:p>
      <w:pPr>
        <w:ind w:left="580" w:hanging="315"/>
        <w:spacing w:after="0" w:line="284" w:lineRule="auto"/>
        <w:tabs>
          <w:tab w:leader="none" w:pos="441" w:val="left"/>
        </w:tabs>
        <w:numPr>
          <w:ilvl w:val="0"/>
          <w:numId w:val="26"/>
        </w:numPr>
        <w:rPr>
          <w:rFonts w:ascii="Arial" w:cs="Arial" w:eastAsia="Arial" w:hAnsi="Arial"/>
          <w:sz w:val="11"/>
          <w:szCs w:val="11"/>
          <w:color w:val="auto"/>
        </w:rPr>
      </w:pPr>
      <w:r>
        <w:rPr>
          <w:rFonts w:ascii="Arial" w:cs="Arial" w:eastAsia="Arial" w:hAnsi="Arial"/>
          <w:sz w:val="13"/>
          <w:szCs w:val="13"/>
          <w:color w:val="auto"/>
        </w:rPr>
        <w:t>Nelnet, Inc. (parent company) previously provided a line of credit to ALLO for network capital expenditures and related expenses. In 2016 and 2017, the outstanding amount owed by ALLO to Nelnet, Inc. and the related interest expense incurred by ALLO and the interest income recognized by Nelnet, Inc. under the line of credit was eliminated in the Company's consolidated financial statements. On January 1, 2018, Nelnet, Inc. contributed equity to ALLO with an associated guaranteed payment and ALLO used the proceeds from this capital contribution to pay off all of the outstanding balance on the line of credit, including all accrued and unpaid interest. For financial reporting purposes, the guaranteed payment recorded by ALLO was classified as debt and such debt and the guaranteed return paid to Nelnet, Inc. (reflected as interest expense for ALLO) was eliminated in the consolidated financial statements. On October 1, 2018, the guaranteed payment was replaced with a yield-based preferred return of future earnings on the contributed equity. For financial reporting purposes, the preferred interest recorded by ALLO is classified as equity and the preferred return on the preferred interest is not treated by ALLO as interest expense. Accordingly, subsequent to October 1, 2018, ALLO will not report interest expense in its income statement related to amounts contributed to ALLO from Nelnet, Inc.</w:t>
      </w:r>
    </w:p>
    <w:p>
      <w:pPr>
        <w:spacing w:after="0" w:line="200" w:lineRule="exact"/>
        <w:rPr>
          <w:sz w:val="20"/>
          <w:szCs w:val="20"/>
          <w:color w:val="auto"/>
        </w:rPr>
      </w:pPr>
    </w:p>
    <w:p>
      <w:pPr>
        <w:spacing w:after="0" w:line="335"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41</w:t>
      </w:r>
    </w:p>
    <w:p>
      <w:pPr>
        <w:sectPr>
          <w:pgSz w:w="11900" w:h="16838" w:orient="portrait"/>
          <w:cols w:equalWidth="0" w:num="1">
            <w:col w:w="11460"/>
          </w:cols>
          <w:pgMar w:left="220" w:top="739" w:right="219" w:bottom="1440" w:gutter="0" w:footer="0" w:header="0"/>
        </w:sectPr>
      </w:pPr>
    </w:p>
    <w:bookmarkStart w:id="42" w:name="page43"/>
    <w:bookmarkEnd w:id="42"/>
    <w:p>
      <w:pPr>
        <w:spacing w:after="0"/>
        <w:rPr>
          <w:sz w:val="20"/>
          <w:szCs w:val="20"/>
          <w:color w:val="auto"/>
        </w:rPr>
      </w:pPr>
      <w:r>
        <w:rPr>
          <w:rFonts w:ascii="Arial" w:cs="Arial" w:eastAsia="Arial" w:hAnsi="Arial"/>
          <w:sz w:val="14"/>
          <w:szCs w:val="14"/>
          <w:color w:val="auto"/>
        </w:rPr>
        <w:t>Certain financial and operating data for ALLO is summarized in the tables below.</w:t>
      </w:r>
    </w:p>
    <w:p>
      <w:pPr>
        <w:spacing w:after="0" w:line="184" w:lineRule="exact"/>
        <w:rPr>
          <w:sz w:val="20"/>
          <w:szCs w:val="20"/>
          <w:color w:val="auto"/>
        </w:rPr>
      </w:pPr>
    </w:p>
    <w:tbl>
      <w:tblPr>
        <w:tblLayout w:type="fixed"/>
        <w:tblInd w:w="780" w:type="dxa"/>
        <w:tblCellMar>
          <w:top w:w="0" w:type="dxa"/>
          <w:left w:w="0" w:type="dxa"/>
          <w:bottom w:w="0" w:type="dxa"/>
          <w:right w:w="0" w:type="dxa"/>
        </w:tblCellMar>
      </w:tblPr>
      <w:tr>
        <w:trPr>
          <w:trHeight w:val="167"/>
        </w:trPr>
        <w:tc>
          <w:tcPr>
            <w:tcW w:w="38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720" w:type="dxa"/>
            <w:vAlign w:val="bottom"/>
            <w:gridSpan w:val="9"/>
          </w:tcPr>
          <w:p>
            <w:pPr>
              <w:ind w:left="140"/>
              <w:spacing w:after="0"/>
              <w:rPr>
                <w:sz w:val="20"/>
                <w:szCs w:val="20"/>
                <w:color w:val="auto"/>
              </w:rPr>
            </w:pPr>
            <w:r>
              <w:rPr>
                <w:rFonts w:ascii="Arial" w:cs="Arial" w:eastAsia="Arial" w:hAnsi="Arial"/>
                <w:sz w:val="13"/>
                <w:szCs w:val="13"/>
                <w:b w:val="1"/>
                <w:bCs w:val="1"/>
                <w:color w:val="auto"/>
              </w:rPr>
              <w:t>Three months ended March 31,</w:t>
            </w:r>
          </w:p>
        </w:tc>
        <w:tc>
          <w:tcPr>
            <w:tcW w:w="7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7"/>
        </w:trPr>
        <w:tc>
          <w:tcPr>
            <w:tcW w:w="38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gridSpan w:val="3"/>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gridSpan w:val="3"/>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3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69"/>
        </w:trPr>
        <w:tc>
          <w:tcPr>
            <w:tcW w:w="38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60" w:type="dxa"/>
            <w:vAlign w:val="bottom"/>
            <w:gridSpan w:val="3"/>
          </w:tcPr>
          <w:p>
            <w:pPr>
              <w:jc w:val="right"/>
              <w:ind w:right="100"/>
              <w:spacing w:after="0"/>
              <w:rPr>
                <w:sz w:val="20"/>
                <w:szCs w:val="20"/>
                <w:color w:val="auto"/>
              </w:rPr>
            </w:pPr>
            <w:r>
              <w:rPr>
                <w:rFonts w:ascii="Arial" w:cs="Arial" w:eastAsia="Arial" w:hAnsi="Arial"/>
                <w:sz w:val="13"/>
                <w:szCs w:val="13"/>
                <w:b w:val="1"/>
                <w:bCs w:val="1"/>
                <w:color w:val="auto"/>
              </w:rPr>
              <w:t>2019</w:t>
            </w:r>
          </w:p>
        </w:tc>
        <w:tc>
          <w:tcPr>
            <w:tcW w:w="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80" w:type="dxa"/>
            <w:vAlign w:val="bottom"/>
            <w:gridSpan w:val="3"/>
          </w:tcPr>
          <w:p>
            <w:pPr>
              <w:jc w:val="right"/>
              <w:ind w:right="160"/>
              <w:spacing w:after="0"/>
              <w:rPr>
                <w:sz w:val="20"/>
                <w:szCs w:val="20"/>
                <w:color w:val="auto"/>
              </w:rPr>
            </w:pPr>
            <w:r>
              <w:rPr>
                <w:rFonts w:ascii="Arial" w:cs="Arial" w:eastAsia="Arial" w:hAnsi="Arial"/>
                <w:sz w:val="13"/>
                <w:szCs w:val="13"/>
                <w:b w:val="1"/>
                <w:bCs w:val="1"/>
                <w:color w:val="auto"/>
              </w:rPr>
              <w:t>2018</w:t>
            </w:r>
          </w:p>
        </w:tc>
        <w:tc>
          <w:tcPr>
            <w:tcW w:w="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7"/>
        </w:trPr>
        <w:tc>
          <w:tcPr>
            <w:tcW w:w="380" w:type="dxa"/>
            <w:vAlign w:val="bottom"/>
          </w:tcPr>
          <w:p>
            <w:pPr>
              <w:spacing w:after="0"/>
              <w:rPr>
                <w:sz w:val="2"/>
                <w:szCs w:val="2"/>
                <w:color w:val="auto"/>
              </w:rPr>
            </w:pPr>
          </w:p>
        </w:tc>
        <w:tc>
          <w:tcPr>
            <w:tcW w:w="1480" w:type="dxa"/>
            <w:vAlign w:val="bottom"/>
            <w:tcBorders>
              <w:bottom w:val="single" w:sz="8" w:color="CCEEFF"/>
            </w:tcBorders>
          </w:tcPr>
          <w:p>
            <w:pPr>
              <w:spacing w:after="0"/>
              <w:rPr>
                <w:sz w:val="2"/>
                <w:szCs w:val="2"/>
                <w:color w:val="auto"/>
              </w:rPr>
            </w:pPr>
          </w:p>
        </w:tc>
        <w:tc>
          <w:tcPr>
            <w:tcW w:w="126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3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76"/>
        </w:trPr>
        <w:tc>
          <w:tcPr>
            <w:tcW w:w="380" w:type="dxa"/>
            <w:vAlign w:val="bottom"/>
          </w:tcPr>
          <w:p>
            <w:pPr>
              <w:spacing w:after="0"/>
              <w:rPr>
                <w:sz w:val="15"/>
                <w:szCs w:val="15"/>
                <w:color w:val="auto"/>
              </w:rPr>
            </w:pPr>
          </w:p>
        </w:tc>
        <w:tc>
          <w:tcPr>
            <w:tcW w:w="14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Residential revenue</w:t>
            </w:r>
          </w:p>
        </w:tc>
        <w:tc>
          <w:tcPr>
            <w:tcW w:w="126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260" w:type="dxa"/>
            <w:vAlign w:val="bottom"/>
            <w:tcBorders>
              <w:bottom w:val="single" w:sz="8" w:color="CCEEFF"/>
            </w:tcBorders>
            <w:gridSpan w:val="2"/>
            <w:shd w:val="clear" w:color="auto" w:fill="CCEEFF"/>
          </w:tcPr>
          <w:p>
            <w:pPr>
              <w:jc w:val="right"/>
              <w:ind w:right="32"/>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shd w:val="clear" w:color="auto" w:fill="CCEEFF"/>
          </w:tcPr>
          <w:p>
            <w:pPr>
              <w:spacing w:after="0"/>
              <w:rPr>
                <w:sz w:val="15"/>
                <w:szCs w:val="15"/>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11,065</w:t>
            </w:r>
          </w:p>
        </w:tc>
        <w:tc>
          <w:tcPr>
            <w:tcW w:w="80" w:type="dxa"/>
            <w:vAlign w:val="bottom"/>
            <w:tcBorders>
              <w:bottom w:val="single" w:sz="8" w:color="CCEEFF"/>
            </w:tcBorders>
            <w:shd w:val="clear" w:color="auto" w:fill="CCEEFF"/>
          </w:tcPr>
          <w:p>
            <w:pPr>
              <w:spacing w:after="0"/>
              <w:rPr>
                <w:sz w:val="15"/>
                <w:szCs w:val="15"/>
                <w:color w:val="auto"/>
              </w:rPr>
            </w:pPr>
          </w:p>
        </w:tc>
        <w:tc>
          <w:tcPr>
            <w:tcW w:w="220" w:type="dxa"/>
            <w:vAlign w:val="bottom"/>
            <w:tcBorders>
              <w:bottom w:val="single" w:sz="8" w:color="CCEEFF"/>
            </w:tcBorders>
            <w:shd w:val="clear" w:color="auto" w:fill="CCEEFF"/>
          </w:tcPr>
          <w:p>
            <w:pPr>
              <w:spacing w:after="0"/>
              <w:rPr>
                <w:sz w:val="15"/>
                <w:szCs w:val="15"/>
                <w:color w:val="auto"/>
              </w:rPr>
            </w:pPr>
          </w:p>
        </w:tc>
        <w:tc>
          <w:tcPr>
            <w:tcW w:w="80" w:type="dxa"/>
            <w:vAlign w:val="bottom"/>
            <w:tcBorders>
              <w:bottom w:val="single" w:sz="8" w:color="CCEEFF"/>
            </w:tcBorders>
            <w:shd w:val="clear" w:color="auto" w:fill="CCEEFF"/>
          </w:tcPr>
          <w:p>
            <w:pPr>
              <w:spacing w:after="0"/>
              <w:rPr>
                <w:sz w:val="15"/>
                <w:szCs w:val="15"/>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76.1</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20" w:type="dxa"/>
            <w:vAlign w:val="bottom"/>
            <w:tcBorders>
              <w:bottom w:val="single" w:sz="8" w:color="CCEEFF"/>
            </w:tcBorders>
            <w:shd w:val="clear" w:color="auto" w:fill="CCEEFF"/>
          </w:tcPr>
          <w:p>
            <w:pPr>
              <w:spacing w:after="0"/>
              <w:rPr>
                <w:sz w:val="15"/>
                <w:szCs w:val="15"/>
                <w:color w:val="auto"/>
              </w:rPr>
            </w:pPr>
          </w:p>
        </w:tc>
        <w:tc>
          <w:tcPr>
            <w:tcW w:w="20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0"/>
                <w:szCs w:val="10"/>
                <w:color w:val="auto"/>
                <w:w w:val="71"/>
              </w:rPr>
              <w:t>$</w:t>
            </w:r>
          </w:p>
        </w:tc>
        <w:tc>
          <w:tcPr>
            <w:tcW w:w="80" w:type="dxa"/>
            <w:vAlign w:val="bottom"/>
            <w:tcBorders>
              <w:bottom w:val="single" w:sz="8" w:color="CCEEFF"/>
            </w:tcBorders>
            <w:shd w:val="clear" w:color="auto" w:fill="CCEEFF"/>
          </w:tcPr>
          <w:p>
            <w:pPr>
              <w:spacing w:after="0"/>
              <w:rPr>
                <w:sz w:val="15"/>
                <w:szCs w:val="15"/>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6,747</w:t>
            </w:r>
          </w:p>
        </w:tc>
        <w:tc>
          <w:tcPr>
            <w:tcW w:w="80" w:type="dxa"/>
            <w:vAlign w:val="bottom"/>
            <w:tcBorders>
              <w:bottom w:val="single" w:sz="8" w:color="CCEEFF"/>
            </w:tcBorders>
            <w:shd w:val="clear" w:color="auto" w:fill="CCEEFF"/>
          </w:tcPr>
          <w:p>
            <w:pPr>
              <w:spacing w:after="0"/>
              <w:rPr>
                <w:sz w:val="15"/>
                <w:szCs w:val="15"/>
                <w:color w:val="auto"/>
              </w:rPr>
            </w:pPr>
          </w:p>
        </w:tc>
        <w:tc>
          <w:tcPr>
            <w:tcW w:w="280" w:type="dxa"/>
            <w:vAlign w:val="bottom"/>
            <w:tcBorders>
              <w:bottom w:val="single" w:sz="8" w:color="CCEEFF"/>
            </w:tcBorders>
            <w:shd w:val="clear" w:color="auto" w:fill="CCEEFF"/>
          </w:tcPr>
          <w:p>
            <w:pPr>
              <w:spacing w:after="0"/>
              <w:rPr>
                <w:sz w:val="15"/>
                <w:szCs w:val="15"/>
                <w:color w:val="auto"/>
              </w:rPr>
            </w:pPr>
          </w:p>
        </w:tc>
        <w:tc>
          <w:tcPr>
            <w:tcW w:w="80" w:type="dxa"/>
            <w:vAlign w:val="bottom"/>
            <w:tcBorders>
              <w:bottom w:val="single" w:sz="8" w:color="CCEEFF"/>
            </w:tcBorders>
            <w:shd w:val="clear" w:color="auto" w:fill="CCEEFF"/>
          </w:tcPr>
          <w:p>
            <w:pPr>
              <w:spacing w:after="0"/>
              <w:rPr>
                <w:sz w:val="15"/>
                <w:szCs w:val="15"/>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73.4</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w w:val="86"/>
              </w:rPr>
              <w:t>%</w:t>
            </w:r>
          </w:p>
        </w:tc>
        <w:tc>
          <w:tcPr>
            <w:tcW w:w="3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380" w:type="dxa"/>
            <w:vAlign w:val="bottom"/>
          </w:tcPr>
          <w:p>
            <w:pPr>
              <w:spacing w:after="0"/>
              <w:rPr>
                <w:sz w:val="15"/>
                <w:szCs w:val="15"/>
                <w:color w:val="auto"/>
              </w:rPr>
            </w:pPr>
          </w:p>
        </w:tc>
        <w:tc>
          <w:tcPr>
            <w:tcW w:w="1480" w:type="dxa"/>
            <w:vAlign w:val="bottom"/>
          </w:tcPr>
          <w:p>
            <w:pPr>
              <w:spacing w:after="0"/>
              <w:rPr>
                <w:sz w:val="20"/>
                <w:szCs w:val="20"/>
                <w:color w:val="auto"/>
              </w:rPr>
            </w:pPr>
            <w:r>
              <w:rPr>
                <w:rFonts w:ascii="Arial" w:cs="Arial" w:eastAsia="Arial" w:hAnsi="Arial"/>
                <w:sz w:val="13"/>
                <w:szCs w:val="13"/>
                <w:color w:val="auto"/>
              </w:rPr>
              <w:t>Business revenue</w:t>
            </w:r>
          </w:p>
        </w:tc>
        <w:tc>
          <w:tcPr>
            <w:tcW w:w="12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3,414</w:t>
            </w: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23.5</w:t>
            </w: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3"/>
                <w:szCs w:val="13"/>
                <w:color w:val="auto"/>
              </w:rPr>
              <w:t>2,381</w:t>
            </w:r>
          </w:p>
        </w:tc>
        <w:tc>
          <w:tcPr>
            <w:tcW w:w="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tcPr>
          <w:p>
            <w:pPr>
              <w:jc w:val="right"/>
              <w:spacing w:after="0"/>
              <w:rPr>
                <w:sz w:val="20"/>
                <w:szCs w:val="20"/>
                <w:color w:val="auto"/>
              </w:rPr>
            </w:pPr>
            <w:r>
              <w:rPr>
                <w:rFonts w:ascii="Arial" w:cs="Arial" w:eastAsia="Arial" w:hAnsi="Arial"/>
                <w:sz w:val="13"/>
                <w:szCs w:val="13"/>
                <w:color w:val="auto"/>
              </w:rPr>
              <w:t>25.9</w:t>
            </w:r>
          </w:p>
        </w:tc>
        <w:tc>
          <w:tcPr>
            <w:tcW w:w="14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7"/>
        </w:trPr>
        <w:tc>
          <w:tcPr>
            <w:tcW w:w="38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 w:type="dxa"/>
            <w:vAlign w:val="bottom"/>
          </w:tcPr>
          <w:p>
            <w:pPr>
              <w:spacing w:after="0"/>
              <w:rPr>
                <w:sz w:val="2"/>
                <w:szCs w:val="2"/>
                <w:color w:val="auto"/>
              </w:rPr>
            </w:pPr>
          </w:p>
        </w:tc>
        <w:tc>
          <w:tcPr>
            <w:tcW w:w="8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920" w:type="dxa"/>
            <w:vAlign w:val="bottom"/>
          </w:tcPr>
          <w:p>
            <w:pPr>
              <w:spacing w:after="0"/>
              <w:rPr>
                <w:sz w:val="2"/>
                <w:szCs w:val="2"/>
                <w:color w:val="auto"/>
              </w:rPr>
            </w:pPr>
          </w:p>
        </w:tc>
        <w:tc>
          <w:tcPr>
            <w:tcW w:w="80" w:type="dxa"/>
            <w:vAlign w:val="bottom"/>
          </w:tcPr>
          <w:p>
            <w:pPr>
              <w:spacing w:after="0"/>
              <w:rPr>
                <w:sz w:val="2"/>
                <w:szCs w:val="2"/>
                <w:color w:val="auto"/>
              </w:rPr>
            </w:pPr>
          </w:p>
        </w:tc>
        <w:tc>
          <w:tcPr>
            <w:tcW w:w="280" w:type="dxa"/>
            <w:vAlign w:val="bottom"/>
          </w:tcPr>
          <w:p>
            <w:pPr>
              <w:spacing w:after="0"/>
              <w:rPr>
                <w:sz w:val="2"/>
                <w:szCs w:val="2"/>
                <w:color w:val="auto"/>
              </w:rPr>
            </w:pPr>
          </w:p>
        </w:tc>
        <w:tc>
          <w:tcPr>
            <w:tcW w:w="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40" w:type="dxa"/>
            <w:vAlign w:val="bottom"/>
          </w:tcPr>
          <w:p>
            <w:pPr>
              <w:spacing w:after="0"/>
              <w:rPr>
                <w:sz w:val="2"/>
                <w:szCs w:val="2"/>
                <w:color w:val="auto"/>
              </w:rPr>
            </w:pPr>
          </w:p>
        </w:tc>
        <w:tc>
          <w:tcPr>
            <w:tcW w:w="3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5"/>
        </w:trPr>
        <w:tc>
          <w:tcPr>
            <w:tcW w:w="380" w:type="dxa"/>
            <w:vAlign w:val="bottom"/>
          </w:tcPr>
          <w:p>
            <w:pPr>
              <w:spacing w:after="0"/>
              <w:rPr>
                <w:sz w:val="17"/>
                <w:szCs w:val="17"/>
                <w:color w:val="auto"/>
              </w:rPr>
            </w:pPr>
          </w:p>
        </w:tc>
        <w:tc>
          <w:tcPr>
            <w:tcW w:w="14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Other</w:t>
            </w:r>
          </w:p>
        </w:tc>
        <w:tc>
          <w:tcPr>
            <w:tcW w:w="126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112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64</w:t>
            </w:r>
          </w:p>
        </w:tc>
        <w:tc>
          <w:tcPr>
            <w:tcW w:w="80" w:type="dxa"/>
            <w:vAlign w:val="bottom"/>
            <w:tcBorders>
              <w:bottom w:val="single" w:sz="8" w:color="CCEEFF"/>
            </w:tcBorders>
            <w:shd w:val="clear" w:color="auto" w:fill="CCEEFF"/>
          </w:tcPr>
          <w:p>
            <w:pPr>
              <w:spacing w:after="0"/>
              <w:rPr>
                <w:sz w:val="17"/>
                <w:szCs w:val="17"/>
                <w:color w:val="auto"/>
              </w:rPr>
            </w:pPr>
          </w:p>
        </w:tc>
        <w:tc>
          <w:tcPr>
            <w:tcW w:w="22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CCEEFF"/>
            </w:tcBorders>
            <w:shd w:val="clear" w:color="auto" w:fill="CCEEFF"/>
          </w:tcPr>
          <w:p>
            <w:pPr>
              <w:spacing w:after="0"/>
              <w:rPr>
                <w:sz w:val="17"/>
                <w:szCs w:val="17"/>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0.4</w:t>
            </w:r>
          </w:p>
        </w:tc>
        <w:tc>
          <w:tcPr>
            <w:tcW w:w="16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CCEEFF"/>
            </w:tcBorders>
            <w:shd w:val="clear" w:color="auto" w:fill="CCEEFF"/>
          </w:tcPr>
          <w:p>
            <w:pPr>
              <w:spacing w:after="0"/>
              <w:rPr>
                <w:sz w:val="17"/>
                <w:szCs w:val="17"/>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61</w:t>
            </w:r>
          </w:p>
        </w:tc>
        <w:tc>
          <w:tcPr>
            <w:tcW w:w="80" w:type="dxa"/>
            <w:vAlign w:val="bottom"/>
            <w:tcBorders>
              <w:bottom w:val="single" w:sz="8" w:color="CCEEFF"/>
            </w:tcBorders>
            <w:shd w:val="clear" w:color="auto" w:fill="CCEEFF"/>
          </w:tcPr>
          <w:p>
            <w:pPr>
              <w:spacing w:after="0"/>
              <w:rPr>
                <w:sz w:val="17"/>
                <w:szCs w:val="17"/>
                <w:color w:val="auto"/>
              </w:rPr>
            </w:pPr>
          </w:p>
        </w:tc>
        <w:tc>
          <w:tcPr>
            <w:tcW w:w="28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CCEEFF"/>
            </w:tcBorders>
            <w:shd w:val="clear" w:color="auto" w:fill="CCEEFF"/>
          </w:tcPr>
          <w:p>
            <w:pPr>
              <w:spacing w:after="0"/>
              <w:rPr>
                <w:sz w:val="17"/>
                <w:szCs w:val="17"/>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0.7</w:t>
            </w:r>
          </w:p>
        </w:tc>
        <w:tc>
          <w:tcPr>
            <w:tcW w:w="140" w:type="dxa"/>
            <w:vAlign w:val="bottom"/>
            <w:tcBorders>
              <w:bottom w:val="single" w:sz="8" w:color="CCEEFF"/>
            </w:tcBorders>
            <w:shd w:val="clear" w:color="auto" w:fill="CCEEFF"/>
          </w:tcPr>
          <w:p>
            <w:pPr>
              <w:spacing w:after="0"/>
              <w:rPr>
                <w:sz w:val="17"/>
                <w:szCs w:val="17"/>
                <w:color w:val="auto"/>
              </w:rPr>
            </w:pPr>
          </w:p>
        </w:tc>
        <w:tc>
          <w:tcPr>
            <w:tcW w:w="3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3"/>
        </w:trPr>
        <w:tc>
          <w:tcPr>
            <w:tcW w:w="380" w:type="dxa"/>
            <w:vAlign w:val="bottom"/>
          </w:tcPr>
          <w:p>
            <w:pPr>
              <w:spacing w:after="0"/>
              <w:rPr>
                <w:sz w:val="16"/>
                <w:szCs w:val="16"/>
                <w:color w:val="auto"/>
              </w:rPr>
            </w:pPr>
          </w:p>
        </w:tc>
        <w:tc>
          <w:tcPr>
            <w:tcW w:w="1480" w:type="dxa"/>
            <w:vAlign w:val="bottom"/>
          </w:tcPr>
          <w:p>
            <w:pPr>
              <w:ind w:left="80"/>
              <w:spacing w:after="0"/>
              <w:rPr>
                <w:sz w:val="20"/>
                <w:szCs w:val="20"/>
                <w:color w:val="auto"/>
              </w:rPr>
            </w:pPr>
            <w:r>
              <w:rPr>
                <w:rFonts w:ascii="Arial" w:cs="Arial" w:eastAsia="Arial" w:hAnsi="Arial"/>
                <w:sz w:val="13"/>
                <w:szCs w:val="13"/>
                <w:color w:val="auto"/>
                <w:w w:val="93"/>
              </w:rPr>
              <w:t>Communications revenue</w:t>
            </w:r>
          </w:p>
        </w:tc>
        <w:tc>
          <w:tcPr>
            <w:tcW w:w="12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40" w:type="dxa"/>
            <w:vAlign w:val="bottom"/>
            <w:tcBorders>
              <w:top w:val="single" w:sz="8" w:color="auto"/>
              <w:bottom w:val="single" w:sz="8" w:color="auto"/>
            </w:tcBorders>
          </w:tcPr>
          <w:p>
            <w:pPr>
              <w:jc w:val="right"/>
              <w:ind w:right="32"/>
              <w:spacing w:after="0"/>
              <w:rPr>
                <w:sz w:val="20"/>
                <w:szCs w:val="20"/>
                <w:color w:val="auto"/>
              </w:rPr>
            </w:pPr>
            <w:r>
              <w:rPr>
                <w:rFonts w:ascii="Arial" w:cs="Arial" w:eastAsia="Arial" w:hAnsi="Arial"/>
                <w:sz w:val="10"/>
                <w:szCs w:val="10"/>
                <w:color w:val="auto"/>
                <w:w w:val="71"/>
              </w:rPr>
              <w:t>$</w:t>
            </w:r>
          </w:p>
        </w:tc>
        <w:tc>
          <w:tcPr>
            <w:tcW w:w="100" w:type="dxa"/>
            <w:vAlign w:val="bottom"/>
            <w:tcBorders>
              <w:top w:val="single" w:sz="8" w:color="auto"/>
              <w:bottom w:val="single" w:sz="8" w:color="auto"/>
            </w:tcBorders>
          </w:tcPr>
          <w:p>
            <w:pPr>
              <w:spacing w:after="0"/>
              <w:rPr>
                <w:sz w:val="16"/>
                <w:szCs w:val="16"/>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14,543</w:t>
            </w:r>
          </w:p>
        </w:tc>
        <w:tc>
          <w:tcPr>
            <w:tcW w:w="80" w:type="dxa"/>
            <w:vAlign w:val="bottom"/>
          </w:tcPr>
          <w:p>
            <w:pPr>
              <w:spacing w:after="0"/>
              <w:rPr>
                <w:sz w:val="16"/>
                <w:szCs w:val="16"/>
                <w:color w:val="auto"/>
              </w:rPr>
            </w:pPr>
          </w:p>
        </w:tc>
        <w:tc>
          <w:tcPr>
            <w:tcW w:w="220" w:type="dxa"/>
            <w:vAlign w:val="bottom"/>
            <w:tcBorders>
              <w:top w:val="single" w:sz="8" w:color="auto"/>
              <w:bottom w:val="single" w:sz="8" w:color="auto"/>
            </w:tcBorders>
          </w:tcPr>
          <w:p>
            <w:pPr>
              <w:spacing w:after="0"/>
              <w:rPr>
                <w:sz w:val="16"/>
                <w:szCs w:val="16"/>
                <w:color w:val="auto"/>
              </w:rPr>
            </w:pPr>
          </w:p>
        </w:tc>
        <w:tc>
          <w:tcPr>
            <w:tcW w:w="80" w:type="dxa"/>
            <w:vAlign w:val="bottom"/>
            <w:tcBorders>
              <w:top w:val="single" w:sz="8" w:color="auto"/>
              <w:bottom w:val="single" w:sz="8" w:color="auto"/>
            </w:tcBorders>
          </w:tcPr>
          <w:p>
            <w:pPr>
              <w:spacing w:after="0"/>
              <w:rPr>
                <w:sz w:val="16"/>
                <w:szCs w:val="16"/>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100.0</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6"/>
                <w:szCs w:val="16"/>
                <w:color w:val="auto"/>
              </w:rPr>
            </w:pPr>
          </w:p>
        </w:tc>
        <w:tc>
          <w:tcPr>
            <w:tcW w:w="200" w:type="dxa"/>
            <w:vAlign w:val="bottom"/>
            <w:tcBorders>
              <w:top w:val="single" w:sz="8" w:color="auto"/>
              <w:bottom w:val="single" w:sz="8" w:color="auto"/>
            </w:tcBorders>
          </w:tcPr>
          <w:p>
            <w:pPr>
              <w:jc w:val="right"/>
              <w:ind w:right="92"/>
              <w:spacing w:after="0"/>
              <w:rPr>
                <w:sz w:val="20"/>
                <w:szCs w:val="20"/>
                <w:color w:val="auto"/>
              </w:rPr>
            </w:pPr>
            <w:r>
              <w:rPr>
                <w:rFonts w:ascii="Arial" w:cs="Arial" w:eastAsia="Arial" w:hAnsi="Arial"/>
                <w:sz w:val="10"/>
                <w:szCs w:val="10"/>
                <w:color w:val="auto"/>
                <w:w w:val="71"/>
              </w:rPr>
              <w:t>$</w:t>
            </w:r>
          </w:p>
        </w:tc>
        <w:tc>
          <w:tcPr>
            <w:tcW w:w="80" w:type="dxa"/>
            <w:vAlign w:val="bottom"/>
            <w:tcBorders>
              <w:top w:val="single" w:sz="8" w:color="auto"/>
              <w:bottom w:val="single" w:sz="8" w:color="auto"/>
            </w:tcBorders>
          </w:tcPr>
          <w:p>
            <w:pPr>
              <w:spacing w:after="0"/>
              <w:rPr>
                <w:sz w:val="16"/>
                <w:szCs w:val="16"/>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9,189</w:t>
            </w:r>
          </w:p>
        </w:tc>
        <w:tc>
          <w:tcPr>
            <w:tcW w:w="80" w:type="dxa"/>
            <w:vAlign w:val="bottom"/>
          </w:tcPr>
          <w:p>
            <w:pPr>
              <w:spacing w:after="0"/>
              <w:rPr>
                <w:sz w:val="16"/>
                <w:szCs w:val="16"/>
                <w:color w:val="auto"/>
              </w:rPr>
            </w:pPr>
          </w:p>
        </w:tc>
        <w:tc>
          <w:tcPr>
            <w:tcW w:w="280" w:type="dxa"/>
            <w:vAlign w:val="bottom"/>
            <w:tcBorders>
              <w:top w:val="single" w:sz="8" w:color="auto"/>
              <w:bottom w:val="single" w:sz="8" w:color="auto"/>
            </w:tcBorders>
          </w:tcPr>
          <w:p>
            <w:pPr>
              <w:spacing w:after="0"/>
              <w:rPr>
                <w:sz w:val="16"/>
                <w:szCs w:val="16"/>
                <w:color w:val="auto"/>
              </w:rPr>
            </w:pPr>
          </w:p>
        </w:tc>
        <w:tc>
          <w:tcPr>
            <w:tcW w:w="80" w:type="dxa"/>
            <w:vAlign w:val="bottom"/>
            <w:tcBorders>
              <w:top w:val="single" w:sz="8" w:color="auto"/>
              <w:bottom w:val="single" w:sz="8" w:color="auto"/>
            </w:tcBorders>
          </w:tcPr>
          <w:p>
            <w:pPr>
              <w:spacing w:after="0"/>
              <w:rPr>
                <w:sz w:val="16"/>
                <w:szCs w:val="16"/>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100.0</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6"/>
              </w:rPr>
              <w:t>%</w:t>
            </w:r>
          </w:p>
        </w:tc>
        <w:tc>
          <w:tcPr>
            <w:tcW w:w="3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380" w:type="dxa"/>
            <w:vAlign w:val="bottom"/>
          </w:tcPr>
          <w:p>
            <w:pPr>
              <w:spacing w:after="0" w:line="20" w:lineRule="exact"/>
              <w:rPr>
                <w:sz w:val="1"/>
                <w:szCs w:val="1"/>
                <w:color w:val="auto"/>
              </w:rPr>
            </w:pPr>
          </w:p>
        </w:tc>
        <w:tc>
          <w:tcPr>
            <w:tcW w:w="1480" w:type="dxa"/>
            <w:vAlign w:val="bottom"/>
            <w:tcBorders>
              <w:bottom w:val="single" w:sz="8" w:color="CCEEFF"/>
            </w:tcBorders>
          </w:tcPr>
          <w:p>
            <w:pPr>
              <w:spacing w:after="0" w:line="20" w:lineRule="exact"/>
              <w:rPr>
                <w:sz w:val="1"/>
                <w:szCs w:val="1"/>
                <w:color w:val="auto"/>
              </w:rPr>
            </w:pPr>
          </w:p>
        </w:tc>
        <w:tc>
          <w:tcPr>
            <w:tcW w:w="126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12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9"/>
        </w:trPr>
        <w:tc>
          <w:tcPr>
            <w:tcW w:w="380" w:type="dxa"/>
            <w:vAlign w:val="bottom"/>
          </w:tcPr>
          <w:p>
            <w:pPr>
              <w:spacing w:after="0"/>
              <w:rPr>
                <w:sz w:val="14"/>
                <w:szCs w:val="14"/>
                <w:color w:val="auto"/>
              </w:rPr>
            </w:pPr>
          </w:p>
        </w:tc>
        <w:tc>
          <w:tcPr>
            <w:tcW w:w="1480" w:type="dxa"/>
            <w:vAlign w:val="bottom"/>
            <w:shd w:val="clear" w:color="auto" w:fill="CCEEFF"/>
          </w:tcPr>
          <w:p>
            <w:pPr>
              <w:spacing w:after="0"/>
              <w:rPr>
                <w:sz w:val="14"/>
                <w:szCs w:val="14"/>
                <w:color w:val="auto"/>
              </w:rPr>
            </w:pPr>
          </w:p>
        </w:tc>
        <w:tc>
          <w:tcPr>
            <w:tcW w:w="12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3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8"/>
        </w:trPr>
        <w:tc>
          <w:tcPr>
            <w:tcW w:w="380" w:type="dxa"/>
            <w:vAlign w:val="bottom"/>
          </w:tcPr>
          <w:p>
            <w:pPr>
              <w:spacing w:after="0"/>
              <w:rPr>
                <w:sz w:val="15"/>
                <w:szCs w:val="15"/>
                <w:color w:val="auto"/>
              </w:rPr>
            </w:pPr>
          </w:p>
        </w:tc>
        <w:tc>
          <w:tcPr>
            <w:tcW w:w="1480" w:type="dxa"/>
            <w:vAlign w:val="bottom"/>
          </w:tcPr>
          <w:p>
            <w:pPr>
              <w:spacing w:after="0"/>
              <w:rPr>
                <w:sz w:val="20"/>
                <w:szCs w:val="20"/>
                <w:color w:val="auto"/>
              </w:rPr>
            </w:pPr>
            <w:r>
              <w:rPr>
                <w:rFonts w:ascii="Arial" w:cs="Arial" w:eastAsia="Arial" w:hAnsi="Arial"/>
                <w:sz w:val="13"/>
                <w:szCs w:val="13"/>
                <w:color w:val="auto"/>
              </w:rPr>
              <w:t>Internet</w:t>
            </w:r>
          </w:p>
        </w:tc>
        <w:tc>
          <w:tcPr>
            <w:tcW w:w="12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60" w:type="dxa"/>
            <w:vAlign w:val="bottom"/>
            <w:gridSpan w:val="2"/>
          </w:tcPr>
          <w:p>
            <w:pPr>
              <w:jc w:val="right"/>
              <w:ind w:right="32"/>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5"/>
                <w:szCs w:val="15"/>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8,449</w:t>
            </w: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58.1</w:t>
            </w:r>
          </w:p>
        </w:tc>
        <w:tc>
          <w:tcPr>
            <w:tcW w:w="160" w:type="dxa"/>
            <w:vAlign w:val="bottom"/>
          </w:tcPr>
          <w:p>
            <w:pPr>
              <w:jc w:val="right"/>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5"/>
                <w:szCs w:val="15"/>
                <w:color w:val="auto"/>
              </w:rPr>
            </w:pPr>
          </w:p>
        </w:tc>
        <w:tc>
          <w:tcPr>
            <w:tcW w:w="200" w:type="dxa"/>
            <w:vAlign w:val="bottom"/>
          </w:tcPr>
          <w:p>
            <w:pPr>
              <w:jc w:val="right"/>
              <w:ind w:right="92"/>
              <w:spacing w:after="0"/>
              <w:rPr>
                <w:sz w:val="20"/>
                <w:szCs w:val="20"/>
                <w:color w:val="auto"/>
              </w:rPr>
            </w:pPr>
            <w:r>
              <w:rPr>
                <w:rFonts w:ascii="Arial" w:cs="Arial" w:eastAsia="Arial" w:hAnsi="Arial"/>
                <w:sz w:val="10"/>
                <w:szCs w:val="10"/>
                <w:color w:val="auto"/>
                <w:w w:val="71"/>
              </w:rPr>
              <w:t>$</w:t>
            </w:r>
          </w:p>
        </w:tc>
        <w:tc>
          <w:tcPr>
            <w:tcW w:w="8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3"/>
                <w:szCs w:val="13"/>
                <w:color w:val="auto"/>
              </w:rPr>
              <w:t>4,696</w:t>
            </w:r>
          </w:p>
        </w:tc>
        <w:tc>
          <w:tcPr>
            <w:tcW w:w="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tcPr>
          <w:p>
            <w:pPr>
              <w:jc w:val="right"/>
              <w:spacing w:after="0"/>
              <w:rPr>
                <w:sz w:val="20"/>
                <w:szCs w:val="20"/>
                <w:color w:val="auto"/>
              </w:rPr>
            </w:pPr>
            <w:r>
              <w:rPr>
                <w:rFonts w:ascii="Arial" w:cs="Arial" w:eastAsia="Arial" w:hAnsi="Arial"/>
                <w:sz w:val="13"/>
                <w:szCs w:val="13"/>
                <w:color w:val="auto"/>
              </w:rPr>
              <w:t>51.1</w:t>
            </w:r>
          </w:p>
        </w:tc>
        <w:tc>
          <w:tcPr>
            <w:tcW w:w="140" w:type="dxa"/>
            <w:vAlign w:val="bottom"/>
          </w:tcPr>
          <w:p>
            <w:pPr>
              <w:jc w:val="right"/>
              <w:spacing w:after="0"/>
              <w:rPr>
                <w:sz w:val="20"/>
                <w:szCs w:val="20"/>
                <w:color w:val="auto"/>
              </w:rPr>
            </w:pPr>
            <w:r>
              <w:rPr>
                <w:rFonts w:ascii="Arial" w:cs="Arial" w:eastAsia="Arial" w:hAnsi="Arial"/>
                <w:sz w:val="13"/>
                <w:szCs w:val="13"/>
                <w:color w:val="auto"/>
                <w:w w:val="86"/>
              </w:rPr>
              <w:t>%</w:t>
            </w:r>
          </w:p>
        </w:tc>
        <w:tc>
          <w:tcPr>
            <w:tcW w:w="3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7"/>
        </w:trPr>
        <w:tc>
          <w:tcPr>
            <w:tcW w:w="38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 w:type="dxa"/>
            <w:vAlign w:val="bottom"/>
          </w:tcPr>
          <w:p>
            <w:pPr>
              <w:spacing w:after="0"/>
              <w:rPr>
                <w:sz w:val="2"/>
                <w:szCs w:val="2"/>
                <w:color w:val="auto"/>
              </w:rPr>
            </w:pPr>
          </w:p>
        </w:tc>
        <w:tc>
          <w:tcPr>
            <w:tcW w:w="8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920" w:type="dxa"/>
            <w:vAlign w:val="bottom"/>
          </w:tcPr>
          <w:p>
            <w:pPr>
              <w:spacing w:after="0"/>
              <w:rPr>
                <w:sz w:val="2"/>
                <w:szCs w:val="2"/>
                <w:color w:val="auto"/>
              </w:rPr>
            </w:pPr>
          </w:p>
        </w:tc>
        <w:tc>
          <w:tcPr>
            <w:tcW w:w="80" w:type="dxa"/>
            <w:vAlign w:val="bottom"/>
          </w:tcPr>
          <w:p>
            <w:pPr>
              <w:spacing w:after="0"/>
              <w:rPr>
                <w:sz w:val="2"/>
                <w:szCs w:val="2"/>
                <w:color w:val="auto"/>
              </w:rPr>
            </w:pPr>
          </w:p>
        </w:tc>
        <w:tc>
          <w:tcPr>
            <w:tcW w:w="280" w:type="dxa"/>
            <w:vAlign w:val="bottom"/>
          </w:tcPr>
          <w:p>
            <w:pPr>
              <w:spacing w:after="0"/>
              <w:rPr>
                <w:sz w:val="2"/>
                <w:szCs w:val="2"/>
                <w:color w:val="auto"/>
              </w:rPr>
            </w:pPr>
          </w:p>
        </w:tc>
        <w:tc>
          <w:tcPr>
            <w:tcW w:w="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40" w:type="dxa"/>
            <w:vAlign w:val="bottom"/>
          </w:tcPr>
          <w:p>
            <w:pPr>
              <w:spacing w:after="0"/>
              <w:rPr>
                <w:sz w:val="2"/>
                <w:szCs w:val="2"/>
                <w:color w:val="auto"/>
              </w:rPr>
            </w:pPr>
          </w:p>
        </w:tc>
        <w:tc>
          <w:tcPr>
            <w:tcW w:w="3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5"/>
        </w:trPr>
        <w:tc>
          <w:tcPr>
            <w:tcW w:w="380" w:type="dxa"/>
            <w:vAlign w:val="bottom"/>
          </w:tcPr>
          <w:p>
            <w:pPr>
              <w:spacing w:after="0"/>
              <w:rPr>
                <w:sz w:val="16"/>
                <w:szCs w:val="16"/>
                <w:color w:val="auto"/>
              </w:rPr>
            </w:pPr>
          </w:p>
        </w:tc>
        <w:tc>
          <w:tcPr>
            <w:tcW w:w="14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Television</w:t>
            </w:r>
          </w:p>
        </w:tc>
        <w:tc>
          <w:tcPr>
            <w:tcW w:w="126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1120" w:type="dxa"/>
            <w:vAlign w:val="bottom"/>
            <w:tcBorders>
              <w:bottom w:val="single" w:sz="8" w:color="CCEEFF"/>
            </w:tcBorders>
            <w:shd w:val="clear" w:color="auto" w:fill="CCEEFF"/>
          </w:tcPr>
          <w:p>
            <w:pPr>
              <w:spacing w:after="0"/>
              <w:rPr>
                <w:sz w:val="16"/>
                <w:szCs w:val="16"/>
                <w:color w:val="auto"/>
              </w:rPr>
            </w:pPr>
          </w:p>
        </w:tc>
        <w:tc>
          <w:tcPr>
            <w:tcW w:w="14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3,898</w:t>
            </w:r>
          </w:p>
        </w:tc>
        <w:tc>
          <w:tcPr>
            <w:tcW w:w="80" w:type="dxa"/>
            <w:vAlign w:val="bottom"/>
            <w:tcBorders>
              <w:bottom w:val="single" w:sz="8" w:color="CCEEFF"/>
            </w:tcBorders>
            <w:shd w:val="clear" w:color="auto" w:fill="CCEEFF"/>
          </w:tcPr>
          <w:p>
            <w:pPr>
              <w:spacing w:after="0"/>
              <w:rPr>
                <w:sz w:val="16"/>
                <w:szCs w:val="16"/>
                <w:color w:val="auto"/>
              </w:rPr>
            </w:pPr>
          </w:p>
        </w:tc>
        <w:tc>
          <w:tcPr>
            <w:tcW w:w="220" w:type="dxa"/>
            <w:vAlign w:val="bottom"/>
            <w:tcBorders>
              <w:bottom w:val="single" w:sz="8" w:color="CCEEFF"/>
            </w:tcBorders>
            <w:shd w:val="clear" w:color="auto" w:fill="CCEEFF"/>
          </w:tcPr>
          <w:p>
            <w:pPr>
              <w:spacing w:after="0"/>
              <w:rPr>
                <w:sz w:val="16"/>
                <w:szCs w:val="16"/>
                <w:color w:val="auto"/>
              </w:rPr>
            </w:pPr>
          </w:p>
        </w:tc>
        <w:tc>
          <w:tcPr>
            <w:tcW w:w="80" w:type="dxa"/>
            <w:vAlign w:val="bottom"/>
            <w:tcBorders>
              <w:bottom w:val="single" w:sz="8" w:color="CCEEFF"/>
            </w:tcBorders>
            <w:shd w:val="clear" w:color="auto" w:fill="CCEEFF"/>
          </w:tcPr>
          <w:p>
            <w:pPr>
              <w:spacing w:after="0"/>
              <w:rPr>
                <w:sz w:val="16"/>
                <w:szCs w:val="16"/>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26.8</w:t>
            </w:r>
          </w:p>
        </w:tc>
        <w:tc>
          <w:tcPr>
            <w:tcW w:w="160" w:type="dxa"/>
            <w:vAlign w:val="bottom"/>
            <w:tcBorders>
              <w:bottom w:val="single" w:sz="8" w:color="CCEEFF"/>
            </w:tcBorders>
            <w:shd w:val="clear" w:color="auto" w:fill="CCEEFF"/>
          </w:tcPr>
          <w:p>
            <w:pPr>
              <w:spacing w:after="0"/>
              <w:rPr>
                <w:sz w:val="16"/>
                <w:szCs w:val="16"/>
                <w:color w:val="auto"/>
              </w:rPr>
            </w:pPr>
          </w:p>
        </w:tc>
        <w:tc>
          <w:tcPr>
            <w:tcW w:w="120" w:type="dxa"/>
            <w:vAlign w:val="bottom"/>
            <w:tcBorders>
              <w:bottom w:val="single" w:sz="8" w:color="CCEEFF"/>
            </w:tcBorders>
            <w:shd w:val="clear" w:color="auto" w:fill="CCEEFF"/>
          </w:tcPr>
          <w:p>
            <w:pPr>
              <w:spacing w:after="0"/>
              <w:rPr>
                <w:sz w:val="16"/>
                <w:szCs w:val="16"/>
                <w:color w:val="auto"/>
              </w:rPr>
            </w:pPr>
          </w:p>
        </w:tc>
        <w:tc>
          <w:tcPr>
            <w:tcW w:w="200" w:type="dxa"/>
            <w:vAlign w:val="bottom"/>
            <w:tcBorders>
              <w:bottom w:val="single" w:sz="8" w:color="CCEEFF"/>
            </w:tcBorders>
            <w:shd w:val="clear" w:color="auto" w:fill="CCEEFF"/>
          </w:tcPr>
          <w:p>
            <w:pPr>
              <w:spacing w:after="0"/>
              <w:rPr>
                <w:sz w:val="16"/>
                <w:szCs w:val="16"/>
                <w:color w:val="auto"/>
              </w:rPr>
            </w:pPr>
          </w:p>
        </w:tc>
        <w:tc>
          <w:tcPr>
            <w:tcW w:w="80" w:type="dxa"/>
            <w:vAlign w:val="bottom"/>
            <w:tcBorders>
              <w:bottom w:val="single" w:sz="8" w:color="CCEEFF"/>
            </w:tcBorders>
            <w:shd w:val="clear" w:color="auto" w:fill="CCEEFF"/>
          </w:tcPr>
          <w:p>
            <w:pPr>
              <w:spacing w:after="0"/>
              <w:rPr>
                <w:sz w:val="16"/>
                <w:szCs w:val="16"/>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2,784</w:t>
            </w:r>
          </w:p>
        </w:tc>
        <w:tc>
          <w:tcPr>
            <w:tcW w:w="80" w:type="dxa"/>
            <w:vAlign w:val="bottom"/>
            <w:tcBorders>
              <w:bottom w:val="single" w:sz="8" w:color="CCEEFF"/>
            </w:tcBorders>
            <w:shd w:val="clear" w:color="auto" w:fill="CCEEFF"/>
          </w:tcPr>
          <w:p>
            <w:pPr>
              <w:spacing w:after="0"/>
              <w:rPr>
                <w:sz w:val="16"/>
                <w:szCs w:val="16"/>
                <w:color w:val="auto"/>
              </w:rPr>
            </w:pPr>
          </w:p>
        </w:tc>
        <w:tc>
          <w:tcPr>
            <w:tcW w:w="280" w:type="dxa"/>
            <w:vAlign w:val="bottom"/>
            <w:tcBorders>
              <w:bottom w:val="single" w:sz="8" w:color="CCEEFF"/>
            </w:tcBorders>
            <w:shd w:val="clear" w:color="auto" w:fill="CCEEFF"/>
          </w:tcPr>
          <w:p>
            <w:pPr>
              <w:spacing w:after="0"/>
              <w:rPr>
                <w:sz w:val="16"/>
                <w:szCs w:val="16"/>
                <w:color w:val="auto"/>
              </w:rPr>
            </w:pPr>
          </w:p>
        </w:tc>
        <w:tc>
          <w:tcPr>
            <w:tcW w:w="80" w:type="dxa"/>
            <w:vAlign w:val="bottom"/>
            <w:tcBorders>
              <w:bottom w:val="single" w:sz="8" w:color="CCEEFF"/>
            </w:tcBorders>
            <w:shd w:val="clear" w:color="auto" w:fill="CCEEFF"/>
          </w:tcPr>
          <w:p>
            <w:pPr>
              <w:spacing w:after="0"/>
              <w:rPr>
                <w:sz w:val="16"/>
                <w:szCs w:val="16"/>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30.3</w:t>
            </w:r>
          </w:p>
        </w:tc>
        <w:tc>
          <w:tcPr>
            <w:tcW w:w="140" w:type="dxa"/>
            <w:vAlign w:val="bottom"/>
            <w:tcBorders>
              <w:bottom w:val="single" w:sz="8" w:color="CCEEFF"/>
            </w:tcBorders>
            <w:shd w:val="clear" w:color="auto" w:fill="CCEEFF"/>
          </w:tcPr>
          <w:p>
            <w:pPr>
              <w:spacing w:after="0"/>
              <w:rPr>
                <w:sz w:val="16"/>
                <w:szCs w:val="16"/>
                <w:color w:val="auto"/>
              </w:rPr>
            </w:pPr>
          </w:p>
        </w:tc>
        <w:tc>
          <w:tcPr>
            <w:tcW w:w="3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78"/>
        </w:trPr>
        <w:tc>
          <w:tcPr>
            <w:tcW w:w="380" w:type="dxa"/>
            <w:vAlign w:val="bottom"/>
          </w:tcPr>
          <w:p>
            <w:pPr>
              <w:spacing w:after="0"/>
              <w:rPr>
                <w:sz w:val="15"/>
                <w:szCs w:val="15"/>
                <w:color w:val="auto"/>
              </w:rPr>
            </w:pPr>
          </w:p>
        </w:tc>
        <w:tc>
          <w:tcPr>
            <w:tcW w:w="1480" w:type="dxa"/>
            <w:vAlign w:val="bottom"/>
          </w:tcPr>
          <w:p>
            <w:pPr>
              <w:spacing w:after="0"/>
              <w:rPr>
                <w:sz w:val="20"/>
                <w:szCs w:val="20"/>
                <w:color w:val="auto"/>
              </w:rPr>
            </w:pPr>
            <w:r>
              <w:rPr>
                <w:rFonts w:ascii="Arial" w:cs="Arial" w:eastAsia="Arial" w:hAnsi="Arial"/>
                <w:sz w:val="13"/>
                <w:szCs w:val="13"/>
                <w:color w:val="auto"/>
              </w:rPr>
              <w:t>Telephone</w:t>
            </w:r>
          </w:p>
        </w:tc>
        <w:tc>
          <w:tcPr>
            <w:tcW w:w="12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2,167</w:t>
            </w: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14.9</w:t>
            </w: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3"/>
                <w:szCs w:val="13"/>
                <w:color w:val="auto"/>
              </w:rPr>
              <w:t>1,691</w:t>
            </w:r>
          </w:p>
        </w:tc>
        <w:tc>
          <w:tcPr>
            <w:tcW w:w="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tcPr>
          <w:p>
            <w:pPr>
              <w:jc w:val="right"/>
              <w:spacing w:after="0"/>
              <w:rPr>
                <w:sz w:val="20"/>
                <w:szCs w:val="20"/>
                <w:color w:val="auto"/>
              </w:rPr>
            </w:pPr>
            <w:r>
              <w:rPr>
                <w:rFonts w:ascii="Arial" w:cs="Arial" w:eastAsia="Arial" w:hAnsi="Arial"/>
                <w:sz w:val="13"/>
                <w:szCs w:val="13"/>
                <w:color w:val="auto"/>
              </w:rPr>
              <w:t>18.4</w:t>
            </w:r>
          </w:p>
        </w:tc>
        <w:tc>
          <w:tcPr>
            <w:tcW w:w="14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7"/>
        </w:trPr>
        <w:tc>
          <w:tcPr>
            <w:tcW w:w="38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 w:type="dxa"/>
            <w:vAlign w:val="bottom"/>
          </w:tcPr>
          <w:p>
            <w:pPr>
              <w:spacing w:after="0"/>
              <w:rPr>
                <w:sz w:val="2"/>
                <w:szCs w:val="2"/>
                <w:color w:val="auto"/>
              </w:rPr>
            </w:pPr>
          </w:p>
        </w:tc>
        <w:tc>
          <w:tcPr>
            <w:tcW w:w="8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920" w:type="dxa"/>
            <w:vAlign w:val="bottom"/>
          </w:tcPr>
          <w:p>
            <w:pPr>
              <w:spacing w:after="0"/>
              <w:rPr>
                <w:sz w:val="2"/>
                <w:szCs w:val="2"/>
                <w:color w:val="auto"/>
              </w:rPr>
            </w:pPr>
          </w:p>
        </w:tc>
        <w:tc>
          <w:tcPr>
            <w:tcW w:w="80" w:type="dxa"/>
            <w:vAlign w:val="bottom"/>
          </w:tcPr>
          <w:p>
            <w:pPr>
              <w:spacing w:after="0"/>
              <w:rPr>
                <w:sz w:val="2"/>
                <w:szCs w:val="2"/>
                <w:color w:val="auto"/>
              </w:rPr>
            </w:pPr>
          </w:p>
        </w:tc>
        <w:tc>
          <w:tcPr>
            <w:tcW w:w="280" w:type="dxa"/>
            <w:vAlign w:val="bottom"/>
          </w:tcPr>
          <w:p>
            <w:pPr>
              <w:spacing w:after="0"/>
              <w:rPr>
                <w:sz w:val="2"/>
                <w:szCs w:val="2"/>
                <w:color w:val="auto"/>
              </w:rPr>
            </w:pPr>
          </w:p>
        </w:tc>
        <w:tc>
          <w:tcPr>
            <w:tcW w:w="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40" w:type="dxa"/>
            <w:vAlign w:val="bottom"/>
          </w:tcPr>
          <w:p>
            <w:pPr>
              <w:spacing w:after="0"/>
              <w:rPr>
                <w:sz w:val="2"/>
                <w:szCs w:val="2"/>
                <w:color w:val="auto"/>
              </w:rPr>
            </w:pPr>
          </w:p>
        </w:tc>
        <w:tc>
          <w:tcPr>
            <w:tcW w:w="3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5"/>
        </w:trPr>
        <w:tc>
          <w:tcPr>
            <w:tcW w:w="380" w:type="dxa"/>
            <w:vAlign w:val="bottom"/>
          </w:tcPr>
          <w:p>
            <w:pPr>
              <w:spacing w:after="0"/>
              <w:rPr>
                <w:sz w:val="17"/>
                <w:szCs w:val="17"/>
                <w:color w:val="auto"/>
              </w:rPr>
            </w:pPr>
          </w:p>
        </w:tc>
        <w:tc>
          <w:tcPr>
            <w:tcW w:w="14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Other</w:t>
            </w:r>
          </w:p>
        </w:tc>
        <w:tc>
          <w:tcPr>
            <w:tcW w:w="126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112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29</w:t>
            </w:r>
          </w:p>
        </w:tc>
        <w:tc>
          <w:tcPr>
            <w:tcW w:w="80" w:type="dxa"/>
            <w:vAlign w:val="bottom"/>
            <w:tcBorders>
              <w:bottom w:val="single" w:sz="8" w:color="CCEEFF"/>
            </w:tcBorders>
            <w:shd w:val="clear" w:color="auto" w:fill="CCEEFF"/>
          </w:tcPr>
          <w:p>
            <w:pPr>
              <w:spacing w:after="0"/>
              <w:rPr>
                <w:sz w:val="17"/>
                <w:szCs w:val="17"/>
                <w:color w:val="auto"/>
              </w:rPr>
            </w:pPr>
          </w:p>
        </w:tc>
        <w:tc>
          <w:tcPr>
            <w:tcW w:w="22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CCEEFF"/>
            </w:tcBorders>
            <w:shd w:val="clear" w:color="auto" w:fill="CCEEFF"/>
          </w:tcPr>
          <w:p>
            <w:pPr>
              <w:spacing w:after="0"/>
              <w:rPr>
                <w:sz w:val="17"/>
                <w:szCs w:val="17"/>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0.2</w:t>
            </w:r>
          </w:p>
        </w:tc>
        <w:tc>
          <w:tcPr>
            <w:tcW w:w="16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CCEEFF"/>
            </w:tcBorders>
            <w:shd w:val="clear" w:color="auto" w:fill="CCEEFF"/>
          </w:tcPr>
          <w:p>
            <w:pPr>
              <w:spacing w:after="0"/>
              <w:rPr>
                <w:sz w:val="17"/>
                <w:szCs w:val="17"/>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18</w:t>
            </w:r>
          </w:p>
        </w:tc>
        <w:tc>
          <w:tcPr>
            <w:tcW w:w="80" w:type="dxa"/>
            <w:vAlign w:val="bottom"/>
            <w:tcBorders>
              <w:bottom w:val="single" w:sz="8" w:color="CCEEFF"/>
            </w:tcBorders>
            <w:shd w:val="clear" w:color="auto" w:fill="CCEEFF"/>
          </w:tcPr>
          <w:p>
            <w:pPr>
              <w:spacing w:after="0"/>
              <w:rPr>
                <w:sz w:val="17"/>
                <w:szCs w:val="17"/>
                <w:color w:val="auto"/>
              </w:rPr>
            </w:pPr>
          </w:p>
        </w:tc>
        <w:tc>
          <w:tcPr>
            <w:tcW w:w="28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CCEEFF"/>
            </w:tcBorders>
            <w:shd w:val="clear" w:color="auto" w:fill="CCEEFF"/>
          </w:tcPr>
          <w:p>
            <w:pPr>
              <w:spacing w:after="0"/>
              <w:rPr>
                <w:sz w:val="17"/>
                <w:szCs w:val="17"/>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0.2</w:t>
            </w:r>
          </w:p>
        </w:tc>
        <w:tc>
          <w:tcPr>
            <w:tcW w:w="140" w:type="dxa"/>
            <w:vAlign w:val="bottom"/>
            <w:tcBorders>
              <w:bottom w:val="single" w:sz="8" w:color="CCEEFF"/>
            </w:tcBorders>
            <w:shd w:val="clear" w:color="auto" w:fill="CCEEFF"/>
          </w:tcPr>
          <w:p>
            <w:pPr>
              <w:spacing w:after="0"/>
              <w:rPr>
                <w:sz w:val="17"/>
                <w:szCs w:val="17"/>
                <w:color w:val="auto"/>
              </w:rPr>
            </w:pPr>
          </w:p>
        </w:tc>
        <w:tc>
          <w:tcPr>
            <w:tcW w:w="3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3"/>
        </w:trPr>
        <w:tc>
          <w:tcPr>
            <w:tcW w:w="380" w:type="dxa"/>
            <w:vAlign w:val="bottom"/>
          </w:tcPr>
          <w:p>
            <w:pPr>
              <w:spacing w:after="0"/>
              <w:rPr>
                <w:sz w:val="16"/>
                <w:szCs w:val="16"/>
                <w:color w:val="auto"/>
              </w:rPr>
            </w:pPr>
          </w:p>
        </w:tc>
        <w:tc>
          <w:tcPr>
            <w:tcW w:w="1480" w:type="dxa"/>
            <w:vAlign w:val="bottom"/>
          </w:tcPr>
          <w:p>
            <w:pPr>
              <w:ind w:left="80"/>
              <w:spacing w:after="0"/>
              <w:rPr>
                <w:sz w:val="20"/>
                <w:szCs w:val="20"/>
                <w:color w:val="auto"/>
              </w:rPr>
            </w:pPr>
            <w:r>
              <w:rPr>
                <w:rFonts w:ascii="Arial" w:cs="Arial" w:eastAsia="Arial" w:hAnsi="Arial"/>
                <w:sz w:val="13"/>
                <w:szCs w:val="13"/>
                <w:color w:val="auto"/>
                <w:w w:val="93"/>
              </w:rPr>
              <w:t>Communications revenue</w:t>
            </w:r>
          </w:p>
        </w:tc>
        <w:tc>
          <w:tcPr>
            <w:tcW w:w="12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40" w:type="dxa"/>
            <w:vAlign w:val="bottom"/>
            <w:tcBorders>
              <w:top w:val="single" w:sz="8" w:color="auto"/>
              <w:bottom w:val="single" w:sz="8" w:color="auto"/>
            </w:tcBorders>
          </w:tcPr>
          <w:p>
            <w:pPr>
              <w:jc w:val="right"/>
              <w:ind w:right="32"/>
              <w:spacing w:after="0"/>
              <w:rPr>
                <w:sz w:val="20"/>
                <w:szCs w:val="20"/>
                <w:color w:val="auto"/>
              </w:rPr>
            </w:pPr>
            <w:r>
              <w:rPr>
                <w:rFonts w:ascii="Arial" w:cs="Arial" w:eastAsia="Arial" w:hAnsi="Arial"/>
                <w:sz w:val="10"/>
                <w:szCs w:val="10"/>
                <w:color w:val="auto"/>
                <w:w w:val="71"/>
              </w:rPr>
              <w:t>$</w:t>
            </w:r>
          </w:p>
        </w:tc>
        <w:tc>
          <w:tcPr>
            <w:tcW w:w="100" w:type="dxa"/>
            <w:vAlign w:val="bottom"/>
            <w:tcBorders>
              <w:top w:val="single" w:sz="8" w:color="auto"/>
              <w:bottom w:val="single" w:sz="8" w:color="auto"/>
            </w:tcBorders>
          </w:tcPr>
          <w:p>
            <w:pPr>
              <w:spacing w:after="0"/>
              <w:rPr>
                <w:sz w:val="16"/>
                <w:szCs w:val="16"/>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14,543</w:t>
            </w:r>
          </w:p>
        </w:tc>
        <w:tc>
          <w:tcPr>
            <w:tcW w:w="80" w:type="dxa"/>
            <w:vAlign w:val="bottom"/>
          </w:tcPr>
          <w:p>
            <w:pPr>
              <w:spacing w:after="0"/>
              <w:rPr>
                <w:sz w:val="16"/>
                <w:szCs w:val="16"/>
                <w:color w:val="auto"/>
              </w:rPr>
            </w:pPr>
          </w:p>
        </w:tc>
        <w:tc>
          <w:tcPr>
            <w:tcW w:w="220" w:type="dxa"/>
            <w:vAlign w:val="bottom"/>
            <w:tcBorders>
              <w:top w:val="single" w:sz="8" w:color="auto"/>
              <w:bottom w:val="single" w:sz="8" w:color="auto"/>
            </w:tcBorders>
          </w:tcPr>
          <w:p>
            <w:pPr>
              <w:spacing w:after="0"/>
              <w:rPr>
                <w:sz w:val="16"/>
                <w:szCs w:val="16"/>
                <w:color w:val="auto"/>
              </w:rPr>
            </w:pPr>
          </w:p>
        </w:tc>
        <w:tc>
          <w:tcPr>
            <w:tcW w:w="80" w:type="dxa"/>
            <w:vAlign w:val="bottom"/>
            <w:tcBorders>
              <w:top w:val="single" w:sz="8" w:color="auto"/>
              <w:bottom w:val="single" w:sz="8" w:color="auto"/>
            </w:tcBorders>
          </w:tcPr>
          <w:p>
            <w:pPr>
              <w:spacing w:after="0"/>
              <w:rPr>
                <w:sz w:val="16"/>
                <w:szCs w:val="16"/>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100.0</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6"/>
                <w:szCs w:val="16"/>
                <w:color w:val="auto"/>
              </w:rPr>
            </w:pPr>
          </w:p>
        </w:tc>
        <w:tc>
          <w:tcPr>
            <w:tcW w:w="200" w:type="dxa"/>
            <w:vAlign w:val="bottom"/>
            <w:tcBorders>
              <w:top w:val="single" w:sz="8" w:color="auto"/>
              <w:bottom w:val="single" w:sz="8" w:color="auto"/>
            </w:tcBorders>
          </w:tcPr>
          <w:p>
            <w:pPr>
              <w:jc w:val="right"/>
              <w:ind w:right="92"/>
              <w:spacing w:after="0"/>
              <w:rPr>
                <w:sz w:val="20"/>
                <w:szCs w:val="20"/>
                <w:color w:val="auto"/>
              </w:rPr>
            </w:pPr>
            <w:r>
              <w:rPr>
                <w:rFonts w:ascii="Arial" w:cs="Arial" w:eastAsia="Arial" w:hAnsi="Arial"/>
                <w:sz w:val="10"/>
                <w:szCs w:val="10"/>
                <w:color w:val="auto"/>
                <w:w w:val="71"/>
              </w:rPr>
              <w:t>$</w:t>
            </w:r>
          </w:p>
        </w:tc>
        <w:tc>
          <w:tcPr>
            <w:tcW w:w="80" w:type="dxa"/>
            <w:vAlign w:val="bottom"/>
            <w:tcBorders>
              <w:top w:val="single" w:sz="8" w:color="auto"/>
              <w:bottom w:val="single" w:sz="8" w:color="auto"/>
            </w:tcBorders>
          </w:tcPr>
          <w:p>
            <w:pPr>
              <w:spacing w:after="0"/>
              <w:rPr>
                <w:sz w:val="16"/>
                <w:szCs w:val="16"/>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9,189</w:t>
            </w:r>
          </w:p>
        </w:tc>
        <w:tc>
          <w:tcPr>
            <w:tcW w:w="80" w:type="dxa"/>
            <w:vAlign w:val="bottom"/>
          </w:tcPr>
          <w:p>
            <w:pPr>
              <w:spacing w:after="0"/>
              <w:rPr>
                <w:sz w:val="16"/>
                <w:szCs w:val="16"/>
                <w:color w:val="auto"/>
              </w:rPr>
            </w:pPr>
          </w:p>
        </w:tc>
        <w:tc>
          <w:tcPr>
            <w:tcW w:w="280" w:type="dxa"/>
            <w:vAlign w:val="bottom"/>
            <w:tcBorders>
              <w:top w:val="single" w:sz="8" w:color="auto"/>
              <w:bottom w:val="single" w:sz="8" w:color="auto"/>
            </w:tcBorders>
          </w:tcPr>
          <w:p>
            <w:pPr>
              <w:spacing w:after="0"/>
              <w:rPr>
                <w:sz w:val="16"/>
                <w:szCs w:val="16"/>
                <w:color w:val="auto"/>
              </w:rPr>
            </w:pPr>
          </w:p>
        </w:tc>
        <w:tc>
          <w:tcPr>
            <w:tcW w:w="80" w:type="dxa"/>
            <w:vAlign w:val="bottom"/>
            <w:tcBorders>
              <w:top w:val="single" w:sz="8" w:color="auto"/>
              <w:bottom w:val="single" w:sz="8" w:color="auto"/>
            </w:tcBorders>
          </w:tcPr>
          <w:p>
            <w:pPr>
              <w:spacing w:after="0"/>
              <w:rPr>
                <w:sz w:val="16"/>
                <w:szCs w:val="16"/>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100.0</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6"/>
              </w:rPr>
              <w:t>%</w:t>
            </w:r>
          </w:p>
        </w:tc>
        <w:tc>
          <w:tcPr>
            <w:tcW w:w="3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380" w:type="dxa"/>
            <w:vAlign w:val="bottom"/>
          </w:tcPr>
          <w:p>
            <w:pPr>
              <w:spacing w:after="0" w:line="20" w:lineRule="exact"/>
              <w:rPr>
                <w:sz w:val="1"/>
                <w:szCs w:val="1"/>
                <w:color w:val="auto"/>
              </w:rPr>
            </w:pPr>
          </w:p>
        </w:tc>
        <w:tc>
          <w:tcPr>
            <w:tcW w:w="1480" w:type="dxa"/>
            <w:vAlign w:val="bottom"/>
            <w:tcBorders>
              <w:bottom w:val="single" w:sz="8" w:color="CCEEFF"/>
            </w:tcBorders>
          </w:tcPr>
          <w:p>
            <w:pPr>
              <w:spacing w:after="0" w:line="20" w:lineRule="exact"/>
              <w:rPr>
                <w:sz w:val="1"/>
                <w:szCs w:val="1"/>
                <w:color w:val="auto"/>
              </w:rPr>
            </w:pPr>
          </w:p>
        </w:tc>
        <w:tc>
          <w:tcPr>
            <w:tcW w:w="126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12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7"/>
        </w:trPr>
        <w:tc>
          <w:tcPr>
            <w:tcW w:w="380" w:type="dxa"/>
            <w:vAlign w:val="bottom"/>
          </w:tcPr>
          <w:p>
            <w:pPr>
              <w:spacing w:after="0"/>
              <w:rPr>
                <w:sz w:val="12"/>
                <w:szCs w:val="12"/>
                <w:color w:val="auto"/>
              </w:rPr>
            </w:pPr>
          </w:p>
        </w:tc>
        <w:tc>
          <w:tcPr>
            <w:tcW w:w="1480" w:type="dxa"/>
            <w:vAlign w:val="bottom"/>
            <w:shd w:val="clear" w:color="auto" w:fill="CCEEFF"/>
          </w:tcPr>
          <w:p>
            <w:pPr>
              <w:spacing w:after="0"/>
              <w:rPr>
                <w:sz w:val="12"/>
                <w:szCs w:val="12"/>
                <w:color w:val="auto"/>
              </w:rPr>
            </w:pPr>
          </w:p>
        </w:tc>
        <w:tc>
          <w:tcPr>
            <w:tcW w:w="12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3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380" w:type="dxa"/>
            <w:vAlign w:val="bottom"/>
          </w:tcPr>
          <w:p>
            <w:pPr>
              <w:spacing w:after="0"/>
              <w:rPr>
                <w:sz w:val="15"/>
                <w:szCs w:val="15"/>
                <w:color w:val="auto"/>
              </w:rPr>
            </w:pPr>
          </w:p>
        </w:tc>
        <w:tc>
          <w:tcPr>
            <w:tcW w:w="1480" w:type="dxa"/>
            <w:vAlign w:val="bottom"/>
          </w:tcPr>
          <w:p>
            <w:pPr>
              <w:spacing w:after="0"/>
              <w:rPr>
                <w:sz w:val="20"/>
                <w:szCs w:val="20"/>
                <w:color w:val="auto"/>
              </w:rPr>
            </w:pPr>
            <w:r>
              <w:rPr>
                <w:rFonts w:ascii="Arial" w:cs="Arial" w:eastAsia="Arial" w:hAnsi="Arial"/>
                <w:sz w:val="13"/>
                <w:szCs w:val="13"/>
                <w:color w:val="auto"/>
              </w:rPr>
              <w:t>Net loss</w:t>
            </w:r>
          </w:p>
        </w:tc>
        <w:tc>
          <w:tcPr>
            <w:tcW w:w="12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60" w:type="dxa"/>
            <w:vAlign w:val="bottom"/>
            <w:gridSpan w:val="2"/>
          </w:tcPr>
          <w:p>
            <w:pPr>
              <w:jc w:val="right"/>
              <w:ind w:right="32"/>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5"/>
                <w:szCs w:val="15"/>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(4,810)</w:t>
            </w: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3"/>
                <w:szCs w:val="13"/>
                <w:color w:val="auto"/>
              </w:rPr>
              <w:t>(7,040)</w:t>
            </w:r>
          </w:p>
        </w:tc>
        <w:tc>
          <w:tcPr>
            <w:tcW w:w="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7"/>
        </w:trPr>
        <w:tc>
          <w:tcPr>
            <w:tcW w:w="38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 w:type="dxa"/>
            <w:vAlign w:val="bottom"/>
          </w:tcPr>
          <w:p>
            <w:pPr>
              <w:spacing w:after="0"/>
              <w:rPr>
                <w:sz w:val="2"/>
                <w:szCs w:val="2"/>
                <w:color w:val="auto"/>
              </w:rPr>
            </w:pPr>
          </w:p>
        </w:tc>
        <w:tc>
          <w:tcPr>
            <w:tcW w:w="8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920" w:type="dxa"/>
            <w:vAlign w:val="bottom"/>
          </w:tcPr>
          <w:p>
            <w:pPr>
              <w:spacing w:after="0"/>
              <w:rPr>
                <w:sz w:val="2"/>
                <w:szCs w:val="2"/>
                <w:color w:val="auto"/>
              </w:rPr>
            </w:pPr>
          </w:p>
        </w:tc>
        <w:tc>
          <w:tcPr>
            <w:tcW w:w="80" w:type="dxa"/>
            <w:vAlign w:val="bottom"/>
          </w:tcPr>
          <w:p>
            <w:pPr>
              <w:spacing w:after="0"/>
              <w:rPr>
                <w:sz w:val="2"/>
                <w:szCs w:val="2"/>
                <w:color w:val="auto"/>
              </w:rPr>
            </w:pPr>
          </w:p>
        </w:tc>
        <w:tc>
          <w:tcPr>
            <w:tcW w:w="280" w:type="dxa"/>
            <w:vAlign w:val="bottom"/>
          </w:tcPr>
          <w:p>
            <w:pPr>
              <w:spacing w:after="0"/>
              <w:rPr>
                <w:sz w:val="2"/>
                <w:szCs w:val="2"/>
                <w:color w:val="auto"/>
              </w:rPr>
            </w:pPr>
          </w:p>
        </w:tc>
        <w:tc>
          <w:tcPr>
            <w:tcW w:w="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40" w:type="dxa"/>
            <w:vAlign w:val="bottom"/>
          </w:tcPr>
          <w:p>
            <w:pPr>
              <w:spacing w:after="0"/>
              <w:rPr>
                <w:sz w:val="2"/>
                <w:szCs w:val="2"/>
                <w:color w:val="auto"/>
              </w:rPr>
            </w:pPr>
          </w:p>
        </w:tc>
        <w:tc>
          <w:tcPr>
            <w:tcW w:w="3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5"/>
        </w:trPr>
        <w:tc>
          <w:tcPr>
            <w:tcW w:w="380" w:type="dxa"/>
            <w:vAlign w:val="bottom"/>
          </w:tcPr>
          <w:p>
            <w:pPr>
              <w:spacing w:after="0"/>
              <w:rPr>
                <w:sz w:val="16"/>
                <w:szCs w:val="16"/>
                <w:color w:val="auto"/>
              </w:rPr>
            </w:pPr>
          </w:p>
        </w:tc>
        <w:tc>
          <w:tcPr>
            <w:tcW w:w="14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EBITDA (a)</w:t>
            </w:r>
          </w:p>
        </w:tc>
        <w:tc>
          <w:tcPr>
            <w:tcW w:w="126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1120" w:type="dxa"/>
            <w:vAlign w:val="bottom"/>
            <w:tcBorders>
              <w:bottom w:val="single" w:sz="8" w:color="CCEEFF"/>
            </w:tcBorders>
            <w:shd w:val="clear" w:color="auto" w:fill="CCEEFF"/>
          </w:tcPr>
          <w:p>
            <w:pPr>
              <w:spacing w:after="0"/>
              <w:rPr>
                <w:sz w:val="16"/>
                <w:szCs w:val="16"/>
                <w:color w:val="auto"/>
              </w:rPr>
            </w:pPr>
          </w:p>
        </w:tc>
        <w:tc>
          <w:tcPr>
            <w:tcW w:w="14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1,031</w:t>
            </w:r>
          </w:p>
        </w:tc>
        <w:tc>
          <w:tcPr>
            <w:tcW w:w="80" w:type="dxa"/>
            <w:vAlign w:val="bottom"/>
            <w:tcBorders>
              <w:bottom w:val="single" w:sz="8" w:color="CCEEFF"/>
            </w:tcBorders>
            <w:shd w:val="clear" w:color="auto" w:fill="CCEEFF"/>
          </w:tcPr>
          <w:p>
            <w:pPr>
              <w:spacing w:after="0"/>
              <w:rPr>
                <w:sz w:val="16"/>
                <w:szCs w:val="16"/>
                <w:color w:val="auto"/>
              </w:rPr>
            </w:pPr>
          </w:p>
        </w:tc>
        <w:tc>
          <w:tcPr>
            <w:tcW w:w="220" w:type="dxa"/>
            <w:vAlign w:val="bottom"/>
            <w:tcBorders>
              <w:bottom w:val="single" w:sz="8" w:color="CCEEFF"/>
            </w:tcBorders>
            <w:shd w:val="clear" w:color="auto" w:fill="CCEEFF"/>
          </w:tcPr>
          <w:p>
            <w:pPr>
              <w:spacing w:after="0"/>
              <w:rPr>
                <w:sz w:val="16"/>
                <w:szCs w:val="16"/>
                <w:color w:val="auto"/>
              </w:rPr>
            </w:pPr>
          </w:p>
        </w:tc>
        <w:tc>
          <w:tcPr>
            <w:tcW w:w="80" w:type="dxa"/>
            <w:vAlign w:val="bottom"/>
            <w:tcBorders>
              <w:bottom w:val="single" w:sz="8" w:color="CCEEFF"/>
            </w:tcBorders>
            <w:shd w:val="clear" w:color="auto" w:fill="CCEEFF"/>
          </w:tcPr>
          <w:p>
            <w:pPr>
              <w:spacing w:after="0"/>
              <w:rPr>
                <w:sz w:val="16"/>
                <w:szCs w:val="16"/>
                <w:color w:val="auto"/>
              </w:rPr>
            </w:pPr>
          </w:p>
        </w:tc>
        <w:tc>
          <w:tcPr>
            <w:tcW w:w="800" w:type="dxa"/>
            <w:vAlign w:val="bottom"/>
            <w:tcBorders>
              <w:bottom w:val="single" w:sz="8" w:color="CCEEFF"/>
            </w:tcBorders>
            <w:shd w:val="clear" w:color="auto" w:fill="CCEEFF"/>
          </w:tcPr>
          <w:p>
            <w:pPr>
              <w:spacing w:after="0"/>
              <w:rPr>
                <w:sz w:val="16"/>
                <w:szCs w:val="16"/>
                <w:color w:val="auto"/>
              </w:rPr>
            </w:pPr>
          </w:p>
        </w:tc>
        <w:tc>
          <w:tcPr>
            <w:tcW w:w="160" w:type="dxa"/>
            <w:vAlign w:val="bottom"/>
            <w:tcBorders>
              <w:bottom w:val="single" w:sz="8" w:color="CCEEFF"/>
            </w:tcBorders>
            <w:shd w:val="clear" w:color="auto" w:fill="CCEEFF"/>
          </w:tcPr>
          <w:p>
            <w:pPr>
              <w:spacing w:after="0"/>
              <w:rPr>
                <w:sz w:val="16"/>
                <w:szCs w:val="16"/>
                <w:color w:val="auto"/>
              </w:rPr>
            </w:pPr>
          </w:p>
        </w:tc>
        <w:tc>
          <w:tcPr>
            <w:tcW w:w="120" w:type="dxa"/>
            <w:vAlign w:val="bottom"/>
            <w:tcBorders>
              <w:bottom w:val="single" w:sz="8" w:color="CCEEFF"/>
            </w:tcBorders>
            <w:shd w:val="clear" w:color="auto" w:fill="CCEEFF"/>
          </w:tcPr>
          <w:p>
            <w:pPr>
              <w:spacing w:after="0"/>
              <w:rPr>
                <w:sz w:val="16"/>
                <w:szCs w:val="16"/>
                <w:color w:val="auto"/>
              </w:rPr>
            </w:pPr>
          </w:p>
        </w:tc>
        <w:tc>
          <w:tcPr>
            <w:tcW w:w="200" w:type="dxa"/>
            <w:vAlign w:val="bottom"/>
            <w:tcBorders>
              <w:bottom w:val="single" w:sz="8" w:color="CCEEFF"/>
            </w:tcBorders>
            <w:shd w:val="clear" w:color="auto" w:fill="CCEEFF"/>
          </w:tcPr>
          <w:p>
            <w:pPr>
              <w:spacing w:after="0"/>
              <w:rPr>
                <w:sz w:val="16"/>
                <w:szCs w:val="16"/>
                <w:color w:val="auto"/>
              </w:rPr>
            </w:pPr>
          </w:p>
        </w:tc>
        <w:tc>
          <w:tcPr>
            <w:tcW w:w="80" w:type="dxa"/>
            <w:vAlign w:val="bottom"/>
            <w:tcBorders>
              <w:bottom w:val="single" w:sz="8" w:color="CCEEFF"/>
            </w:tcBorders>
            <w:shd w:val="clear" w:color="auto" w:fill="CCEEFF"/>
          </w:tcPr>
          <w:p>
            <w:pPr>
              <w:spacing w:after="0"/>
              <w:rPr>
                <w:sz w:val="16"/>
                <w:szCs w:val="16"/>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(1,834)</w:t>
            </w:r>
          </w:p>
        </w:tc>
        <w:tc>
          <w:tcPr>
            <w:tcW w:w="80" w:type="dxa"/>
            <w:vAlign w:val="bottom"/>
            <w:tcBorders>
              <w:bottom w:val="single" w:sz="8" w:color="CCEEFF"/>
            </w:tcBorders>
            <w:shd w:val="clear" w:color="auto" w:fill="CCEEFF"/>
          </w:tcPr>
          <w:p>
            <w:pPr>
              <w:spacing w:after="0"/>
              <w:rPr>
                <w:sz w:val="16"/>
                <w:szCs w:val="16"/>
                <w:color w:val="auto"/>
              </w:rPr>
            </w:pPr>
          </w:p>
        </w:tc>
        <w:tc>
          <w:tcPr>
            <w:tcW w:w="280" w:type="dxa"/>
            <w:vAlign w:val="bottom"/>
            <w:tcBorders>
              <w:bottom w:val="single" w:sz="8" w:color="CCEEFF"/>
            </w:tcBorders>
            <w:shd w:val="clear" w:color="auto" w:fill="CCEEFF"/>
          </w:tcPr>
          <w:p>
            <w:pPr>
              <w:spacing w:after="0"/>
              <w:rPr>
                <w:sz w:val="16"/>
                <w:szCs w:val="16"/>
                <w:color w:val="auto"/>
              </w:rPr>
            </w:pPr>
          </w:p>
        </w:tc>
        <w:tc>
          <w:tcPr>
            <w:tcW w:w="80" w:type="dxa"/>
            <w:vAlign w:val="bottom"/>
            <w:tcBorders>
              <w:bottom w:val="single" w:sz="8" w:color="CCEEFF"/>
            </w:tcBorders>
            <w:shd w:val="clear" w:color="auto" w:fill="CCEEFF"/>
          </w:tcPr>
          <w:p>
            <w:pPr>
              <w:spacing w:after="0"/>
              <w:rPr>
                <w:sz w:val="16"/>
                <w:szCs w:val="16"/>
                <w:color w:val="auto"/>
              </w:rPr>
            </w:pPr>
          </w:p>
        </w:tc>
        <w:tc>
          <w:tcPr>
            <w:tcW w:w="760" w:type="dxa"/>
            <w:vAlign w:val="bottom"/>
            <w:tcBorders>
              <w:bottom w:val="single" w:sz="8" w:color="CCEEFF"/>
            </w:tcBorders>
            <w:shd w:val="clear" w:color="auto" w:fill="CCEEFF"/>
          </w:tcPr>
          <w:p>
            <w:pPr>
              <w:spacing w:after="0"/>
              <w:rPr>
                <w:sz w:val="16"/>
                <w:szCs w:val="16"/>
                <w:color w:val="auto"/>
              </w:rPr>
            </w:pPr>
          </w:p>
        </w:tc>
        <w:tc>
          <w:tcPr>
            <w:tcW w:w="140" w:type="dxa"/>
            <w:vAlign w:val="bottom"/>
            <w:tcBorders>
              <w:bottom w:val="single" w:sz="8" w:color="CCEEFF"/>
            </w:tcBorders>
            <w:shd w:val="clear" w:color="auto" w:fill="CCEEFF"/>
          </w:tcPr>
          <w:p>
            <w:pPr>
              <w:spacing w:after="0"/>
              <w:rPr>
                <w:sz w:val="16"/>
                <w:szCs w:val="16"/>
                <w:color w:val="auto"/>
              </w:rPr>
            </w:pPr>
          </w:p>
        </w:tc>
        <w:tc>
          <w:tcPr>
            <w:tcW w:w="3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38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85"/>
        </w:trPr>
        <w:tc>
          <w:tcPr>
            <w:tcW w:w="380" w:type="dxa"/>
            <w:vAlign w:val="bottom"/>
          </w:tcPr>
          <w:p>
            <w:pPr>
              <w:spacing w:after="0"/>
              <w:rPr>
                <w:sz w:val="16"/>
                <w:szCs w:val="16"/>
                <w:color w:val="auto"/>
              </w:rPr>
            </w:pPr>
          </w:p>
        </w:tc>
        <w:tc>
          <w:tcPr>
            <w:tcW w:w="14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Capital expenditures</w:t>
            </w:r>
          </w:p>
        </w:tc>
        <w:tc>
          <w:tcPr>
            <w:tcW w:w="126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1120" w:type="dxa"/>
            <w:vAlign w:val="bottom"/>
            <w:tcBorders>
              <w:bottom w:val="single" w:sz="8" w:color="CCEEFF"/>
            </w:tcBorders>
            <w:shd w:val="clear" w:color="auto" w:fill="CCEEFF"/>
          </w:tcPr>
          <w:p>
            <w:pPr>
              <w:spacing w:after="0"/>
              <w:rPr>
                <w:sz w:val="16"/>
                <w:szCs w:val="16"/>
                <w:color w:val="auto"/>
              </w:rPr>
            </w:pPr>
          </w:p>
        </w:tc>
        <w:tc>
          <w:tcPr>
            <w:tcW w:w="14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11,958</w:t>
            </w:r>
          </w:p>
        </w:tc>
        <w:tc>
          <w:tcPr>
            <w:tcW w:w="80" w:type="dxa"/>
            <w:vAlign w:val="bottom"/>
            <w:tcBorders>
              <w:bottom w:val="single" w:sz="8" w:color="CCEEFF"/>
            </w:tcBorders>
            <w:shd w:val="clear" w:color="auto" w:fill="CCEEFF"/>
          </w:tcPr>
          <w:p>
            <w:pPr>
              <w:spacing w:after="0"/>
              <w:rPr>
                <w:sz w:val="16"/>
                <w:szCs w:val="16"/>
                <w:color w:val="auto"/>
              </w:rPr>
            </w:pPr>
          </w:p>
        </w:tc>
        <w:tc>
          <w:tcPr>
            <w:tcW w:w="220" w:type="dxa"/>
            <w:vAlign w:val="bottom"/>
            <w:tcBorders>
              <w:bottom w:val="single" w:sz="8" w:color="CCEEFF"/>
            </w:tcBorders>
            <w:shd w:val="clear" w:color="auto" w:fill="CCEEFF"/>
          </w:tcPr>
          <w:p>
            <w:pPr>
              <w:spacing w:after="0"/>
              <w:rPr>
                <w:sz w:val="16"/>
                <w:szCs w:val="16"/>
                <w:color w:val="auto"/>
              </w:rPr>
            </w:pPr>
          </w:p>
        </w:tc>
        <w:tc>
          <w:tcPr>
            <w:tcW w:w="80" w:type="dxa"/>
            <w:vAlign w:val="bottom"/>
            <w:tcBorders>
              <w:bottom w:val="single" w:sz="8" w:color="CCEEFF"/>
            </w:tcBorders>
            <w:shd w:val="clear" w:color="auto" w:fill="CCEEFF"/>
          </w:tcPr>
          <w:p>
            <w:pPr>
              <w:spacing w:after="0"/>
              <w:rPr>
                <w:sz w:val="16"/>
                <w:szCs w:val="16"/>
                <w:color w:val="auto"/>
              </w:rPr>
            </w:pPr>
          </w:p>
        </w:tc>
        <w:tc>
          <w:tcPr>
            <w:tcW w:w="800" w:type="dxa"/>
            <w:vAlign w:val="bottom"/>
            <w:tcBorders>
              <w:bottom w:val="single" w:sz="8" w:color="CCEEFF"/>
            </w:tcBorders>
            <w:shd w:val="clear" w:color="auto" w:fill="CCEEFF"/>
          </w:tcPr>
          <w:p>
            <w:pPr>
              <w:spacing w:after="0"/>
              <w:rPr>
                <w:sz w:val="16"/>
                <w:szCs w:val="16"/>
                <w:color w:val="auto"/>
              </w:rPr>
            </w:pPr>
          </w:p>
        </w:tc>
        <w:tc>
          <w:tcPr>
            <w:tcW w:w="160" w:type="dxa"/>
            <w:vAlign w:val="bottom"/>
            <w:tcBorders>
              <w:bottom w:val="single" w:sz="8" w:color="CCEEFF"/>
            </w:tcBorders>
            <w:shd w:val="clear" w:color="auto" w:fill="CCEEFF"/>
          </w:tcPr>
          <w:p>
            <w:pPr>
              <w:spacing w:after="0"/>
              <w:rPr>
                <w:sz w:val="16"/>
                <w:szCs w:val="16"/>
                <w:color w:val="auto"/>
              </w:rPr>
            </w:pPr>
          </w:p>
        </w:tc>
        <w:tc>
          <w:tcPr>
            <w:tcW w:w="120" w:type="dxa"/>
            <w:vAlign w:val="bottom"/>
            <w:tcBorders>
              <w:bottom w:val="single" w:sz="8" w:color="CCEEFF"/>
            </w:tcBorders>
            <w:shd w:val="clear" w:color="auto" w:fill="CCEEFF"/>
          </w:tcPr>
          <w:p>
            <w:pPr>
              <w:spacing w:after="0"/>
              <w:rPr>
                <w:sz w:val="16"/>
                <w:szCs w:val="16"/>
                <w:color w:val="auto"/>
              </w:rPr>
            </w:pPr>
          </w:p>
        </w:tc>
        <w:tc>
          <w:tcPr>
            <w:tcW w:w="200" w:type="dxa"/>
            <w:vAlign w:val="bottom"/>
            <w:tcBorders>
              <w:bottom w:val="single" w:sz="8" w:color="CCEEFF"/>
            </w:tcBorders>
            <w:shd w:val="clear" w:color="auto" w:fill="CCEEFF"/>
          </w:tcPr>
          <w:p>
            <w:pPr>
              <w:spacing w:after="0"/>
              <w:rPr>
                <w:sz w:val="16"/>
                <w:szCs w:val="16"/>
                <w:color w:val="auto"/>
              </w:rPr>
            </w:pPr>
          </w:p>
        </w:tc>
        <w:tc>
          <w:tcPr>
            <w:tcW w:w="80" w:type="dxa"/>
            <w:vAlign w:val="bottom"/>
            <w:tcBorders>
              <w:bottom w:val="single" w:sz="8" w:color="CCEEFF"/>
            </w:tcBorders>
            <w:shd w:val="clear" w:color="auto" w:fill="CCEEFF"/>
          </w:tcPr>
          <w:p>
            <w:pPr>
              <w:spacing w:after="0"/>
              <w:rPr>
                <w:sz w:val="16"/>
                <w:szCs w:val="16"/>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17,899</w:t>
            </w:r>
          </w:p>
        </w:tc>
        <w:tc>
          <w:tcPr>
            <w:tcW w:w="80" w:type="dxa"/>
            <w:vAlign w:val="bottom"/>
            <w:tcBorders>
              <w:bottom w:val="single" w:sz="8" w:color="CCEEFF"/>
            </w:tcBorders>
            <w:shd w:val="clear" w:color="auto" w:fill="CCEEFF"/>
          </w:tcPr>
          <w:p>
            <w:pPr>
              <w:spacing w:after="0"/>
              <w:rPr>
                <w:sz w:val="16"/>
                <w:szCs w:val="16"/>
                <w:color w:val="auto"/>
              </w:rPr>
            </w:pPr>
          </w:p>
        </w:tc>
        <w:tc>
          <w:tcPr>
            <w:tcW w:w="280" w:type="dxa"/>
            <w:vAlign w:val="bottom"/>
            <w:tcBorders>
              <w:bottom w:val="single" w:sz="8" w:color="CCEEFF"/>
            </w:tcBorders>
            <w:shd w:val="clear" w:color="auto" w:fill="CCEEFF"/>
          </w:tcPr>
          <w:p>
            <w:pPr>
              <w:spacing w:after="0"/>
              <w:rPr>
                <w:sz w:val="16"/>
                <w:szCs w:val="16"/>
                <w:color w:val="auto"/>
              </w:rPr>
            </w:pPr>
          </w:p>
        </w:tc>
        <w:tc>
          <w:tcPr>
            <w:tcW w:w="80" w:type="dxa"/>
            <w:vAlign w:val="bottom"/>
            <w:tcBorders>
              <w:bottom w:val="single" w:sz="8" w:color="CCEEFF"/>
            </w:tcBorders>
            <w:shd w:val="clear" w:color="auto" w:fill="CCEEFF"/>
          </w:tcPr>
          <w:p>
            <w:pPr>
              <w:spacing w:after="0"/>
              <w:rPr>
                <w:sz w:val="16"/>
                <w:szCs w:val="16"/>
                <w:color w:val="auto"/>
              </w:rPr>
            </w:pPr>
          </w:p>
        </w:tc>
        <w:tc>
          <w:tcPr>
            <w:tcW w:w="760" w:type="dxa"/>
            <w:vAlign w:val="bottom"/>
            <w:tcBorders>
              <w:bottom w:val="single" w:sz="8" w:color="CCEEFF"/>
            </w:tcBorders>
            <w:shd w:val="clear" w:color="auto" w:fill="CCEEFF"/>
          </w:tcPr>
          <w:p>
            <w:pPr>
              <w:spacing w:after="0"/>
              <w:rPr>
                <w:sz w:val="16"/>
                <w:szCs w:val="16"/>
                <w:color w:val="auto"/>
              </w:rPr>
            </w:pPr>
          </w:p>
        </w:tc>
        <w:tc>
          <w:tcPr>
            <w:tcW w:w="140" w:type="dxa"/>
            <w:vAlign w:val="bottom"/>
            <w:tcBorders>
              <w:bottom w:val="single" w:sz="8" w:color="CCEEFF"/>
            </w:tcBorders>
            <w:shd w:val="clear" w:color="auto" w:fill="CCEEFF"/>
          </w:tcPr>
          <w:p>
            <w:pPr>
              <w:spacing w:after="0"/>
              <w:rPr>
                <w:sz w:val="16"/>
                <w:szCs w:val="16"/>
                <w:color w:val="auto"/>
              </w:rPr>
            </w:pPr>
          </w:p>
        </w:tc>
        <w:tc>
          <w:tcPr>
            <w:tcW w:w="3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554"/>
        </w:trPr>
        <w:tc>
          <w:tcPr>
            <w:tcW w:w="3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1360" w:type="dxa"/>
            <w:vAlign w:val="bottom"/>
            <w:gridSpan w:val="2"/>
            <w:vMerge w:val="restart"/>
          </w:tcPr>
          <w:p>
            <w:pPr>
              <w:jc w:val="center"/>
              <w:ind w:right="100"/>
              <w:spacing w:after="0"/>
              <w:rPr>
                <w:sz w:val="20"/>
                <w:szCs w:val="20"/>
                <w:color w:val="auto"/>
              </w:rPr>
            </w:pPr>
            <w:r>
              <w:rPr>
                <w:rFonts w:ascii="Arial" w:cs="Arial" w:eastAsia="Arial" w:hAnsi="Arial"/>
                <w:sz w:val="11"/>
                <w:szCs w:val="11"/>
                <w:b w:val="1"/>
                <w:bCs w:val="1"/>
                <w:color w:val="auto"/>
                <w:w w:val="94"/>
              </w:rPr>
              <w:t>As of</w:t>
            </w:r>
          </w:p>
        </w:tc>
        <w:tc>
          <w:tcPr>
            <w:tcW w:w="1360" w:type="dxa"/>
            <w:vAlign w:val="bottom"/>
            <w:gridSpan w:val="3"/>
            <w:vMerge w:val="restart"/>
          </w:tcPr>
          <w:p>
            <w:pPr>
              <w:jc w:val="center"/>
              <w:ind w:right="100"/>
              <w:spacing w:after="0"/>
              <w:rPr>
                <w:sz w:val="20"/>
                <w:szCs w:val="20"/>
                <w:color w:val="auto"/>
              </w:rPr>
            </w:pPr>
            <w:r>
              <w:rPr>
                <w:rFonts w:ascii="Arial" w:cs="Arial" w:eastAsia="Arial" w:hAnsi="Arial"/>
                <w:sz w:val="11"/>
                <w:szCs w:val="11"/>
                <w:b w:val="1"/>
                <w:bCs w:val="1"/>
                <w:color w:val="auto"/>
                <w:w w:val="94"/>
              </w:rPr>
              <w:t>As of</w:t>
            </w:r>
          </w:p>
        </w:tc>
        <w:tc>
          <w:tcPr>
            <w:tcW w:w="9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0" w:type="dxa"/>
            <w:vAlign w:val="bottom"/>
          </w:tcPr>
          <w:p>
            <w:pPr>
              <w:jc w:val="center"/>
              <w:ind w:left="417"/>
              <w:spacing w:after="0"/>
              <w:rPr>
                <w:sz w:val="20"/>
                <w:szCs w:val="20"/>
                <w:color w:val="auto"/>
              </w:rPr>
            </w:pPr>
            <w:r>
              <w:rPr>
                <w:rFonts w:ascii="Arial" w:cs="Arial" w:eastAsia="Arial" w:hAnsi="Arial"/>
                <w:sz w:val="11"/>
                <w:szCs w:val="11"/>
                <w:b w:val="1"/>
                <w:bCs w:val="1"/>
                <w:color w:val="auto"/>
                <w:w w:val="87"/>
              </w:rPr>
              <w:t>As of</w:t>
            </w: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360" w:type="dxa"/>
            <w:vAlign w:val="bottom"/>
            <w:gridSpan w:val="4"/>
            <w:vMerge w:val="restart"/>
          </w:tcPr>
          <w:p>
            <w:pPr>
              <w:jc w:val="center"/>
              <w:ind w:right="80"/>
              <w:spacing w:after="0"/>
              <w:rPr>
                <w:sz w:val="20"/>
                <w:szCs w:val="20"/>
                <w:color w:val="auto"/>
              </w:rPr>
            </w:pPr>
            <w:r>
              <w:rPr>
                <w:rFonts w:ascii="Arial" w:cs="Arial" w:eastAsia="Arial" w:hAnsi="Arial"/>
                <w:sz w:val="11"/>
                <w:szCs w:val="11"/>
                <w:b w:val="1"/>
                <w:bCs w:val="1"/>
                <w:color w:val="auto"/>
                <w:w w:val="87"/>
              </w:rPr>
              <w:t>As of</w:t>
            </w:r>
          </w:p>
        </w:tc>
        <w:tc>
          <w:tcPr>
            <w:tcW w:w="760" w:type="dxa"/>
            <w:vAlign w:val="bottom"/>
            <w:vMerge w:val="restart"/>
          </w:tcPr>
          <w:p>
            <w:pPr>
              <w:jc w:val="right"/>
              <w:spacing w:after="0"/>
              <w:rPr>
                <w:sz w:val="20"/>
                <w:szCs w:val="20"/>
                <w:color w:val="auto"/>
              </w:rPr>
            </w:pPr>
            <w:r>
              <w:rPr>
                <w:rFonts w:ascii="Arial" w:cs="Arial" w:eastAsia="Arial" w:hAnsi="Arial"/>
                <w:sz w:val="11"/>
                <w:szCs w:val="11"/>
                <w:b w:val="1"/>
                <w:bCs w:val="1"/>
                <w:color w:val="auto"/>
              </w:rPr>
              <w:t>As of</w:t>
            </w:r>
          </w:p>
        </w:tc>
        <w:tc>
          <w:tcPr>
            <w:tcW w:w="1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380" w:type="dxa"/>
            <w:vAlign w:val="bottom"/>
          </w:tcPr>
          <w:p>
            <w:pPr>
              <w:spacing w:after="0"/>
              <w:rPr>
                <w:sz w:val="10"/>
                <w:szCs w:val="10"/>
                <w:color w:val="auto"/>
              </w:rPr>
            </w:pPr>
          </w:p>
        </w:tc>
        <w:tc>
          <w:tcPr>
            <w:tcW w:w="1480" w:type="dxa"/>
            <w:vAlign w:val="bottom"/>
          </w:tcPr>
          <w:p>
            <w:pPr>
              <w:spacing w:after="0"/>
              <w:rPr>
                <w:sz w:val="10"/>
                <w:szCs w:val="10"/>
                <w:color w:val="auto"/>
              </w:rPr>
            </w:pPr>
          </w:p>
        </w:tc>
        <w:tc>
          <w:tcPr>
            <w:tcW w:w="1360" w:type="dxa"/>
            <w:vAlign w:val="bottom"/>
            <w:gridSpan w:val="2"/>
            <w:vMerge w:val="continue"/>
          </w:tcPr>
          <w:p>
            <w:pPr>
              <w:spacing w:after="0"/>
              <w:rPr>
                <w:sz w:val="10"/>
                <w:szCs w:val="10"/>
                <w:color w:val="auto"/>
              </w:rPr>
            </w:pPr>
          </w:p>
        </w:tc>
        <w:tc>
          <w:tcPr>
            <w:tcW w:w="1360" w:type="dxa"/>
            <w:vAlign w:val="bottom"/>
            <w:gridSpan w:val="3"/>
            <w:vMerge w:val="continue"/>
          </w:tcPr>
          <w:p>
            <w:pPr>
              <w:spacing w:after="0"/>
              <w:rPr>
                <w:sz w:val="10"/>
                <w:szCs w:val="10"/>
                <w:color w:val="auto"/>
              </w:rPr>
            </w:pPr>
          </w:p>
        </w:tc>
        <w:tc>
          <w:tcPr>
            <w:tcW w:w="1340" w:type="dxa"/>
            <w:vAlign w:val="bottom"/>
            <w:gridSpan w:val="4"/>
            <w:vMerge w:val="restart"/>
          </w:tcPr>
          <w:p>
            <w:pPr>
              <w:jc w:val="right"/>
              <w:ind w:right="100"/>
              <w:spacing w:after="0"/>
              <w:rPr>
                <w:sz w:val="20"/>
                <w:szCs w:val="20"/>
                <w:color w:val="auto"/>
              </w:rPr>
            </w:pPr>
            <w:r>
              <w:rPr>
                <w:rFonts w:ascii="Arial" w:cs="Arial" w:eastAsia="Arial" w:hAnsi="Arial"/>
                <w:sz w:val="11"/>
                <w:szCs w:val="11"/>
                <w:b w:val="1"/>
                <w:bCs w:val="1"/>
                <w:color w:val="auto"/>
                <w:w w:val="91"/>
              </w:rPr>
              <w:t>As of September 30, 2018</w:t>
            </w:r>
          </w:p>
        </w:tc>
        <w:tc>
          <w:tcPr>
            <w:tcW w:w="1080" w:type="dxa"/>
            <w:vAlign w:val="bottom"/>
            <w:gridSpan w:val="3"/>
          </w:tcPr>
          <w:p>
            <w:pPr>
              <w:jc w:val="center"/>
              <w:ind w:left="137"/>
              <w:spacing w:after="0" w:line="119" w:lineRule="exact"/>
              <w:rPr>
                <w:sz w:val="20"/>
                <w:szCs w:val="20"/>
                <w:color w:val="auto"/>
              </w:rPr>
            </w:pPr>
            <w:r>
              <w:rPr>
                <w:rFonts w:ascii="Arial" w:cs="Arial" w:eastAsia="Arial" w:hAnsi="Arial"/>
                <w:sz w:val="11"/>
                <w:szCs w:val="11"/>
                <w:b w:val="1"/>
                <w:bCs w:val="1"/>
                <w:color w:val="auto"/>
                <w:w w:val="90"/>
              </w:rPr>
              <w:t>June 30,</w:t>
            </w:r>
          </w:p>
        </w:tc>
        <w:tc>
          <w:tcPr>
            <w:tcW w:w="2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360" w:type="dxa"/>
            <w:vAlign w:val="bottom"/>
            <w:gridSpan w:val="4"/>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14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3"/>
        </w:trPr>
        <w:tc>
          <w:tcPr>
            <w:tcW w:w="380" w:type="dxa"/>
            <w:vAlign w:val="bottom"/>
          </w:tcPr>
          <w:p>
            <w:pPr>
              <w:spacing w:after="0"/>
              <w:rPr>
                <w:sz w:val="13"/>
                <w:szCs w:val="13"/>
                <w:color w:val="auto"/>
              </w:rPr>
            </w:pPr>
          </w:p>
        </w:tc>
        <w:tc>
          <w:tcPr>
            <w:tcW w:w="1480" w:type="dxa"/>
            <w:vAlign w:val="bottom"/>
          </w:tcPr>
          <w:p>
            <w:pPr>
              <w:spacing w:after="0"/>
              <w:rPr>
                <w:sz w:val="13"/>
                <w:szCs w:val="13"/>
                <w:color w:val="auto"/>
              </w:rPr>
            </w:pPr>
          </w:p>
        </w:tc>
        <w:tc>
          <w:tcPr>
            <w:tcW w:w="1360" w:type="dxa"/>
            <w:vAlign w:val="bottom"/>
            <w:gridSpan w:val="2"/>
          </w:tcPr>
          <w:p>
            <w:pPr>
              <w:jc w:val="center"/>
              <w:ind w:right="80"/>
              <w:spacing w:after="0"/>
              <w:rPr>
                <w:sz w:val="20"/>
                <w:szCs w:val="20"/>
                <w:color w:val="auto"/>
              </w:rPr>
            </w:pPr>
            <w:r>
              <w:rPr>
                <w:rFonts w:ascii="Arial" w:cs="Arial" w:eastAsia="Arial" w:hAnsi="Arial"/>
                <w:sz w:val="11"/>
                <w:szCs w:val="11"/>
                <w:b w:val="1"/>
                <w:bCs w:val="1"/>
                <w:color w:val="auto"/>
                <w:w w:val="97"/>
              </w:rPr>
              <w:t>March 31, 2019</w:t>
            </w:r>
          </w:p>
        </w:tc>
        <w:tc>
          <w:tcPr>
            <w:tcW w:w="1360" w:type="dxa"/>
            <w:vAlign w:val="bottom"/>
            <w:gridSpan w:val="3"/>
          </w:tcPr>
          <w:p>
            <w:pPr>
              <w:jc w:val="center"/>
              <w:ind w:right="120"/>
              <w:spacing w:after="0"/>
              <w:rPr>
                <w:sz w:val="20"/>
                <w:szCs w:val="20"/>
                <w:color w:val="auto"/>
              </w:rPr>
            </w:pPr>
            <w:r>
              <w:rPr>
                <w:rFonts w:ascii="Arial" w:cs="Arial" w:eastAsia="Arial" w:hAnsi="Arial"/>
                <w:sz w:val="11"/>
                <w:szCs w:val="11"/>
                <w:b w:val="1"/>
                <w:bCs w:val="1"/>
                <w:color w:val="auto"/>
                <w:w w:val="92"/>
              </w:rPr>
              <w:t>December 31, 2018</w:t>
            </w:r>
          </w:p>
        </w:tc>
        <w:tc>
          <w:tcPr>
            <w:tcW w:w="1340" w:type="dxa"/>
            <w:vAlign w:val="bottom"/>
            <w:gridSpan w:val="4"/>
            <w:vMerge w:val="continue"/>
          </w:tcPr>
          <w:p>
            <w:pPr>
              <w:spacing w:after="0"/>
              <w:rPr>
                <w:sz w:val="13"/>
                <w:szCs w:val="13"/>
                <w:color w:val="auto"/>
              </w:rPr>
            </w:pPr>
          </w:p>
        </w:tc>
        <w:tc>
          <w:tcPr>
            <w:tcW w:w="800" w:type="dxa"/>
            <w:vAlign w:val="bottom"/>
          </w:tcPr>
          <w:p>
            <w:pPr>
              <w:jc w:val="center"/>
              <w:ind w:left="417"/>
              <w:spacing w:after="0"/>
              <w:rPr>
                <w:sz w:val="20"/>
                <w:szCs w:val="20"/>
                <w:color w:val="auto"/>
              </w:rPr>
            </w:pPr>
            <w:r>
              <w:rPr>
                <w:rFonts w:ascii="Arial" w:cs="Arial" w:eastAsia="Arial" w:hAnsi="Arial"/>
                <w:sz w:val="11"/>
                <w:szCs w:val="11"/>
                <w:b w:val="1"/>
                <w:bCs w:val="1"/>
                <w:color w:val="auto"/>
                <w:w w:val="97"/>
              </w:rPr>
              <w:t>2018</w:t>
            </w:r>
          </w:p>
        </w:tc>
        <w:tc>
          <w:tcPr>
            <w:tcW w:w="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360" w:type="dxa"/>
            <w:vAlign w:val="bottom"/>
            <w:gridSpan w:val="4"/>
          </w:tcPr>
          <w:p>
            <w:pPr>
              <w:jc w:val="center"/>
              <w:ind w:right="80"/>
              <w:spacing w:after="0"/>
              <w:rPr>
                <w:sz w:val="20"/>
                <w:szCs w:val="20"/>
                <w:color w:val="auto"/>
              </w:rPr>
            </w:pPr>
            <w:r>
              <w:rPr>
                <w:rFonts w:ascii="Arial" w:cs="Arial" w:eastAsia="Arial" w:hAnsi="Arial"/>
                <w:sz w:val="11"/>
                <w:szCs w:val="11"/>
                <w:b w:val="1"/>
                <w:bCs w:val="1"/>
                <w:color w:val="auto"/>
                <w:w w:val="97"/>
              </w:rPr>
              <w:t>March 31, 2018</w:t>
            </w:r>
          </w:p>
        </w:tc>
        <w:tc>
          <w:tcPr>
            <w:tcW w:w="1280" w:type="dxa"/>
            <w:vAlign w:val="bottom"/>
            <w:gridSpan w:val="3"/>
          </w:tcPr>
          <w:p>
            <w:pPr>
              <w:jc w:val="right"/>
              <w:ind w:right="180"/>
              <w:spacing w:after="0"/>
              <w:rPr>
                <w:sz w:val="20"/>
                <w:szCs w:val="20"/>
                <w:color w:val="auto"/>
              </w:rPr>
            </w:pPr>
            <w:r>
              <w:rPr>
                <w:rFonts w:ascii="Arial" w:cs="Arial" w:eastAsia="Arial" w:hAnsi="Arial"/>
                <w:sz w:val="11"/>
                <w:szCs w:val="11"/>
                <w:b w:val="1"/>
                <w:bCs w:val="1"/>
                <w:color w:val="auto"/>
              </w:rPr>
              <w:t>December 31, 2017</w:t>
            </w:r>
          </w:p>
        </w:tc>
        <w:tc>
          <w:tcPr>
            <w:tcW w:w="0" w:type="dxa"/>
            <w:vAlign w:val="bottom"/>
          </w:tcPr>
          <w:p>
            <w:pPr>
              <w:spacing w:after="0"/>
              <w:rPr>
                <w:sz w:val="1"/>
                <w:szCs w:val="1"/>
                <w:color w:val="auto"/>
              </w:rPr>
            </w:pPr>
          </w:p>
        </w:tc>
      </w:tr>
      <w:tr>
        <w:trPr>
          <w:trHeight w:val="146"/>
        </w:trPr>
        <w:tc>
          <w:tcPr>
            <w:tcW w:w="1860" w:type="dxa"/>
            <w:vAlign w:val="bottom"/>
            <w:tcBorders>
              <w:top w:val="single" w:sz="8" w:color="CCEEFF"/>
            </w:tcBorders>
            <w:gridSpan w:val="2"/>
            <w:shd w:val="clear" w:color="auto" w:fill="CCEEFF"/>
          </w:tcPr>
          <w:p>
            <w:pPr>
              <w:ind w:left="20"/>
              <w:spacing w:after="0"/>
              <w:rPr>
                <w:sz w:val="20"/>
                <w:szCs w:val="20"/>
                <w:color w:val="auto"/>
              </w:rPr>
            </w:pPr>
            <w:r>
              <w:rPr>
                <w:rFonts w:ascii="Arial" w:cs="Arial" w:eastAsia="Arial" w:hAnsi="Arial"/>
                <w:sz w:val="11"/>
                <w:szCs w:val="11"/>
                <w:color w:val="auto"/>
              </w:rPr>
              <w:t>Residential customer information:</w:t>
            </w:r>
          </w:p>
        </w:tc>
        <w:tc>
          <w:tcPr>
            <w:tcW w:w="1260" w:type="dxa"/>
            <w:vAlign w:val="bottom"/>
            <w:tcBorders>
              <w:top w:val="single" w:sz="8" w:color="auto"/>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1120" w:type="dxa"/>
            <w:vAlign w:val="bottom"/>
            <w:tcBorders>
              <w:top w:val="single" w:sz="8" w:color="auto"/>
            </w:tcBorders>
            <w:shd w:val="clear" w:color="auto" w:fill="CCEEFF"/>
          </w:tcPr>
          <w:p>
            <w:pPr>
              <w:spacing w:after="0"/>
              <w:rPr>
                <w:sz w:val="12"/>
                <w:szCs w:val="12"/>
                <w:color w:val="auto"/>
              </w:rPr>
            </w:pPr>
          </w:p>
        </w:tc>
        <w:tc>
          <w:tcPr>
            <w:tcW w:w="140" w:type="dxa"/>
            <w:vAlign w:val="bottom"/>
            <w:tcBorders>
              <w:top w:val="single" w:sz="8" w:color="auto"/>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960" w:type="dxa"/>
            <w:vAlign w:val="bottom"/>
            <w:tcBorders>
              <w:top w:val="single" w:sz="8" w:color="auto"/>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220" w:type="dxa"/>
            <w:vAlign w:val="bottom"/>
            <w:tcBorders>
              <w:top w:val="single" w:sz="8" w:color="auto"/>
            </w:tcBorders>
            <w:shd w:val="clear" w:color="auto" w:fill="CCEEFF"/>
          </w:tcPr>
          <w:p>
            <w:pPr>
              <w:spacing w:after="0"/>
              <w:rPr>
                <w:sz w:val="12"/>
                <w:szCs w:val="12"/>
                <w:color w:val="auto"/>
              </w:rPr>
            </w:pPr>
          </w:p>
        </w:tc>
        <w:tc>
          <w:tcPr>
            <w:tcW w:w="80" w:type="dxa"/>
            <w:vAlign w:val="bottom"/>
            <w:tcBorders>
              <w:top w:val="single" w:sz="8" w:color="CCEEFF"/>
            </w:tcBorders>
            <w:shd w:val="clear" w:color="auto" w:fill="CCEEFF"/>
          </w:tcPr>
          <w:p>
            <w:pPr>
              <w:spacing w:after="0"/>
              <w:rPr>
                <w:sz w:val="12"/>
                <w:szCs w:val="12"/>
                <w:color w:val="auto"/>
              </w:rPr>
            </w:pPr>
          </w:p>
        </w:tc>
        <w:tc>
          <w:tcPr>
            <w:tcW w:w="800" w:type="dxa"/>
            <w:vAlign w:val="bottom"/>
            <w:tcBorders>
              <w:top w:val="single" w:sz="8" w:color="auto"/>
            </w:tcBorders>
            <w:shd w:val="clear" w:color="auto" w:fill="CCEEFF"/>
          </w:tcPr>
          <w:p>
            <w:pPr>
              <w:spacing w:after="0"/>
              <w:rPr>
                <w:sz w:val="12"/>
                <w:szCs w:val="12"/>
                <w:color w:val="auto"/>
              </w:rPr>
            </w:pPr>
          </w:p>
        </w:tc>
        <w:tc>
          <w:tcPr>
            <w:tcW w:w="160" w:type="dxa"/>
            <w:vAlign w:val="bottom"/>
            <w:tcBorders>
              <w:top w:val="single" w:sz="8" w:color="auto"/>
            </w:tcBorders>
            <w:shd w:val="clear" w:color="auto" w:fill="CCEEFF"/>
          </w:tcPr>
          <w:p>
            <w:pPr>
              <w:spacing w:after="0"/>
              <w:rPr>
                <w:sz w:val="12"/>
                <w:szCs w:val="12"/>
                <w:color w:val="auto"/>
              </w:rPr>
            </w:pPr>
          </w:p>
        </w:tc>
        <w:tc>
          <w:tcPr>
            <w:tcW w:w="120" w:type="dxa"/>
            <w:vAlign w:val="bottom"/>
            <w:tcBorders>
              <w:top w:val="single" w:sz="8" w:color="auto"/>
            </w:tcBorders>
            <w:shd w:val="clear" w:color="auto" w:fill="CCEEFF"/>
          </w:tcPr>
          <w:p>
            <w:pPr>
              <w:spacing w:after="0"/>
              <w:rPr>
                <w:sz w:val="12"/>
                <w:szCs w:val="12"/>
                <w:color w:val="auto"/>
              </w:rPr>
            </w:pPr>
          </w:p>
        </w:tc>
        <w:tc>
          <w:tcPr>
            <w:tcW w:w="200" w:type="dxa"/>
            <w:vAlign w:val="bottom"/>
            <w:tcBorders>
              <w:top w:val="single" w:sz="8" w:color="auto"/>
            </w:tcBorders>
            <w:shd w:val="clear" w:color="auto" w:fill="CCEEFF"/>
          </w:tcPr>
          <w:p>
            <w:pPr>
              <w:spacing w:after="0"/>
              <w:rPr>
                <w:sz w:val="12"/>
                <w:szCs w:val="12"/>
                <w:color w:val="auto"/>
              </w:rPr>
            </w:pPr>
          </w:p>
        </w:tc>
        <w:tc>
          <w:tcPr>
            <w:tcW w:w="80" w:type="dxa"/>
            <w:vAlign w:val="bottom"/>
            <w:tcBorders>
              <w:top w:val="single" w:sz="8" w:color="CCEEFF"/>
            </w:tcBorders>
            <w:shd w:val="clear" w:color="auto" w:fill="CCEEFF"/>
          </w:tcPr>
          <w:p>
            <w:pPr>
              <w:spacing w:after="0"/>
              <w:rPr>
                <w:sz w:val="12"/>
                <w:szCs w:val="12"/>
                <w:color w:val="auto"/>
              </w:rPr>
            </w:pPr>
          </w:p>
        </w:tc>
        <w:tc>
          <w:tcPr>
            <w:tcW w:w="920" w:type="dxa"/>
            <w:vAlign w:val="bottom"/>
            <w:tcBorders>
              <w:top w:val="single" w:sz="8" w:color="auto"/>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280" w:type="dxa"/>
            <w:vAlign w:val="bottom"/>
            <w:tcBorders>
              <w:top w:val="single" w:sz="8" w:color="auto"/>
            </w:tcBorders>
            <w:shd w:val="clear" w:color="auto" w:fill="CCEEFF"/>
          </w:tcPr>
          <w:p>
            <w:pPr>
              <w:spacing w:after="0"/>
              <w:rPr>
                <w:sz w:val="12"/>
                <w:szCs w:val="12"/>
                <w:color w:val="auto"/>
              </w:rPr>
            </w:pPr>
          </w:p>
        </w:tc>
        <w:tc>
          <w:tcPr>
            <w:tcW w:w="80" w:type="dxa"/>
            <w:vAlign w:val="bottom"/>
            <w:tcBorders>
              <w:top w:val="single" w:sz="8" w:color="CCEEFF"/>
            </w:tcBorders>
            <w:shd w:val="clear" w:color="auto" w:fill="CCEEFF"/>
          </w:tcPr>
          <w:p>
            <w:pPr>
              <w:spacing w:after="0"/>
              <w:rPr>
                <w:sz w:val="12"/>
                <w:szCs w:val="12"/>
                <w:color w:val="auto"/>
              </w:rPr>
            </w:pPr>
          </w:p>
        </w:tc>
        <w:tc>
          <w:tcPr>
            <w:tcW w:w="760" w:type="dxa"/>
            <w:vAlign w:val="bottom"/>
            <w:tcBorders>
              <w:top w:val="single" w:sz="8" w:color="auto"/>
            </w:tcBorders>
            <w:shd w:val="clear" w:color="auto" w:fill="CCEEFF"/>
          </w:tcPr>
          <w:p>
            <w:pPr>
              <w:spacing w:after="0"/>
              <w:rPr>
                <w:sz w:val="12"/>
                <w:szCs w:val="12"/>
                <w:color w:val="auto"/>
              </w:rPr>
            </w:pPr>
          </w:p>
        </w:tc>
        <w:tc>
          <w:tcPr>
            <w:tcW w:w="140" w:type="dxa"/>
            <w:vAlign w:val="bottom"/>
            <w:tcBorders>
              <w:top w:val="single" w:sz="8" w:color="auto"/>
            </w:tcBorders>
            <w:shd w:val="clear" w:color="auto" w:fill="CCEEFF"/>
          </w:tcPr>
          <w:p>
            <w:pPr>
              <w:spacing w:after="0"/>
              <w:rPr>
                <w:sz w:val="12"/>
                <w:szCs w:val="12"/>
                <w:color w:val="auto"/>
              </w:rPr>
            </w:pPr>
          </w:p>
        </w:tc>
        <w:tc>
          <w:tcPr>
            <w:tcW w:w="380" w:type="dxa"/>
            <w:vAlign w:val="bottom"/>
            <w:tcBorders>
              <w:top w:val="single" w:sz="8" w:color="auto"/>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7"/>
        </w:trPr>
        <w:tc>
          <w:tcPr>
            <w:tcW w:w="1860" w:type="dxa"/>
            <w:vAlign w:val="bottom"/>
            <w:gridSpan w:val="2"/>
          </w:tcPr>
          <w:p>
            <w:pPr>
              <w:ind w:left="20"/>
              <w:spacing w:after="0"/>
              <w:rPr>
                <w:sz w:val="20"/>
                <w:szCs w:val="20"/>
                <w:color w:val="auto"/>
              </w:rPr>
            </w:pPr>
            <w:r>
              <w:rPr>
                <w:rFonts w:ascii="Arial" w:cs="Arial" w:eastAsia="Arial" w:hAnsi="Arial"/>
                <w:sz w:val="11"/>
                <w:szCs w:val="11"/>
                <w:color w:val="auto"/>
              </w:rPr>
              <w:t>Households served</w:t>
            </w:r>
          </w:p>
        </w:tc>
        <w:tc>
          <w:tcPr>
            <w:tcW w:w="1260" w:type="dxa"/>
            <w:vAlign w:val="bottom"/>
          </w:tcPr>
          <w:p>
            <w:pPr>
              <w:jc w:val="right"/>
              <w:spacing w:after="0"/>
              <w:rPr>
                <w:sz w:val="20"/>
                <w:szCs w:val="20"/>
                <w:color w:val="auto"/>
              </w:rPr>
            </w:pPr>
            <w:r>
              <w:rPr>
                <w:rFonts w:ascii="Arial" w:cs="Arial" w:eastAsia="Arial" w:hAnsi="Arial"/>
                <w:sz w:val="11"/>
                <w:szCs w:val="11"/>
                <w:color w:val="auto"/>
              </w:rPr>
              <w:t>40,338</w:t>
            </w:r>
          </w:p>
        </w:tc>
        <w:tc>
          <w:tcPr>
            <w:tcW w:w="100" w:type="dxa"/>
            <w:vAlign w:val="bottom"/>
          </w:tcPr>
          <w:p>
            <w:pPr>
              <w:spacing w:after="0"/>
              <w:rPr>
                <w:sz w:val="13"/>
                <w:szCs w:val="13"/>
                <w:color w:val="auto"/>
              </w:rPr>
            </w:pPr>
          </w:p>
        </w:tc>
        <w:tc>
          <w:tcPr>
            <w:tcW w:w="1260" w:type="dxa"/>
            <w:vAlign w:val="bottom"/>
            <w:gridSpan w:val="2"/>
          </w:tcPr>
          <w:p>
            <w:pPr>
              <w:jc w:val="right"/>
              <w:spacing w:after="0"/>
              <w:rPr>
                <w:sz w:val="20"/>
                <w:szCs w:val="20"/>
                <w:color w:val="auto"/>
              </w:rPr>
            </w:pPr>
            <w:r>
              <w:rPr>
                <w:rFonts w:ascii="Arial" w:cs="Arial" w:eastAsia="Arial" w:hAnsi="Arial"/>
                <w:sz w:val="11"/>
                <w:szCs w:val="11"/>
                <w:color w:val="auto"/>
              </w:rPr>
              <w:t>37,351</w:t>
            </w:r>
          </w:p>
        </w:tc>
        <w:tc>
          <w:tcPr>
            <w:tcW w:w="100" w:type="dxa"/>
            <w:vAlign w:val="bottom"/>
          </w:tcPr>
          <w:p>
            <w:pPr>
              <w:spacing w:after="0"/>
              <w:rPr>
                <w:sz w:val="13"/>
                <w:szCs w:val="13"/>
                <w:color w:val="auto"/>
              </w:rPr>
            </w:pPr>
          </w:p>
        </w:tc>
        <w:tc>
          <w:tcPr>
            <w:tcW w:w="1260" w:type="dxa"/>
            <w:vAlign w:val="bottom"/>
            <w:gridSpan w:val="3"/>
          </w:tcPr>
          <w:p>
            <w:pPr>
              <w:jc w:val="right"/>
              <w:ind w:right="40"/>
              <w:spacing w:after="0"/>
              <w:rPr>
                <w:sz w:val="20"/>
                <w:szCs w:val="20"/>
                <w:color w:val="auto"/>
              </w:rPr>
            </w:pPr>
            <w:r>
              <w:rPr>
                <w:rFonts w:ascii="Arial" w:cs="Arial" w:eastAsia="Arial" w:hAnsi="Arial"/>
                <w:sz w:val="11"/>
                <w:szCs w:val="11"/>
                <w:color w:val="auto"/>
              </w:rPr>
              <w:t>32,529</w:t>
            </w:r>
          </w:p>
        </w:tc>
        <w:tc>
          <w:tcPr>
            <w:tcW w:w="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480" w:type="dxa"/>
            <w:vAlign w:val="bottom"/>
            <w:gridSpan w:val="3"/>
          </w:tcPr>
          <w:p>
            <w:pPr>
              <w:jc w:val="right"/>
              <w:spacing w:after="0"/>
              <w:rPr>
                <w:sz w:val="20"/>
                <w:szCs w:val="20"/>
                <w:color w:val="auto"/>
              </w:rPr>
            </w:pPr>
            <w:r>
              <w:rPr>
                <w:rFonts w:ascii="Arial" w:cs="Arial" w:eastAsia="Arial" w:hAnsi="Arial"/>
                <w:sz w:val="11"/>
                <w:szCs w:val="11"/>
                <w:color w:val="auto"/>
              </w:rPr>
              <w:t>27,643</w:t>
            </w:r>
          </w:p>
        </w:tc>
        <w:tc>
          <w:tcPr>
            <w:tcW w:w="80" w:type="dxa"/>
            <w:vAlign w:val="bottom"/>
          </w:tcPr>
          <w:p>
            <w:pPr>
              <w:spacing w:after="0"/>
              <w:rPr>
                <w:sz w:val="13"/>
                <w:szCs w:val="13"/>
                <w:color w:val="auto"/>
              </w:rPr>
            </w:pPr>
          </w:p>
        </w:tc>
        <w:tc>
          <w:tcPr>
            <w:tcW w:w="1280" w:type="dxa"/>
            <w:vAlign w:val="bottom"/>
            <w:gridSpan w:val="3"/>
          </w:tcPr>
          <w:p>
            <w:pPr>
              <w:jc w:val="right"/>
              <w:ind w:right="40"/>
              <w:spacing w:after="0"/>
              <w:rPr>
                <w:sz w:val="20"/>
                <w:szCs w:val="20"/>
                <w:color w:val="auto"/>
              </w:rPr>
            </w:pPr>
            <w:r>
              <w:rPr>
                <w:rFonts w:ascii="Arial" w:cs="Arial" w:eastAsia="Arial" w:hAnsi="Arial"/>
                <w:sz w:val="11"/>
                <w:szCs w:val="11"/>
                <w:color w:val="auto"/>
              </w:rPr>
              <w:t>23,541</w:t>
            </w:r>
          </w:p>
        </w:tc>
        <w:tc>
          <w:tcPr>
            <w:tcW w:w="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20" w:type="dxa"/>
            <w:vAlign w:val="bottom"/>
            <w:gridSpan w:val="2"/>
          </w:tcPr>
          <w:p>
            <w:pPr>
              <w:jc w:val="right"/>
              <w:ind w:right="60"/>
              <w:spacing w:after="0"/>
              <w:rPr>
                <w:sz w:val="20"/>
                <w:szCs w:val="20"/>
                <w:color w:val="auto"/>
              </w:rPr>
            </w:pPr>
            <w:r>
              <w:rPr>
                <w:rFonts w:ascii="Arial" w:cs="Arial" w:eastAsia="Arial" w:hAnsi="Arial"/>
                <w:sz w:val="11"/>
                <w:szCs w:val="11"/>
                <w:color w:val="auto"/>
              </w:rPr>
              <w:t>20,428</w:t>
            </w:r>
          </w:p>
        </w:tc>
        <w:tc>
          <w:tcPr>
            <w:tcW w:w="0" w:type="dxa"/>
            <w:vAlign w:val="bottom"/>
          </w:tcPr>
          <w:p>
            <w:pPr>
              <w:spacing w:after="0"/>
              <w:rPr>
                <w:sz w:val="1"/>
                <w:szCs w:val="1"/>
                <w:color w:val="auto"/>
              </w:rPr>
            </w:pPr>
          </w:p>
        </w:tc>
      </w:tr>
      <w:tr>
        <w:trPr>
          <w:trHeight w:val="166"/>
        </w:trPr>
        <w:tc>
          <w:tcPr>
            <w:tcW w:w="1860" w:type="dxa"/>
            <w:vAlign w:val="bottom"/>
            <w:gridSpan w:val="2"/>
            <w:shd w:val="clear" w:color="auto" w:fill="CCEEFF"/>
          </w:tcPr>
          <w:p>
            <w:pPr>
              <w:ind w:left="20"/>
              <w:spacing w:after="0"/>
              <w:rPr>
                <w:sz w:val="20"/>
                <w:szCs w:val="20"/>
                <w:color w:val="auto"/>
              </w:rPr>
            </w:pPr>
            <w:r>
              <w:rPr>
                <w:rFonts w:ascii="Arial" w:cs="Arial" w:eastAsia="Arial" w:hAnsi="Arial"/>
                <w:sz w:val="11"/>
                <w:szCs w:val="11"/>
                <w:color w:val="auto"/>
              </w:rPr>
              <w:t>Households passed (b)</w:t>
            </w:r>
          </w:p>
        </w:tc>
        <w:tc>
          <w:tcPr>
            <w:tcW w:w="1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127,253</w:t>
            </w:r>
          </w:p>
        </w:tc>
        <w:tc>
          <w:tcPr>
            <w:tcW w:w="100" w:type="dxa"/>
            <w:vAlign w:val="bottom"/>
            <w:shd w:val="clear" w:color="auto" w:fill="CCEEFF"/>
          </w:tcPr>
          <w:p>
            <w:pPr>
              <w:spacing w:after="0"/>
              <w:rPr>
                <w:sz w:val="14"/>
                <w:szCs w:val="14"/>
                <w:color w:val="auto"/>
              </w:rPr>
            </w:pPr>
          </w:p>
        </w:tc>
        <w:tc>
          <w:tcPr>
            <w:tcW w:w="1260" w:type="dxa"/>
            <w:vAlign w:val="bottom"/>
            <w:gridSpan w:val="2"/>
            <w:shd w:val="clear" w:color="auto" w:fill="CCEEFF"/>
          </w:tcPr>
          <w:p>
            <w:pPr>
              <w:jc w:val="right"/>
              <w:spacing w:after="0"/>
              <w:rPr>
                <w:sz w:val="20"/>
                <w:szCs w:val="20"/>
                <w:color w:val="auto"/>
              </w:rPr>
            </w:pPr>
            <w:r>
              <w:rPr>
                <w:rFonts w:ascii="Arial" w:cs="Arial" w:eastAsia="Arial" w:hAnsi="Arial"/>
                <w:sz w:val="11"/>
                <w:szCs w:val="11"/>
                <w:color w:val="auto"/>
              </w:rPr>
              <w:t>122,396</w:t>
            </w:r>
          </w:p>
        </w:tc>
        <w:tc>
          <w:tcPr>
            <w:tcW w:w="100" w:type="dxa"/>
            <w:vAlign w:val="bottom"/>
            <w:shd w:val="clear" w:color="auto" w:fill="CCEEFF"/>
          </w:tcPr>
          <w:p>
            <w:pPr>
              <w:spacing w:after="0"/>
              <w:rPr>
                <w:sz w:val="14"/>
                <w:szCs w:val="14"/>
                <w:color w:val="auto"/>
              </w:rPr>
            </w:pPr>
          </w:p>
        </w:tc>
        <w:tc>
          <w:tcPr>
            <w:tcW w:w="1260" w:type="dxa"/>
            <w:vAlign w:val="bottom"/>
            <w:gridSpan w:val="3"/>
            <w:shd w:val="clear" w:color="auto" w:fill="CCEEFF"/>
          </w:tcPr>
          <w:p>
            <w:pPr>
              <w:jc w:val="right"/>
              <w:ind w:right="40"/>
              <w:spacing w:after="0"/>
              <w:rPr>
                <w:sz w:val="20"/>
                <w:szCs w:val="20"/>
                <w:color w:val="auto"/>
              </w:rPr>
            </w:pPr>
            <w:r>
              <w:rPr>
                <w:rFonts w:ascii="Arial" w:cs="Arial" w:eastAsia="Arial" w:hAnsi="Arial"/>
                <w:sz w:val="11"/>
                <w:szCs w:val="11"/>
                <w:color w:val="auto"/>
              </w:rPr>
              <w:t>110,687</w:t>
            </w:r>
          </w:p>
        </w:tc>
        <w:tc>
          <w:tcPr>
            <w:tcW w:w="8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480" w:type="dxa"/>
            <w:vAlign w:val="bottom"/>
            <w:gridSpan w:val="3"/>
            <w:shd w:val="clear" w:color="auto" w:fill="CCEEFF"/>
          </w:tcPr>
          <w:p>
            <w:pPr>
              <w:jc w:val="right"/>
              <w:spacing w:after="0"/>
              <w:rPr>
                <w:sz w:val="20"/>
                <w:szCs w:val="20"/>
                <w:color w:val="auto"/>
              </w:rPr>
            </w:pPr>
            <w:r>
              <w:rPr>
                <w:rFonts w:ascii="Arial" w:cs="Arial" w:eastAsia="Arial" w:hAnsi="Arial"/>
                <w:sz w:val="11"/>
                <w:szCs w:val="11"/>
                <w:color w:val="auto"/>
              </w:rPr>
              <w:t>98,538</w:t>
            </w:r>
          </w:p>
        </w:tc>
        <w:tc>
          <w:tcPr>
            <w:tcW w:w="80" w:type="dxa"/>
            <w:vAlign w:val="bottom"/>
            <w:shd w:val="clear" w:color="auto" w:fill="CCEEFF"/>
          </w:tcPr>
          <w:p>
            <w:pPr>
              <w:spacing w:after="0"/>
              <w:rPr>
                <w:sz w:val="14"/>
                <w:szCs w:val="14"/>
                <w:color w:val="auto"/>
              </w:rPr>
            </w:pPr>
          </w:p>
        </w:tc>
        <w:tc>
          <w:tcPr>
            <w:tcW w:w="1280" w:type="dxa"/>
            <w:vAlign w:val="bottom"/>
            <w:gridSpan w:val="3"/>
            <w:shd w:val="clear" w:color="auto" w:fill="CCEEFF"/>
          </w:tcPr>
          <w:p>
            <w:pPr>
              <w:jc w:val="right"/>
              <w:ind w:right="40"/>
              <w:spacing w:after="0"/>
              <w:rPr>
                <w:sz w:val="20"/>
                <w:szCs w:val="20"/>
                <w:color w:val="auto"/>
              </w:rPr>
            </w:pPr>
            <w:r>
              <w:rPr>
                <w:rFonts w:ascii="Arial" w:cs="Arial" w:eastAsia="Arial" w:hAnsi="Arial"/>
                <w:sz w:val="11"/>
                <w:szCs w:val="11"/>
                <w:color w:val="auto"/>
              </w:rPr>
              <w:t>84,475</w:t>
            </w:r>
          </w:p>
        </w:tc>
        <w:tc>
          <w:tcPr>
            <w:tcW w:w="8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52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71,426</w:t>
            </w:r>
          </w:p>
        </w:tc>
        <w:tc>
          <w:tcPr>
            <w:tcW w:w="0" w:type="dxa"/>
            <w:vAlign w:val="bottom"/>
          </w:tcPr>
          <w:p>
            <w:pPr>
              <w:spacing w:after="0"/>
              <w:rPr>
                <w:sz w:val="1"/>
                <w:szCs w:val="1"/>
                <w:color w:val="auto"/>
              </w:rPr>
            </w:pPr>
          </w:p>
        </w:tc>
      </w:tr>
      <w:tr>
        <w:trPr>
          <w:trHeight w:val="157"/>
        </w:trPr>
        <w:tc>
          <w:tcPr>
            <w:tcW w:w="1860" w:type="dxa"/>
            <w:vAlign w:val="bottom"/>
            <w:gridSpan w:val="2"/>
          </w:tcPr>
          <w:p>
            <w:pPr>
              <w:ind w:left="20"/>
              <w:spacing w:after="0"/>
              <w:rPr>
                <w:sz w:val="20"/>
                <w:szCs w:val="20"/>
                <w:color w:val="auto"/>
              </w:rPr>
            </w:pPr>
            <w:r>
              <w:rPr>
                <w:rFonts w:ascii="Arial" w:cs="Arial" w:eastAsia="Arial" w:hAnsi="Arial"/>
                <w:sz w:val="11"/>
                <w:szCs w:val="11"/>
                <w:color w:val="auto"/>
              </w:rPr>
              <w:t>Households served/passed</w:t>
            </w:r>
          </w:p>
        </w:tc>
        <w:tc>
          <w:tcPr>
            <w:tcW w:w="1260" w:type="dxa"/>
            <w:vAlign w:val="bottom"/>
          </w:tcPr>
          <w:p>
            <w:pPr>
              <w:jc w:val="right"/>
              <w:spacing w:after="0"/>
              <w:rPr>
                <w:sz w:val="20"/>
                <w:szCs w:val="20"/>
                <w:color w:val="auto"/>
              </w:rPr>
            </w:pPr>
            <w:r>
              <w:rPr>
                <w:rFonts w:ascii="Arial" w:cs="Arial" w:eastAsia="Arial" w:hAnsi="Arial"/>
                <w:sz w:val="11"/>
                <w:szCs w:val="11"/>
                <w:color w:val="auto"/>
              </w:rPr>
              <w:t>31.7 %</w:t>
            </w:r>
          </w:p>
        </w:tc>
        <w:tc>
          <w:tcPr>
            <w:tcW w:w="100" w:type="dxa"/>
            <w:vAlign w:val="bottom"/>
          </w:tcPr>
          <w:p>
            <w:pPr>
              <w:spacing w:after="0"/>
              <w:rPr>
                <w:sz w:val="13"/>
                <w:szCs w:val="13"/>
                <w:color w:val="auto"/>
              </w:rPr>
            </w:pPr>
          </w:p>
        </w:tc>
        <w:tc>
          <w:tcPr>
            <w:tcW w:w="1260" w:type="dxa"/>
            <w:vAlign w:val="bottom"/>
            <w:gridSpan w:val="2"/>
          </w:tcPr>
          <w:p>
            <w:pPr>
              <w:jc w:val="right"/>
              <w:spacing w:after="0"/>
              <w:rPr>
                <w:sz w:val="20"/>
                <w:szCs w:val="20"/>
                <w:color w:val="auto"/>
              </w:rPr>
            </w:pPr>
            <w:r>
              <w:rPr>
                <w:rFonts w:ascii="Arial" w:cs="Arial" w:eastAsia="Arial" w:hAnsi="Arial"/>
                <w:sz w:val="11"/>
                <w:szCs w:val="11"/>
                <w:color w:val="auto"/>
              </w:rPr>
              <w:t>30.5 %</w:t>
            </w:r>
          </w:p>
        </w:tc>
        <w:tc>
          <w:tcPr>
            <w:tcW w:w="100" w:type="dxa"/>
            <w:vAlign w:val="bottom"/>
          </w:tcPr>
          <w:p>
            <w:pPr>
              <w:spacing w:after="0"/>
              <w:rPr>
                <w:sz w:val="13"/>
                <w:szCs w:val="13"/>
                <w:color w:val="auto"/>
              </w:rPr>
            </w:pPr>
          </w:p>
        </w:tc>
        <w:tc>
          <w:tcPr>
            <w:tcW w:w="1260" w:type="dxa"/>
            <w:vAlign w:val="bottom"/>
            <w:gridSpan w:val="3"/>
          </w:tcPr>
          <w:p>
            <w:pPr>
              <w:jc w:val="right"/>
              <w:ind w:right="20"/>
              <w:spacing w:after="0"/>
              <w:rPr>
                <w:sz w:val="20"/>
                <w:szCs w:val="20"/>
                <w:color w:val="auto"/>
              </w:rPr>
            </w:pPr>
            <w:r>
              <w:rPr>
                <w:rFonts w:ascii="Arial" w:cs="Arial" w:eastAsia="Arial" w:hAnsi="Arial"/>
                <w:sz w:val="11"/>
                <w:szCs w:val="11"/>
                <w:color w:val="auto"/>
              </w:rPr>
              <w:t>29.4 %</w:t>
            </w:r>
          </w:p>
        </w:tc>
        <w:tc>
          <w:tcPr>
            <w:tcW w:w="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480" w:type="dxa"/>
            <w:vAlign w:val="bottom"/>
            <w:gridSpan w:val="3"/>
          </w:tcPr>
          <w:p>
            <w:pPr>
              <w:jc w:val="right"/>
              <w:spacing w:after="0"/>
              <w:rPr>
                <w:sz w:val="20"/>
                <w:szCs w:val="20"/>
                <w:color w:val="auto"/>
              </w:rPr>
            </w:pPr>
            <w:r>
              <w:rPr>
                <w:rFonts w:ascii="Arial" w:cs="Arial" w:eastAsia="Arial" w:hAnsi="Arial"/>
                <w:sz w:val="11"/>
                <w:szCs w:val="11"/>
                <w:color w:val="auto"/>
              </w:rPr>
              <w:t>28.1 %</w:t>
            </w:r>
          </w:p>
        </w:tc>
        <w:tc>
          <w:tcPr>
            <w:tcW w:w="80" w:type="dxa"/>
            <w:vAlign w:val="bottom"/>
          </w:tcPr>
          <w:p>
            <w:pPr>
              <w:spacing w:after="0"/>
              <w:rPr>
                <w:sz w:val="13"/>
                <w:szCs w:val="13"/>
                <w:color w:val="auto"/>
              </w:rPr>
            </w:pPr>
          </w:p>
        </w:tc>
        <w:tc>
          <w:tcPr>
            <w:tcW w:w="1280" w:type="dxa"/>
            <w:vAlign w:val="bottom"/>
            <w:gridSpan w:val="3"/>
          </w:tcPr>
          <w:p>
            <w:pPr>
              <w:jc w:val="right"/>
              <w:ind w:right="20"/>
              <w:spacing w:after="0"/>
              <w:rPr>
                <w:sz w:val="20"/>
                <w:szCs w:val="20"/>
                <w:color w:val="auto"/>
              </w:rPr>
            </w:pPr>
            <w:r>
              <w:rPr>
                <w:rFonts w:ascii="Arial" w:cs="Arial" w:eastAsia="Arial" w:hAnsi="Arial"/>
                <w:sz w:val="11"/>
                <w:szCs w:val="11"/>
                <w:color w:val="auto"/>
              </w:rPr>
              <w:t>27.9 %</w:t>
            </w:r>
          </w:p>
        </w:tc>
        <w:tc>
          <w:tcPr>
            <w:tcW w:w="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20" w:type="dxa"/>
            <w:vAlign w:val="bottom"/>
            <w:gridSpan w:val="2"/>
          </w:tcPr>
          <w:p>
            <w:pPr>
              <w:jc w:val="right"/>
              <w:ind w:right="20"/>
              <w:spacing w:after="0"/>
              <w:rPr>
                <w:sz w:val="20"/>
                <w:szCs w:val="20"/>
                <w:color w:val="auto"/>
              </w:rPr>
            </w:pPr>
            <w:r>
              <w:rPr>
                <w:rFonts w:ascii="Arial" w:cs="Arial" w:eastAsia="Arial" w:hAnsi="Arial"/>
                <w:sz w:val="11"/>
                <w:szCs w:val="11"/>
                <w:color w:val="auto"/>
              </w:rPr>
              <w:t>28.6 %</w:t>
            </w:r>
          </w:p>
        </w:tc>
        <w:tc>
          <w:tcPr>
            <w:tcW w:w="0" w:type="dxa"/>
            <w:vAlign w:val="bottom"/>
          </w:tcPr>
          <w:p>
            <w:pPr>
              <w:spacing w:after="0"/>
              <w:rPr>
                <w:sz w:val="1"/>
                <w:szCs w:val="1"/>
                <w:color w:val="auto"/>
              </w:rPr>
            </w:pPr>
          </w:p>
        </w:tc>
      </w:tr>
      <w:tr>
        <w:trPr>
          <w:trHeight w:val="166"/>
        </w:trPr>
        <w:tc>
          <w:tcPr>
            <w:tcW w:w="1860" w:type="dxa"/>
            <w:vAlign w:val="bottom"/>
            <w:gridSpan w:val="2"/>
            <w:shd w:val="clear" w:color="auto" w:fill="CCEEFF"/>
          </w:tcPr>
          <w:p>
            <w:pPr>
              <w:ind w:left="20"/>
              <w:spacing w:after="0"/>
              <w:rPr>
                <w:sz w:val="20"/>
                <w:szCs w:val="20"/>
                <w:color w:val="auto"/>
              </w:rPr>
            </w:pPr>
            <w:r>
              <w:rPr>
                <w:rFonts w:ascii="Arial" w:cs="Arial" w:eastAsia="Arial" w:hAnsi="Arial"/>
                <w:sz w:val="11"/>
                <w:szCs w:val="11"/>
                <w:color w:val="auto"/>
                <w:w w:val="95"/>
              </w:rPr>
              <w:t>Total households in current markets (c)</w:t>
            </w:r>
          </w:p>
        </w:tc>
        <w:tc>
          <w:tcPr>
            <w:tcW w:w="1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152,840</w:t>
            </w:r>
          </w:p>
        </w:tc>
        <w:tc>
          <w:tcPr>
            <w:tcW w:w="100" w:type="dxa"/>
            <w:vAlign w:val="bottom"/>
            <w:shd w:val="clear" w:color="auto" w:fill="CCEEFF"/>
          </w:tcPr>
          <w:p>
            <w:pPr>
              <w:spacing w:after="0"/>
              <w:rPr>
                <w:sz w:val="14"/>
                <w:szCs w:val="14"/>
                <w:color w:val="auto"/>
              </w:rPr>
            </w:pPr>
          </w:p>
        </w:tc>
        <w:tc>
          <w:tcPr>
            <w:tcW w:w="1260" w:type="dxa"/>
            <w:vAlign w:val="bottom"/>
            <w:gridSpan w:val="2"/>
            <w:shd w:val="clear" w:color="auto" w:fill="CCEEFF"/>
          </w:tcPr>
          <w:p>
            <w:pPr>
              <w:jc w:val="right"/>
              <w:spacing w:after="0"/>
              <w:rPr>
                <w:sz w:val="20"/>
                <w:szCs w:val="20"/>
                <w:color w:val="auto"/>
              </w:rPr>
            </w:pPr>
            <w:r>
              <w:rPr>
                <w:rFonts w:ascii="Arial" w:cs="Arial" w:eastAsia="Arial" w:hAnsi="Arial"/>
                <w:sz w:val="11"/>
                <w:szCs w:val="11"/>
                <w:color w:val="auto"/>
              </w:rPr>
              <w:t>152,840</w:t>
            </w:r>
          </w:p>
        </w:tc>
        <w:tc>
          <w:tcPr>
            <w:tcW w:w="100" w:type="dxa"/>
            <w:vAlign w:val="bottom"/>
            <w:shd w:val="clear" w:color="auto" w:fill="CCEEFF"/>
          </w:tcPr>
          <w:p>
            <w:pPr>
              <w:spacing w:after="0"/>
              <w:rPr>
                <w:sz w:val="14"/>
                <w:szCs w:val="14"/>
                <w:color w:val="auto"/>
              </w:rPr>
            </w:pPr>
          </w:p>
        </w:tc>
        <w:tc>
          <w:tcPr>
            <w:tcW w:w="1260" w:type="dxa"/>
            <w:vAlign w:val="bottom"/>
            <w:gridSpan w:val="3"/>
            <w:shd w:val="clear" w:color="auto" w:fill="CCEEFF"/>
          </w:tcPr>
          <w:p>
            <w:pPr>
              <w:jc w:val="right"/>
              <w:ind w:right="40"/>
              <w:spacing w:after="0"/>
              <w:rPr>
                <w:sz w:val="20"/>
                <w:szCs w:val="20"/>
                <w:color w:val="auto"/>
              </w:rPr>
            </w:pPr>
            <w:r>
              <w:rPr>
                <w:rFonts w:ascii="Arial" w:cs="Arial" w:eastAsia="Arial" w:hAnsi="Arial"/>
                <w:sz w:val="11"/>
                <w:szCs w:val="11"/>
                <w:color w:val="auto"/>
              </w:rPr>
              <w:t>142,602</w:t>
            </w:r>
          </w:p>
        </w:tc>
        <w:tc>
          <w:tcPr>
            <w:tcW w:w="8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480" w:type="dxa"/>
            <w:vAlign w:val="bottom"/>
            <w:gridSpan w:val="3"/>
            <w:shd w:val="clear" w:color="auto" w:fill="CCEEFF"/>
          </w:tcPr>
          <w:p>
            <w:pPr>
              <w:jc w:val="right"/>
              <w:spacing w:after="0"/>
              <w:rPr>
                <w:sz w:val="20"/>
                <w:szCs w:val="20"/>
                <w:color w:val="auto"/>
              </w:rPr>
            </w:pPr>
            <w:r>
              <w:rPr>
                <w:rFonts w:ascii="Arial" w:cs="Arial" w:eastAsia="Arial" w:hAnsi="Arial"/>
                <w:sz w:val="11"/>
                <w:szCs w:val="11"/>
                <w:color w:val="auto"/>
              </w:rPr>
              <w:t>137,500</w:t>
            </w:r>
          </w:p>
        </w:tc>
        <w:tc>
          <w:tcPr>
            <w:tcW w:w="80" w:type="dxa"/>
            <w:vAlign w:val="bottom"/>
            <w:shd w:val="clear" w:color="auto" w:fill="CCEEFF"/>
          </w:tcPr>
          <w:p>
            <w:pPr>
              <w:spacing w:after="0"/>
              <w:rPr>
                <w:sz w:val="14"/>
                <w:szCs w:val="14"/>
                <w:color w:val="auto"/>
              </w:rPr>
            </w:pPr>
          </w:p>
        </w:tc>
        <w:tc>
          <w:tcPr>
            <w:tcW w:w="1280" w:type="dxa"/>
            <w:vAlign w:val="bottom"/>
            <w:gridSpan w:val="3"/>
            <w:shd w:val="clear" w:color="auto" w:fill="CCEEFF"/>
          </w:tcPr>
          <w:p>
            <w:pPr>
              <w:jc w:val="right"/>
              <w:ind w:right="40"/>
              <w:spacing w:after="0"/>
              <w:rPr>
                <w:sz w:val="20"/>
                <w:szCs w:val="20"/>
                <w:color w:val="auto"/>
              </w:rPr>
            </w:pPr>
            <w:r>
              <w:rPr>
                <w:rFonts w:ascii="Arial" w:cs="Arial" w:eastAsia="Arial" w:hAnsi="Arial"/>
                <w:sz w:val="11"/>
                <w:szCs w:val="11"/>
                <w:color w:val="auto"/>
              </w:rPr>
              <w:t>137,500</w:t>
            </w:r>
          </w:p>
        </w:tc>
        <w:tc>
          <w:tcPr>
            <w:tcW w:w="8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52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137,500</w:t>
            </w:r>
          </w:p>
        </w:tc>
        <w:tc>
          <w:tcPr>
            <w:tcW w:w="0" w:type="dxa"/>
            <w:vAlign w:val="bottom"/>
          </w:tcPr>
          <w:p>
            <w:pPr>
              <w:spacing w:after="0"/>
              <w:rPr>
                <w:sz w:val="1"/>
                <w:szCs w:val="1"/>
                <w:color w:val="auto"/>
              </w:rPr>
            </w:pPr>
          </w:p>
        </w:tc>
      </w:tr>
    </w:tbl>
    <w:p>
      <w:pPr>
        <w:spacing w:after="0" w:line="313" w:lineRule="exact"/>
        <w:rPr>
          <w:sz w:val="20"/>
          <w:szCs w:val="20"/>
          <w:color w:val="auto"/>
        </w:rPr>
      </w:pPr>
    </w:p>
    <w:p>
      <w:pPr>
        <w:ind w:left="520" w:hanging="514"/>
        <w:spacing w:after="0" w:line="283" w:lineRule="auto"/>
        <w:tabs>
          <w:tab w:leader="none" w:pos="201" w:val="left"/>
        </w:tabs>
        <w:numPr>
          <w:ilvl w:val="0"/>
          <w:numId w:val="27"/>
        </w:numPr>
        <w:rPr>
          <w:rFonts w:ascii="Arial" w:cs="Arial" w:eastAsia="Arial" w:hAnsi="Arial"/>
          <w:sz w:val="13"/>
          <w:szCs w:val="13"/>
          <w:color w:val="auto"/>
        </w:rPr>
      </w:pPr>
      <w:r>
        <w:rPr>
          <w:rFonts w:ascii="Arial" w:cs="Arial" w:eastAsia="Arial" w:hAnsi="Arial"/>
          <w:sz w:val="13"/>
          <w:szCs w:val="13"/>
          <w:color w:val="auto"/>
        </w:rPr>
        <w:t>Earnings (loss) before interest, income taxes, depreciation, and amortization ("EBITDA") is a supplemental non-GAAP performance measure that is frequently used in capital-intensive industries such as telecommunications. ALLO's management uses EBITDA to compare ALLO's performance to that of its competitors and to eliminate certain non-cash and non-operating items in order to consistently measure performance from period to period. EBITDA excludes interest and income taxes because these items are associated with a company's particular capitalization and tax structures. EBITDA also excludes depreciation and amortization expense because these non-cash expenses primarily reflect the impact of historical capital investments, as opposed to the cash impacts of capital expenditures made in recent periods, which may be evaluated through cash flow measures. The Company reports EBITDA for ALLO because the Company believes that it provides useful additional information for investors regarding a key metric used by management to assess ALLO's performance. There are limitations to using EBITDA as a performance measure, including the difficulty associated with comparing companies that use similar performance measures whose calculations may differ from ALLO's calculations. In addition, EBITDA should not be considered a substitute for other measures of financial performance, such as net income or any other performance measures derived in accordance with GAAP. A reconciliation of EBITDA from net income (loss) under GAAP is presented under "Summary and Comparison of Operating Results" in the table above.</w:t>
      </w:r>
    </w:p>
    <w:p>
      <w:pPr>
        <w:spacing w:after="0" w:line="94" w:lineRule="exact"/>
        <w:rPr>
          <w:rFonts w:ascii="Arial" w:cs="Arial" w:eastAsia="Arial" w:hAnsi="Arial"/>
          <w:sz w:val="13"/>
          <w:szCs w:val="13"/>
          <w:color w:val="auto"/>
        </w:rPr>
      </w:pPr>
    </w:p>
    <w:p>
      <w:pPr>
        <w:ind w:left="520" w:hanging="514"/>
        <w:spacing w:after="0" w:line="288" w:lineRule="auto"/>
        <w:tabs>
          <w:tab w:leader="none" w:pos="219" w:val="left"/>
        </w:tabs>
        <w:numPr>
          <w:ilvl w:val="0"/>
          <w:numId w:val="27"/>
        </w:numPr>
        <w:rPr>
          <w:rFonts w:ascii="Arial" w:cs="Arial" w:eastAsia="Arial" w:hAnsi="Arial"/>
          <w:sz w:val="14"/>
          <w:szCs w:val="14"/>
          <w:color w:val="auto"/>
        </w:rPr>
      </w:pPr>
      <w:r>
        <w:rPr>
          <w:rFonts w:ascii="Arial" w:cs="Arial" w:eastAsia="Arial" w:hAnsi="Arial"/>
          <w:sz w:val="14"/>
          <w:szCs w:val="14"/>
          <w:color w:val="auto"/>
        </w:rPr>
        <w:t>Represents the number of single residence homes, apartments, and condominiums that ALLO already serves and those in which ALLO has the capacity to connect to its network distribution system without further material extensions to the transmission lines, but have not been connected.</w:t>
      </w:r>
    </w:p>
    <w:p>
      <w:pPr>
        <w:spacing w:after="0" w:line="152" w:lineRule="exact"/>
        <w:rPr>
          <w:rFonts w:ascii="Arial" w:cs="Arial" w:eastAsia="Arial" w:hAnsi="Arial"/>
          <w:sz w:val="14"/>
          <w:szCs w:val="14"/>
          <w:color w:val="auto"/>
        </w:rPr>
      </w:pPr>
    </w:p>
    <w:p>
      <w:pPr>
        <w:ind w:left="200" w:hanging="194"/>
        <w:spacing w:after="0"/>
        <w:tabs>
          <w:tab w:leader="none" w:pos="200" w:val="left"/>
        </w:tabs>
        <w:numPr>
          <w:ilvl w:val="0"/>
          <w:numId w:val="27"/>
        </w:numPr>
        <w:rPr>
          <w:rFonts w:ascii="Arial" w:cs="Arial" w:eastAsia="Arial" w:hAnsi="Arial"/>
          <w:sz w:val="14"/>
          <w:szCs w:val="14"/>
          <w:color w:val="auto"/>
        </w:rPr>
      </w:pPr>
      <w:r>
        <w:rPr>
          <w:rFonts w:ascii="Arial" w:cs="Arial" w:eastAsia="Arial" w:hAnsi="Arial"/>
          <w:sz w:val="14"/>
          <w:szCs w:val="14"/>
          <w:color w:val="auto"/>
        </w:rPr>
        <w:t>During the third quarter of 2018, ALLO began providing service in Fort Morgan, Colorado. During the fourth quarter of 2018, ALLO began providing service in Hastings, Nebraska.</w:t>
      </w:r>
    </w:p>
    <w:p>
      <w:pPr>
        <w:spacing w:after="0" w:line="200" w:lineRule="exact"/>
        <w:rPr>
          <w:sz w:val="20"/>
          <w:szCs w:val="20"/>
          <w:color w:val="auto"/>
        </w:rPr>
      </w:pP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42</w:t>
      </w:r>
    </w:p>
    <w:p>
      <w:pPr>
        <w:sectPr>
          <w:pgSz w:w="11900" w:h="16838" w:orient="portrait"/>
          <w:cols w:equalWidth="0" w:num="1">
            <w:col w:w="11460"/>
          </w:cols>
          <w:pgMar w:left="220" w:top="743" w:right="219" w:bottom="1440" w:gutter="0" w:footer="0" w:header="0"/>
        </w:sectPr>
      </w:pPr>
    </w:p>
    <w:bookmarkStart w:id="43" w:name="page44"/>
    <w:bookmarkEnd w:id="43"/>
    <w:p>
      <w:pPr>
        <w:ind w:right="4880"/>
        <w:spacing w:after="0" w:line="452" w:lineRule="auto"/>
        <w:rPr>
          <w:sz w:val="20"/>
          <w:szCs w:val="20"/>
          <w:color w:val="auto"/>
        </w:rPr>
      </w:pPr>
      <w:r>
        <w:rPr>
          <w:rFonts w:ascii="Arial" w:cs="Arial" w:eastAsia="Arial" w:hAnsi="Arial"/>
          <w:sz w:val="14"/>
          <w:szCs w:val="14"/>
          <w:b w:val="1"/>
          <w:bCs w:val="1"/>
          <w:color w:val="auto"/>
        </w:rPr>
        <w:t xml:space="preserve">ASSET GENERATION AND MANAGEMENT OPERATING SEGMENT – RESULTS OF OPERATIONS </w:t>
      </w:r>
      <w:r>
        <w:rPr>
          <w:rFonts w:ascii="Arial" w:cs="Arial" w:eastAsia="Arial" w:hAnsi="Arial"/>
          <w:sz w:val="14"/>
          <w:szCs w:val="14"/>
          <w:b w:val="1"/>
          <w:bCs w:val="1"/>
          <w:i w:val="1"/>
          <w:iCs w:val="1"/>
          <w:color w:val="auto"/>
        </w:rPr>
        <w:t>Loan Portfolio</w:t>
      </w:r>
    </w:p>
    <w:p>
      <w:pPr>
        <w:spacing w:after="0" w:line="1" w:lineRule="exact"/>
        <w:rPr>
          <w:sz w:val="20"/>
          <w:szCs w:val="20"/>
          <w:color w:val="auto"/>
        </w:rPr>
      </w:pPr>
    </w:p>
    <w:p>
      <w:pPr>
        <w:jc w:val="both"/>
        <w:spacing w:after="0" w:line="272" w:lineRule="auto"/>
        <w:rPr>
          <w:sz w:val="20"/>
          <w:szCs w:val="20"/>
          <w:color w:val="auto"/>
        </w:rPr>
      </w:pPr>
      <w:r>
        <w:rPr>
          <w:rFonts w:ascii="Arial" w:cs="Arial" w:eastAsia="Arial" w:hAnsi="Arial"/>
          <w:sz w:val="14"/>
          <w:szCs w:val="14"/>
          <w:color w:val="auto"/>
        </w:rPr>
        <w:t>As of March 31, 2019, the Company had a $21.9 billion loan portfolio, consisting primarily of federally insured loans, that management anticipates will amortize over the next approximately 20 years and has a weighted average remaining life of 8.7 years. For a summary of the Company’s loan portfolio as of March 31, 2019 and December 31, 2018, see note 2 of the notes to consolidated financial statements included under Part I, Item 1 of this report.</w:t>
      </w:r>
    </w:p>
    <w:p>
      <w:pPr>
        <w:spacing w:after="0" w:line="99" w:lineRule="exact"/>
        <w:rPr>
          <w:sz w:val="20"/>
          <w:szCs w:val="20"/>
          <w:color w:val="auto"/>
        </w:rPr>
      </w:pPr>
    </w:p>
    <w:p>
      <w:pPr>
        <w:spacing w:after="0"/>
        <w:rPr>
          <w:sz w:val="20"/>
          <w:szCs w:val="20"/>
          <w:color w:val="auto"/>
        </w:rPr>
      </w:pPr>
      <w:r>
        <w:rPr>
          <w:rFonts w:ascii="Arial" w:cs="Arial" w:eastAsia="Arial" w:hAnsi="Arial"/>
          <w:sz w:val="14"/>
          <w:szCs w:val="14"/>
          <w:b w:val="1"/>
          <w:bCs w:val="1"/>
          <w:i w:val="1"/>
          <w:iCs w:val="1"/>
          <w:color w:val="auto"/>
        </w:rPr>
        <w:t>Loan Activity</w:t>
      </w:r>
    </w:p>
    <w:p>
      <w:pPr>
        <w:spacing w:after="0" w:line="141" w:lineRule="exact"/>
        <w:rPr>
          <w:sz w:val="20"/>
          <w:szCs w:val="20"/>
          <w:color w:val="auto"/>
        </w:rPr>
      </w:pPr>
    </w:p>
    <w:p>
      <w:pPr>
        <w:spacing w:after="0"/>
        <w:rPr>
          <w:sz w:val="20"/>
          <w:szCs w:val="20"/>
          <w:color w:val="auto"/>
        </w:rPr>
      </w:pPr>
      <w:r>
        <w:rPr>
          <w:rFonts w:ascii="Arial" w:cs="Arial" w:eastAsia="Arial" w:hAnsi="Arial"/>
          <w:sz w:val="14"/>
          <w:szCs w:val="14"/>
          <w:color w:val="auto"/>
        </w:rPr>
        <w:t>The following table sets forth the activity of loans:</w:t>
      </w:r>
    </w:p>
    <w:p>
      <w:pPr>
        <w:spacing w:after="0" w:line="55" w:lineRule="exact"/>
        <w:rPr>
          <w:sz w:val="20"/>
          <w:szCs w:val="20"/>
          <w:color w:val="auto"/>
        </w:rPr>
      </w:pPr>
    </w:p>
    <w:tbl>
      <w:tblPr>
        <w:tblLayout w:type="fixed"/>
        <w:tblInd w:w="1600" w:type="dxa"/>
        <w:tblCellMar>
          <w:top w:w="0" w:type="dxa"/>
          <w:left w:w="0" w:type="dxa"/>
          <w:bottom w:w="0" w:type="dxa"/>
          <w:right w:w="0" w:type="dxa"/>
        </w:tblCellMar>
      </w:tblPr>
      <w:tr>
        <w:trPr>
          <w:trHeight w:val="167"/>
        </w:trPr>
        <w:tc>
          <w:tcPr>
            <w:tcW w:w="4800" w:type="dxa"/>
            <w:vAlign w:val="bottom"/>
          </w:tcPr>
          <w:p>
            <w:pPr>
              <w:spacing w:after="0"/>
              <w:rPr>
                <w:sz w:val="14"/>
                <w:szCs w:val="14"/>
                <w:color w:val="auto"/>
              </w:rPr>
            </w:pPr>
          </w:p>
        </w:tc>
        <w:tc>
          <w:tcPr>
            <w:tcW w:w="2820" w:type="dxa"/>
            <w:vAlign w:val="bottom"/>
            <w:gridSpan w:val="4"/>
          </w:tcPr>
          <w:p>
            <w:pPr>
              <w:jc w:val="right"/>
              <w:ind w:right="220"/>
              <w:spacing w:after="0"/>
              <w:rPr>
                <w:sz w:val="20"/>
                <w:szCs w:val="20"/>
                <w:color w:val="auto"/>
              </w:rPr>
            </w:pPr>
            <w:r>
              <w:rPr>
                <w:rFonts w:ascii="Arial" w:cs="Arial" w:eastAsia="Arial" w:hAnsi="Arial"/>
                <w:sz w:val="13"/>
                <w:szCs w:val="13"/>
                <w:b w:val="1"/>
                <w:bCs w:val="1"/>
                <w:color w:val="auto"/>
              </w:rPr>
              <w:t>Three months ended March 31,</w:t>
            </w:r>
          </w:p>
        </w:tc>
        <w:tc>
          <w:tcPr>
            <w:tcW w:w="660" w:type="dxa"/>
            <w:vAlign w:val="bottom"/>
          </w:tcPr>
          <w:p>
            <w:pPr>
              <w:spacing w:after="0"/>
              <w:rPr>
                <w:sz w:val="14"/>
                <w:szCs w:val="14"/>
                <w:color w:val="auto"/>
              </w:rPr>
            </w:pPr>
          </w:p>
        </w:tc>
      </w:tr>
      <w:tr>
        <w:trPr>
          <w:trHeight w:val="27"/>
        </w:trPr>
        <w:tc>
          <w:tcPr>
            <w:tcW w:w="480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r>
      <w:tr>
        <w:trPr>
          <w:trHeight w:val="196"/>
        </w:trPr>
        <w:tc>
          <w:tcPr>
            <w:tcW w:w="4800" w:type="dxa"/>
            <w:vAlign w:val="bottom"/>
            <w:tcBorders>
              <w:bottom w:val="single" w:sz="8" w:color="CCEEFF"/>
            </w:tcBorders>
            <w:shd w:val="clear" w:color="auto" w:fill="CCEEFF"/>
          </w:tcPr>
          <w:p>
            <w:pPr>
              <w:spacing w:after="0"/>
              <w:rPr>
                <w:sz w:val="17"/>
                <w:szCs w:val="17"/>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b w:val="1"/>
                <w:bCs w:val="1"/>
                <w:color w:val="auto"/>
              </w:rPr>
              <w:t>2019</w:t>
            </w:r>
          </w:p>
        </w:tc>
        <w:tc>
          <w:tcPr>
            <w:tcW w:w="1800" w:type="dxa"/>
            <w:vAlign w:val="bottom"/>
            <w:tcBorders>
              <w:bottom w:val="single" w:sz="8" w:color="CCEEFF"/>
            </w:tcBorders>
            <w:gridSpan w:val="3"/>
            <w:shd w:val="clear" w:color="auto" w:fill="CCEEFF"/>
          </w:tcPr>
          <w:p>
            <w:pPr>
              <w:jc w:val="right"/>
              <w:ind w:right="40"/>
              <w:spacing w:after="0"/>
              <w:rPr>
                <w:sz w:val="20"/>
                <w:szCs w:val="20"/>
                <w:color w:val="auto"/>
              </w:rPr>
            </w:pPr>
            <w:r>
              <w:rPr>
                <w:rFonts w:ascii="Arial" w:cs="Arial" w:eastAsia="Arial" w:hAnsi="Arial"/>
                <w:sz w:val="13"/>
                <w:szCs w:val="13"/>
                <w:b w:val="1"/>
                <w:bCs w:val="1"/>
                <w:color w:val="auto"/>
              </w:rPr>
              <w:t>2018</w:t>
            </w:r>
          </w:p>
        </w:tc>
        <w:tc>
          <w:tcPr>
            <w:tcW w:w="660" w:type="dxa"/>
            <w:vAlign w:val="bottom"/>
            <w:tcBorders>
              <w:bottom w:val="single" w:sz="8" w:color="CCEEFF"/>
            </w:tcBorders>
            <w:shd w:val="clear" w:color="auto" w:fill="CCEEFF"/>
          </w:tcPr>
          <w:p>
            <w:pPr>
              <w:spacing w:after="0"/>
              <w:rPr>
                <w:sz w:val="17"/>
                <w:szCs w:val="17"/>
                <w:color w:val="auto"/>
              </w:rPr>
            </w:pPr>
          </w:p>
        </w:tc>
      </w:tr>
      <w:tr>
        <w:trPr>
          <w:trHeight w:val="169"/>
        </w:trPr>
        <w:tc>
          <w:tcPr>
            <w:tcW w:w="4800" w:type="dxa"/>
            <w:vAlign w:val="bottom"/>
          </w:tcPr>
          <w:p>
            <w:pPr>
              <w:spacing w:after="0"/>
              <w:rPr>
                <w:sz w:val="20"/>
                <w:szCs w:val="20"/>
                <w:color w:val="auto"/>
              </w:rPr>
            </w:pPr>
            <w:r>
              <w:rPr>
                <w:rFonts w:ascii="Arial" w:cs="Arial" w:eastAsia="Arial" w:hAnsi="Arial"/>
                <w:sz w:val="13"/>
                <w:szCs w:val="13"/>
                <w:color w:val="auto"/>
              </w:rPr>
              <w:t>Beginning balance</w:t>
            </w:r>
          </w:p>
        </w:tc>
        <w:tc>
          <w:tcPr>
            <w:tcW w:w="1020" w:type="dxa"/>
            <w:vAlign w:val="bottom"/>
            <w:tcBorders>
              <w:top w:val="single" w:sz="8" w:color="auto"/>
            </w:tcBorders>
          </w:tcPr>
          <w:p>
            <w:pPr>
              <w:jc w:val="right"/>
              <w:ind w:right="875"/>
              <w:spacing w:after="0"/>
              <w:rPr>
                <w:sz w:val="20"/>
                <w:szCs w:val="20"/>
                <w:color w:val="auto"/>
              </w:rPr>
            </w:pPr>
            <w:r>
              <w:rPr>
                <w:rFonts w:ascii="Arial" w:cs="Arial" w:eastAsia="Arial" w:hAnsi="Arial"/>
                <w:sz w:val="13"/>
                <w:szCs w:val="13"/>
                <w:color w:val="auto"/>
                <w:w w:val="82"/>
              </w:rPr>
              <w:t>$</w:t>
            </w: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w w:val="92"/>
              </w:rPr>
              <w:t>22,520,498</w:t>
            </w:r>
          </w:p>
        </w:tc>
        <w:tc>
          <w:tcPr>
            <w:tcW w:w="100" w:type="dxa"/>
            <w:vAlign w:val="bottom"/>
          </w:tcPr>
          <w:p>
            <w:pPr>
              <w:spacing w:after="0"/>
              <w:rPr>
                <w:sz w:val="14"/>
                <w:szCs w:val="14"/>
                <w:color w:val="auto"/>
              </w:rPr>
            </w:pPr>
          </w:p>
        </w:tc>
        <w:tc>
          <w:tcPr>
            <w:tcW w:w="1020" w:type="dxa"/>
            <w:vAlign w:val="bottom"/>
            <w:tcBorders>
              <w:top w:val="single" w:sz="8" w:color="auto"/>
            </w:tcBorders>
          </w:tcPr>
          <w:p>
            <w:pPr>
              <w:spacing w:after="0"/>
              <w:rPr>
                <w:sz w:val="14"/>
                <w:szCs w:val="14"/>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w w:val="92"/>
              </w:rPr>
              <w:t>21,995,877</w:t>
            </w:r>
          </w:p>
        </w:tc>
      </w:tr>
      <w:tr>
        <w:trPr>
          <w:trHeight w:val="27"/>
        </w:trPr>
        <w:tc>
          <w:tcPr>
            <w:tcW w:w="48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60" w:type="dxa"/>
            <w:vAlign w:val="bottom"/>
          </w:tcPr>
          <w:p>
            <w:pPr>
              <w:spacing w:after="0"/>
              <w:rPr>
                <w:sz w:val="2"/>
                <w:szCs w:val="2"/>
                <w:color w:val="auto"/>
              </w:rPr>
            </w:pPr>
          </w:p>
        </w:tc>
      </w:tr>
      <w:tr>
        <w:trPr>
          <w:trHeight w:val="185"/>
        </w:trPr>
        <w:tc>
          <w:tcPr>
            <w:tcW w:w="48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Loan acquisitions:</w:t>
            </w:r>
          </w:p>
        </w:tc>
        <w:tc>
          <w:tcPr>
            <w:tcW w:w="1020" w:type="dxa"/>
            <w:vAlign w:val="bottom"/>
            <w:tcBorders>
              <w:bottom w:val="single" w:sz="8" w:color="CCEEFF"/>
            </w:tcBorders>
            <w:shd w:val="clear" w:color="auto" w:fill="CCEEFF"/>
          </w:tcPr>
          <w:p>
            <w:pPr>
              <w:spacing w:after="0"/>
              <w:rPr>
                <w:sz w:val="16"/>
                <w:szCs w:val="16"/>
                <w:color w:val="auto"/>
              </w:rPr>
            </w:pPr>
          </w:p>
        </w:tc>
        <w:tc>
          <w:tcPr>
            <w:tcW w:w="68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1020" w:type="dxa"/>
            <w:vAlign w:val="bottom"/>
            <w:tcBorders>
              <w:bottom w:val="single" w:sz="8" w:color="CCEEFF"/>
            </w:tcBorders>
            <w:shd w:val="clear" w:color="auto" w:fill="CCEEFF"/>
          </w:tcPr>
          <w:p>
            <w:pPr>
              <w:spacing w:after="0"/>
              <w:rPr>
                <w:sz w:val="16"/>
                <w:szCs w:val="16"/>
                <w:color w:val="auto"/>
              </w:rPr>
            </w:pPr>
          </w:p>
        </w:tc>
        <w:tc>
          <w:tcPr>
            <w:tcW w:w="660" w:type="dxa"/>
            <w:vAlign w:val="bottom"/>
            <w:tcBorders>
              <w:bottom w:val="single" w:sz="8" w:color="CCEEFF"/>
            </w:tcBorders>
            <w:shd w:val="clear" w:color="auto" w:fill="CCEEFF"/>
          </w:tcPr>
          <w:p>
            <w:pPr>
              <w:spacing w:after="0"/>
              <w:rPr>
                <w:sz w:val="16"/>
                <w:szCs w:val="16"/>
                <w:color w:val="auto"/>
              </w:rPr>
            </w:pPr>
          </w:p>
        </w:tc>
      </w:tr>
      <w:tr>
        <w:trPr>
          <w:trHeight w:val="178"/>
        </w:trPr>
        <w:tc>
          <w:tcPr>
            <w:tcW w:w="4800" w:type="dxa"/>
            <w:vAlign w:val="bottom"/>
          </w:tcPr>
          <w:p>
            <w:pPr>
              <w:ind w:left="80"/>
              <w:spacing w:after="0"/>
              <w:rPr>
                <w:sz w:val="20"/>
                <w:szCs w:val="20"/>
                <w:color w:val="auto"/>
              </w:rPr>
            </w:pPr>
            <w:r>
              <w:rPr>
                <w:rFonts w:ascii="Arial" w:cs="Arial" w:eastAsia="Arial" w:hAnsi="Arial"/>
                <w:sz w:val="13"/>
                <w:szCs w:val="13"/>
                <w:color w:val="auto"/>
              </w:rPr>
              <w:t>Federally insured student loans</w:t>
            </w:r>
          </w:p>
        </w:tc>
        <w:tc>
          <w:tcPr>
            <w:tcW w:w="102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3"/>
                <w:szCs w:val="13"/>
                <w:color w:val="auto"/>
              </w:rPr>
              <w:t>270,015</w:t>
            </w:r>
          </w:p>
        </w:tc>
        <w:tc>
          <w:tcPr>
            <w:tcW w:w="10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584,586</w:t>
            </w:r>
          </w:p>
        </w:tc>
      </w:tr>
      <w:tr>
        <w:trPr>
          <w:trHeight w:val="27"/>
        </w:trPr>
        <w:tc>
          <w:tcPr>
            <w:tcW w:w="48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60" w:type="dxa"/>
            <w:vAlign w:val="bottom"/>
          </w:tcPr>
          <w:p>
            <w:pPr>
              <w:spacing w:after="0"/>
              <w:rPr>
                <w:sz w:val="2"/>
                <w:szCs w:val="2"/>
                <w:color w:val="auto"/>
              </w:rPr>
            </w:pPr>
          </w:p>
        </w:tc>
      </w:tr>
      <w:tr>
        <w:trPr>
          <w:trHeight w:val="205"/>
        </w:trPr>
        <w:tc>
          <w:tcPr>
            <w:tcW w:w="4800" w:type="dxa"/>
            <w:vAlign w:val="bottom"/>
            <w:tcBorders>
              <w:bottom w:val="single" w:sz="8" w:color="CCEEFF"/>
            </w:tcBorders>
            <w:shd w:val="clear" w:color="auto" w:fill="CCEEFF"/>
          </w:tcPr>
          <w:p>
            <w:pPr>
              <w:ind w:left="80"/>
              <w:spacing w:after="0"/>
              <w:rPr>
                <w:sz w:val="20"/>
                <w:szCs w:val="20"/>
                <w:color w:val="auto"/>
              </w:rPr>
            </w:pPr>
            <w:r>
              <w:rPr>
                <w:rFonts w:ascii="Arial" w:cs="Arial" w:eastAsia="Arial" w:hAnsi="Arial"/>
                <w:sz w:val="13"/>
                <w:szCs w:val="13"/>
                <w:color w:val="auto"/>
              </w:rPr>
              <w:t>Consumer loans</w:t>
            </w:r>
          </w:p>
        </w:tc>
        <w:tc>
          <w:tcPr>
            <w:tcW w:w="1020" w:type="dxa"/>
            <w:vAlign w:val="bottom"/>
            <w:tcBorders>
              <w:bottom w:val="single" w:sz="8" w:color="CCEEFF"/>
            </w:tcBorders>
            <w:shd w:val="clear" w:color="auto" w:fill="CCEEFF"/>
          </w:tcPr>
          <w:p>
            <w:pPr>
              <w:spacing w:after="0"/>
              <w:rPr>
                <w:sz w:val="17"/>
                <w:szCs w:val="17"/>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70,121</w:t>
            </w:r>
          </w:p>
        </w:tc>
        <w:tc>
          <w:tcPr>
            <w:tcW w:w="100" w:type="dxa"/>
            <w:vAlign w:val="bottom"/>
            <w:tcBorders>
              <w:bottom w:val="single" w:sz="8" w:color="CCEEFF"/>
            </w:tcBorders>
            <w:shd w:val="clear" w:color="auto" w:fill="CCEEFF"/>
          </w:tcPr>
          <w:p>
            <w:pPr>
              <w:spacing w:after="0"/>
              <w:rPr>
                <w:sz w:val="17"/>
                <w:szCs w:val="17"/>
                <w:color w:val="auto"/>
              </w:rPr>
            </w:pPr>
          </w:p>
        </w:tc>
        <w:tc>
          <w:tcPr>
            <w:tcW w:w="1020" w:type="dxa"/>
            <w:vAlign w:val="bottom"/>
            <w:tcBorders>
              <w:bottom w:val="single" w:sz="8" w:color="CCEEFF"/>
            </w:tcBorders>
            <w:shd w:val="clear" w:color="auto" w:fill="CCEEFF"/>
          </w:tcPr>
          <w:p>
            <w:pPr>
              <w:spacing w:after="0"/>
              <w:rPr>
                <w:sz w:val="17"/>
                <w:szCs w:val="17"/>
                <w:color w:val="auto"/>
              </w:rPr>
            </w:pPr>
          </w:p>
        </w:tc>
        <w:tc>
          <w:tcPr>
            <w:tcW w:w="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23,354</w:t>
            </w:r>
          </w:p>
        </w:tc>
      </w:tr>
      <w:tr>
        <w:trPr>
          <w:trHeight w:val="169"/>
        </w:trPr>
        <w:tc>
          <w:tcPr>
            <w:tcW w:w="4800" w:type="dxa"/>
            <w:vAlign w:val="bottom"/>
          </w:tcPr>
          <w:p>
            <w:pPr>
              <w:ind w:left="160"/>
              <w:spacing w:after="0"/>
              <w:rPr>
                <w:sz w:val="20"/>
                <w:szCs w:val="20"/>
                <w:color w:val="auto"/>
              </w:rPr>
            </w:pPr>
            <w:r>
              <w:rPr>
                <w:rFonts w:ascii="Arial" w:cs="Arial" w:eastAsia="Arial" w:hAnsi="Arial"/>
                <w:sz w:val="13"/>
                <w:szCs w:val="13"/>
                <w:color w:val="auto"/>
              </w:rPr>
              <w:t>Total loan acquisitions</w:t>
            </w:r>
          </w:p>
        </w:tc>
        <w:tc>
          <w:tcPr>
            <w:tcW w:w="1020" w:type="dxa"/>
            <w:vAlign w:val="bottom"/>
            <w:tcBorders>
              <w:top w:val="single" w:sz="8" w:color="auto"/>
            </w:tcBorders>
          </w:tcPr>
          <w:p>
            <w:pPr>
              <w:spacing w:after="0"/>
              <w:rPr>
                <w:sz w:val="14"/>
                <w:szCs w:val="14"/>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340,136</w:t>
            </w:r>
          </w:p>
        </w:tc>
        <w:tc>
          <w:tcPr>
            <w:tcW w:w="100" w:type="dxa"/>
            <w:vAlign w:val="bottom"/>
          </w:tcPr>
          <w:p>
            <w:pPr>
              <w:spacing w:after="0"/>
              <w:rPr>
                <w:sz w:val="14"/>
                <w:szCs w:val="14"/>
                <w:color w:val="auto"/>
              </w:rPr>
            </w:pPr>
          </w:p>
        </w:tc>
        <w:tc>
          <w:tcPr>
            <w:tcW w:w="1020" w:type="dxa"/>
            <w:vAlign w:val="bottom"/>
            <w:tcBorders>
              <w:top w:val="single" w:sz="8" w:color="auto"/>
            </w:tcBorders>
          </w:tcPr>
          <w:p>
            <w:pPr>
              <w:spacing w:after="0"/>
              <w:rPr>
                <w:sz w:val="14"/>
                <w:szCs w:val="14"/>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607,940</w:t>
            </w:r>
          </w:p>
        </w:tc>
      </w:tr>
      <w:tr>
        <w:trPr>
          <w:trHeight w:val="27"/>
        </w:trPr>
        <w:tc>
          <w:tcPr>
            <w:tcW w:w="48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60" w:type="dxa"/>
            <w:vAlign w:val="bottom"/>
          </w:tcPr>
          <w:p>
            <w:pPr>
              <w:spacing w:after="0"/>
              <w:rPr>
                <w:sz w:val="2"/>
                <w:szCs w:val="2"/>
                <w:color w:val="auto"/>
              </w:rPr>
            </w:pPr>
          </w:p>
        </w:tc>
      </w:tr>
      <w:tr>
        <w:trPr>
          <w:trHeight w:val="205"/>
        </w:trPr>
        <w:tc>
          <w:tcPr>
            <w:tcW w:w="4800" w:type="dxa"/>
            <w:vAlign w:val="bottom"/>
            <w:shd w:val="clear" w:color="auto" w:fill="CCEEFF"/>
          </w:tcPr>
          <w:p>
            <w:pPr>
              <w:spacing w:after="0"/>
              <w:rPr>
                <w:sz w:val="20"/>
                <w:szCs w:val="20"/>
                <w:color w:val="auto"/>
              </w:rPr>
            </w:pPr>
            <w:r>
              <w:rPr>
                <w:rFonts w:ascii="Arial" w:cs="Arial" w:eastAsia="Arial" w:hAnsi="Arial"/>
                <w:sz w:val="13"/>
                <w:szCs w:val="13"/>
                <w:color w:val="auto"/>
              </w:rPr>
              <w:t>Repayments, claims, capitalized interest, and other</w:t>
            </w:r>
          </w:p>
        </w:tc>
        <w:tc>
          <w:tcPr>
            <w:tcW w:w="102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(504,720)</w:t>
            </w: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(622,284)</w:t>
            </w:r>
          </w:p>
        </w:tc>
      </w:tr>
      <w:tr>
        <w:trPr>
          <w:trHeight w:val="178"/>
        </w:trPr>
        <w:tc>
          <w:tcPr>
            <w:tcW w:w="4800" w:type="dxa"/>
            <w:vAlign w:val="bottom"/>
          </w:tcPr>
          <w:p>
            <w:pPr>
              <w:spacing w:after="0"/>
              <w:rPr>
                <w:sz w:val="20"/>
                <w:szCs w:val="20"/>
                <w:color w:val="auto"/>
              </w:rPr>
            </w:pPr>
            <w:r>
              <w:rPr>
                <w:rFonts w:ascii="Arial" w:cs="Arial" w:eastAsia="Arial" w:hAnsi="Arial"/>
                <w:sz w:val="13"/>
                <w:szCs w:val="13"/>
                <w:color w:val="auto"/>
              </w:rPr>
              <w:t>Consolidation loans lost to external parties</w:t>
            </w:r>
          </w:p>
        </w:tc>
        <w:tc>
          <w:tcPr>
            <w:tcW w:w="102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3"/>
                <w:szCs w:val="13"/>
                <w:color w:val="auto"/>
              </w:rPr>
              <w:t>(273,271)</w:t>
            </w:r>
          </w:p>
        </w:tc>
        <w:tc>
          <w:tcPr>
            <w:tcW w:w="10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(247,820)</w:t>
            </w:r>
          </w:p>
        </w:tc>
      </w:tr>
      <w:tr>
        <w:trPr>
          <w:trHeight w:val="27"/>
        </w:trPr>
        <w:tc>
          <w:tcPr>
            <w:tcW w:w="480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r>
      <w:tr>
        <w:trPr>
          <w:trHeight w:val="218"/>
        </w:trPr>
        <w:tc>
          <w:tcPr>
            <w:tcW w:w="48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Ending balance</w:t>
            </w:r>
          </w:p>
        </w:tc>
        <w:tc>
          <w:tcPr>
            <w:tcW w:w="1020" w:type="dxa"/>
            <w:vAlign w:val="bottom"/>
            <w:tcBorders>
              <w:bottom w:val="single" w:sz="8" w:color="auto"/>
            </w:tcBorders>
            <w:shd w:val="clear" w:color="auto" w:fill="CCEEFF"/>
          </w:tcPr>
          <w:p>
            <w:pPr>
              <w:jc w:val="right"/>
              <w:ind w:right="875"/>
              <w:spacing w:after="0"/>
              <w:rPr>
                <w:sz w:val="20"/>
                <w:szCs w:val="20"/>
                <w:color w:val="auto"/>
              </w:rPr>
            </w:pPr>
            <w:r>
              <w:rPr>
                <w:rFonts w:ascii="Arial" w:cs="Arial" w:eastAsia="Arial" w:hAnsi="Arial"/>
                <w:sz w:val="13"/>
                <w:szCs w:val="13"/>
                <w:color w:val="auto"/>
                <w:w w:val="82"/>
              </w:rPr>
              <w:t>$</w:t>
            </w: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92"/>
              </w:rPr>
              <w:t>22,082,643</w:t>
            </w:r>
          </w:p>
        </w:tc>
        <w:tc>
          <w:tcPr>
            <w:tcW w:w="100" w:type="dxa"/>
            <w:vAlign w:val="bottom"/>
            <w:tcBorders>
              <w:bottom w:val="single" w:sz="8" w:color="CCEEFF"/>
            </w:tcBorders>
            <w:shd w:val="clear" w:color="auto" w:fill="CCEEFF"/>
          </w:tcPr>
          <w:p>
            <w:pPr>
              <w:spacing w:after="0"/>
              <w:rPr>
                <w:sz w:val="18"/>
                <w:szCs w:val="18"/>
                <w:color w:val="auto"/>
              </w:rPr>
            </w:pPr>
          </w:p>
        </w:tc>
        <w:tc>
          <w:tcPr>
            <w:tcW w:w="102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92"/>
              </w:rPr>
              <w:t>21,733,713</w:t>
            </w:r>
          </w:p>
        </w:tc>
      </w:tr>
      <w:tr>
        <w:trPr>
          <w:trHeight w:val="20"/>
        </w:trPr>
        <w:tc>
          <w:tcPr>
            <w:tcW w:w="480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6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660" w:type="dxa"/>
            <w:vAlign w:val="bottom"/>
            <w:tcBorders>
              <w:top w:val="single" w:sz="8" w:color="CCEEFF"/>
              <w:bottom w:val="single" w:sz="8" w:color="auto"/>
            </w:tcBorders>
          </w:tcPr>
          <w:p>
            <w:pPr>
              <w:spacing w:after="0" w:line="20" w:lineRule="exact"/>
              <w:rPr>
                <w:sz w:val="1"/>
                <w:szCs w:val="1"/>
                <w:color w:val="auto"/>
              </w:rPr>
            </w:pPr>
          </w:p>
        </w:tc>
      </w:tr>
    </w:tbl>
    <w:p>
      <w:pPr>
        <w:spacing w:after="0" w:line="162" w:lineRule="exact"/>
        <w:rPr>
          <w:sz w:val="20"/>
          <w:szCs w:val="20"/>
          <w:color w:val="auto"/>
        </w:rPr>
      </w:pPr>
    </w:p>
    <w:p>
      <w:pPr>
        <w:ind w:left="40"/>
        <w:spacing w:after="0"/>
        <w:rPr>
          <w:sz w:val="20"/>
          <w:szCs w:val="20"/>
          <w:color w:val="auto"/>
        </w:rPr>
      </w:pPr>
      <w:r>
        <w:rPr>
          <w:rFonts w:ascii="Arial" w:cs="Arial" w:eastAsia="Arial" w:hAnsi="Arial"/>
          <w:sz w:val="14"/>
          <w:szCs w:val="14"/>
          <w:b w:val="1"/>
          <w:bCs w:val="1"/>
          <w:i w:val="1"/>
          <w:iCs w:val="1"/>
          <w:color w:val="auto"/>
        </w:rPr>
        <w:t>Allowance for Loan Losses and Loan Delinquencies</w:t>
      </w:r>
    </w:p>
    <w:p>
      <w:pPr>
        <w:spacing w:after="0" w:line="141" w:lineRule="exact"/>
        <w:rPr>
          <w:sz w:val="20"/>
          <w:szCs w:val="20"/>
          <w:color w:val="auto"/>
        </w:rPr>
      </w:pPr>
    </w:p>
    <w:p>
      <w:pPr>
        <w:spacing w:after="0" w:line="288" w:lineRule="auto"/>
        <w:rPr>
          <w:sz w:val="20"/>
          <w:szCs w:val="20"/>
          <w:color w:val="auto"/>
        </w:rPr>
      </w:pPr>
      <w:r>
        <w:rPr>
          <w:rFonts w:ascii="Arial" w:cs="Arial" w:eastAsia="Arial" w:hAnsi="Arial"/>
          <w:sz w:val="14"/>
          <w:szCs w:val="14"/>
          <w:color w:val="auto"/>
        </w:rPr>
        <w:t>The Company maintains an allowance that management believes is appropriate to absorb losses, net of recoveries, inherent in the portfolio of loans, which results in periodic provisions for loan losses. Delinquencies have the potential to adversely impact the Company’s earnings through increased servicing and collection costs and account charge-offs.</w:t>
      </w:r>
    </w:p>
    <w:p>
      <w:pPr>
        <w:spacing w:after="0" w:line="88" w:lineRule="exact"/>
        <w:rPr>
          <w:sz w:val="20"/>
          <w:szCs w:val="20"/>
          <w:color w:val="auto"/>
        </w:rPr>
      </w:pPr>
    </w:p>
    <w:p>
      <w:pPr>
        <w:spacing w:after="0" w:line="288" w:lineRule="auto"/>
        <w:rPr>
          <w:sz w:val="20"/>
          <w:szCs w:val="20"/>
          <w:color w:val="auto"/>
        </w:rPr>
      </w:pPr>
      <w:r>
        <w:rPr>
          <w:rFonts w:ascii="Arial" w:cs="Arial" w:eastAsia="Arial" w:hAnsi="Arial"/>
          <w:sz w:val="14"/>
          <w:szCs w:val="14"/>
          <w:color w:val="auto"/>
        </w:rPr>
        <w:t>For a summary of the activity in the allowance for loan losses for the three months ended March 31, 2019 and 2018, and a summary of the Company's loan delinquency amounts as of March 31, 2019, December 31, 2018, and March 31, 2018, see note 2 of the notes to consolidated financial statements included under Part I, Item 1 of this report.</w:t>
      </w:r>
    </w:p>
    <w:p>
      <w:pPr>
        <w:spacing w:after="0" w:line="88" w:lineRule="exact"/>
        <w:rPr>
          <w:sz w:val="20"/>
          <w:szCs w:val="20"/>
          <w:color w:val="auto"/>
        </w:rPr>
      </w:pPr>
    </w:p>
    <w:p>
      <w:pPr>
        <w:spacing w:after="0"/>
        <w:rPr>
          <w:sz w:val="20"/>
          <w:szCs w:val="20"/>
          <w:color w:val="auto"/>
        </w:rPr>
      </w:pPr>
      <w:r>
        <w:rPr>
          <w:rFonts w:ascii="Arial" w:cs="Arial" w:eastAsia="Arial" w:hAnsi="Arial"/>
          <w:sz w:val="14"/>
          <w:szCs w:val="14"/>
          <w:color w:val="auto"/>
        </w:rPr>
        <w:t>Provision for loan losses for federally insured loans was $2.0 million for each of the three months ended March 31, 2019 and 2018.</w:t>
      </w:r>
    </w:p>
    <w:p>
      <w:pPr>
        <w:spacing w:after="0" w:line="141" w:lineRule="exact"/>
        <w:rPr>
          <w:sz w:val="20"/>
          <w:szCs w:val="20"/>
          <w:color w:val="auto"/>
        </w:rPr>
      </w:pPr>
    </w:p>
    <w:p>
      <w:pPr>
        <w:spacing w:after="0"/>
        <w:rPr>
          <w:sz w:val="20"/>
          <w:szCs w:val="20"/>
          <w:color w:val="auto"/>
        </w:rPr>
      </w:pPr>
      <w:r>
        <w:rPr>
          <w:rFonts w:ascii="Arial" w:cs="Arial" w:eastAsia="Arial" w:hAnsi="Arial"/>
          <w:sz w:val="14"/>
          <w:szCs w:val="14"/>
          <w:color w:val="auto"/>
        </w:rPr>
        <w:t>The Company did not record a provision for private education loan losses for the three months ended March 31, 2019 and 2018.</w:t>
      </w:r>
    </w:p>
    <w:p>
      <w:pPr>
        <w:spacing w:after="0" w:line="141" w:lineRule="exact"/>
        <w:rPr>
          <w:sz w:val="20"/>
          <w:szCs w:val="20"/>
          <w:color w:val="auto"/>
        </w:rPr>
      </w:pPr>
    </w:p>
    <w:p>
      <w:pPr>
        <w:spacing w:after="0" w:line="288" w:lineRule="auto"/>
        <w:rPr>
          <w:sz w:val="20"/>
          <w:szCs w:val="20"/>
          <w:color w:val="auto"/>
        </w:rPr>
      </w:pPr>
      <w:r>
        <w:rPr>
          <w:rFonts w:ascii="Arial" w:cs="Arial" w:eastAsia="Arial" w:hAnsi="Arial"/>
          <w:sz w:val="14"/>
          <w:szCs w:val="14"/>
          <w:color w:val="auto"/>
        </w:rPr>
        <w:t>Provision for loan losses for consumer loans was $5.0 million and $2.0 million for the three months ended March 31, 2019 and 2018, respectively. The increase in provision was a result of the increased amount of consumer loan purchases during the 2019 period as reflected in the "Loan Activity" table above.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43</w:t>
      </w:r>
    </w:p>
    <w:p>
      <w:pPr>
        <w:sectPr>
          <w:pgSz w:w="11900" w:h="16838" w:orient="portrait"/>
          <w:cols w:equalWidth="0" w:num="1">
            <w:col w:w="11460"/>
          </w:cols>
          <w:pgMar w:left="220" w:top="739" w:right="219" w:bottom="1440" w:gutter="0" w:footer="0" w:header="0"/>
        </w:sectPr>
      </w:pPr>
    </w:p>
    <w:bookmarkStart w:id="44" w:name="page45"/>
    <w:bookmarkEnd w:id="44"/>
    <w:p>
      <w:pPr>
        <w:spacing w:after="0"/>
        <w:rPr>
          <w:sz w:val="20"/>
          <w:szCs w:val="20"/>
          <w:color w:val="auto"/>
        </w:rPr>
      </w:pPr>
      <w:r>
        <w:rPr>
          <w:rFonts w:ascii="Arial" w:cs="Arial" w:eastAsia="Arial" w:hAnsi="Arial"/>
          <w:sz w:val="14"/>
          <w:szCs w:val="14"/>
          <w:b w:val="1"/>
          <w:bCs w:val="1"/>
          <w:i w:val="1"/>
          <w:iCs w:val="1"/>
          <w:color w:val="auto"/>
        </w:rPr>
        <w:t>Loan Spread Analysis</w:t>
      </w:r>
    </w:p>
    <w:p>
      <w:pPr>
        <w:spacing w:after="0" w:line="141" w:lineRule="exact"/>
        <w:rPr>
          <w:sz w:val="20"/>
          <w:szCs w:val="20"/>
          <w:color w:val="auto"/>
        </w:rPr>
      </w:pPr>
    </w:p>
    <w:p>
      <w:pPr>
        <w:jc w:val="both"/>
        <w:spacing w:after="0" w:line="272" w:lineRule="auto"/>
        <w:rPr>
          <w:sz w:val="20"/>
          <w:szCs w:val="20"/>
          <w:color w:val="auto"/>
        </w:rPr>
      </w:pPr>
      <w:r>
        <w:rPr>
          <w:rFonts w:ascii="Arial" w:cs="Arial" w:eastAsia="Arial" w:hAnsi="Arial"/>
          <w:sz w:val="14"/>
          <w:szCs w:val="14"/>
          <w:color w:val="auto"/>
        </w:rPr>
        <w:t>The following table analyzes the loan spread on the Company’s portfolio of loans, which represents the spread between the yield earned on loan assets and the costs of the liabilities and derivative instruments used to fund the assets. The spread amounts included in the following table are calculated by using the notional dollar values found in the table under the caption "Net interest income, net of settlements on derivatives" below, divided by the average balance of loans or debt outstanding.</w:t>
      </w:r>
    </w:p>
    <w:p>
      <w:pPr>
        <w:spacing w:after="0" w:line="99" w:lineRule="exact"/>
        <w:rPr>
          <w:sz w:val="20"/>
          <w:szCs w:val="20"/>
          <w:color w:val="auto"/>
        </w:rPr>
      </w:pPr>
    </w:p>
    <w:tbl>
      <w:tblPr>
        <w:tblLayout w:type="fixed"/>
        <w:tblInd w:w="780" w:type="dxa"/>
        <w:tblCellMar>
          <w:top w:w="0" w:type="dxa"/>
          <w:left w:w="0" w:type="dxa"/>
          <w:bottom w:w="0" w:type="dxa"/>
          <w:right w:w="0" w:type="dxa"/>
        </w:tblCellMar>
      </w:tblPr>
      <w:tr>
        <w:trPr>
          <w:trHeight w:val="167"/>
        </w:trPr>
        <w:tc>
          <w:tcPr>
            <w:tcW w:w="6680" w:type="dxa"/>
            <w:vAlign w:val="bottom"/>
          </w:tcPr>
          <w:p>
            <w:pPr>
              <w:spacing w:after="0"/>
              <w:rPr>
                <w:sz w:val="14"/>
                <w:szCs w:val="14"/>
                <w:color w:val="auto"/>
              </w:rPr>
            </w:pPr>
          </w:p>
        </w:tc>
        <w:tc>
          <w:tcPr>
            <w:tcW w:w="2600" w:type="dxa"/>
            <w:vAlign w:val="bottom"/>
            <w:gridSpan w:val="5"/>
          </w:tcPr>
          <w:p>
            <w:pPr>
              <w:jc w:val="right"/>
              <w:ind w:right="120"/>
              <w:spacing w:after="0"/>
              <w:rPr>
                <w:sz w:val="20"/>
                <w:szCs w:val="20"/>
                <w:color w:val="auto"/>
              </w:rPr>
            </w:pPr>
            <w:r>
              <w:rPr>
                <w:rFonts w:ascii="Arial" w:cs="Arial" w:eastAsia="Arial" w:hAnsi="Arial"/>
                <w:sz w:val="13"/>
                <w:szCs w:val="13"/>
                <w:b w:val="1"/>
                <w:bCs w:val="1"/>
                <w:color w:val="auto"/>
              </w:rPr>
              <w:t>Three months ended March 31,</w:t>
            </w:r>
          </w:p>
        </w:tc>
        <w:tc>
          <w:tcPr>
            <w:tcW w:w="500" w:type="dxa"/>
            <w:vAlign w:val="bottom"/>
          </w:tcPr>
          <w:p>
            <w:pPr>
              <w:spacing w:after="0"/>
              <w:rPr>
                <w:sz w:val="14"/>
                <w:szCs w:val="14"/>
                <w:color w:val="auto"/>
              </w:rPr>
            </w:pPr>
          </w:p>
        </w:tc>
        <w:tc>
          <w:tcPr>
            <w:tcW w:w="140" w:type="dxa"/>
            <w:vAlign w:val="bottom"/>
          </w:tcPr>
          <w:p>
            <w:pPr>
              <w:spacing w:after="0"/>
              <w:rPr>
                <w:sz w:val="14"/>
                <w:szCs w:val="14"/>
                <w:color w:val="auto"/>
              </w:rPr>
            </w:pPr>
          </w:p>
        </w:tc>
      </w:tr>
      <w:tr>
        <w:trPr>
          <w:trHeight w:val="27"/>
        </w:trPr>
        <w:tc>
          <w:tcPr>
            <w:tcW w:w="6680" w:type="dxa"/>
            <w:vAlign w:val="bottom"/>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gridSpan w:val="3"/>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r>
      <w:tr>
        <w:trPr>
          <w:trHeight w:val="169"/>
        </w:trPr>
        <w:tc>
          <w:tcPr>
            <w:tcW w:w="6680" w:type="dxa"/>
            <w:vAlign w:val="bottom"/>
          </w:tcPr>
          <w:p>
            <w:pPr>
              <w:spacing w:after="0"/>
              <w:rPr>
                <w:sz w:val="14"/>
                <w:szCs w:val="14"/>
                <w:color w:val="auto"/>
              </w:rPr>
            </w:pPr>
          </w:p>
        </w:tc>
        <w:tc>
          <w:tcPr>
            <w:tcW w:w="920" w:type="dxa"/>
            <w:vAlign w:val="bottom"/>
          </w:tcPr>
          <w:p>
            <w:pPr>
              <w:jc w:val="right"/>
              <w:spacing w:after="0"/>
              <w:rPr>
                <w:sz w:val="20"/>
                <w:szCs w:val="20"/>
                <w:color w:val="auto"/>
              </w:rPr>
            </w:pPr>
            <w:r>
              <w:rPr>
                <w:rFonts w:ascii="Arial" w:cs="Arial" w:eastAsia="Arial" w:hAnsi="Arial"/>
                <w:sz w:val="13"/>
                <w:szCs w:val="13"/>
                <w:b w:val="1"/>
                <w:bCs w:val="1"/>
                <w:color w:val="auto"/>
              </w:rPr>
              <w:t>2019</w:t>
            </w:r>
          </w:p>
        </w:tc>
        <w:tc>
          <w:tcPr>
            <w:tcW w:w="520" w:type="dxa"/>
            <w:vAlign w:val="bottom"/>
          </w:tcPr>
          <w:p>
            <w:pPr>
              <w:spacing w:after="0"/>
              <w:rPr>
                <w:sz w:val="14"/>
                <w:szCs w:val="14"/>
                <w:color w:val="auto"/>
              </w:rPr>
            </w:pPr>
          </w:p>
        </w:tc>
        <w:tc>
          <w:tcPr>
            <w:tcW w:w="1160" w:type="dxa"/>
            <w:vAlign w:val="bottom"/>
            <w:gridSpan w:val="3"/>
          </w:tcPr>
          <w:p>
            <w:pPr>
              <w:jc w:val="right"/>
              <w:ind w:right="20"/>
              <w:spacing w:after="0"/>
              <w:rPr>
                <w:sz w:val="20"/>
                <w:szCs w:val="20"/>
                <w:color w:val="auto"/>
              </w:rPr>
            </w:pPr>
            <w:r>
              <w:rPr>
                <w:rFonts w:ascii="Arial" w:cs="Arial" w:eastAsia="Arial" w:hAnsi="Arial"/>
                <w:sz w:val="13"/>
                <w:szCs w:val="13"/>
                <w:b w:val="1"/>
                <w:bCs w:val="1"/>
                <w:color w:val="auto"/>
              </w:rPr>
              <w:t>2018</w:t>
            </w:r>
          </w:p>
        </w:tc>
        <w:tc>
          <w:tcPr>
            <w:tcW w:w="500" w:type="dxa"/>
            <w:vAlign w:val="bottom"/>
          </w:tcPr>
          <w:p>
            <w:pPr>
              <w:spacing w:after="0"/>
              <w:rPr>
                <w:sz w:val="14"/>
                <w:szCs w:val="14"/>
                <w:color w:val="auto"/>
              </w:rPr>
            </w:pPr>
          </w:p>
        </w:tc>
        <w:tc>
          <w:tcPr>
            <w:tcW w:w="140" w:type="dxa"/>
            <w:vAlign w:val="bottom"/>
          </w:tcPr>
          <w:p>
            <w:pPr>
              <w:spacing w:after="0"/>
              <w:rPr>
                <w:sz w:val="14"/>
                <w:szCs w:val="14"/>
                <w:color w:val="auto"/>
              </w:rPr>
            </w:pPr>
          </w:p>
        </w:tc>
      </w:tr>
      <w:tr>
        <w:trPr>
          <w:trHeight w:val="27"/>
        </w:trPr>
        <w:tc>
          <w:tcPr>
            <w:tcW w:w="6680" w:type="dxa"/>
            <w:vAlign w:val="bottom"/>
            <w:tcBorders>
              <w:bottom w:val="single" w:sz="8" w:color="CCEEFF"/>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r>
      <w:tr>
        <w:trPr>
          <w:trHeight w:val="176"/>
        </w:trPr>
        <w:tc>
          <w:tcPr>
            <w:tcW w:w="66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Variable loan yield, gross</w:t>
            </w:r>
          </w:p>
        </w:tc>
        <w:tc>
          <w:tcPr>
            <w:tcW w:w="920" w:type="dxa"/>
            <w:vAlign w:val="bottom"/>
            <w:tcBorders>
              <w:bottom w:val="single" w:sz="8" w:color="CCEEFF"/>
            </w:tcBorders>
            <w:shd w:val="clear" w:color="auto" w:fill="CCEEFF"/>
          </w:tcPr>
          <w:p>
            <w:pPr>
              <w:spacing w:after="0"/>
              <w:rPr>
                <w:sz w:val="15"/>
                <w:szCs w:val="15"/>
                <w:color w:val="auto"/>
              </w:rPr>
            </w:pPr>
          </w:p>
        </w:tc>
        <w:tc>
          <w:tcPr>
            <w:tcW w:w="520" w:type="dxa"/>
            <w:vAlign w:val="bottom"/>
            <w:tcBorders>
              <w:bottom w:val="single" w:sz="8" w:color="CCEEFF"/>
            </w:tcBorders>
            <w:shd w:val="clear" w:color="auto" w:fill="CCEEFF"/>
          </w:tcPr>
          <w:p>
            <w:pPr>
              <w:jc w:val="center"/>
              <w:ind w:left="135"/>
              <w:spacing w:after="0"/>
              <w:rPr>
                <w:sz w:val="20"/>
                <w:szCs w:val="20"/>
                <w:color w:val="auto"/>
              </w:rPr>
            </w:pPr>
            <w:r>
              <w:rPr>
                <w:rFonts w:ascii="Arial" w:cs="Arial" w:eastAsia="Arial" w:hAnsi="Arial"/>
                <w:sz w:val="13"/>
                <w:szCs w:val="13"/>
                <w:color w:val="auto"/>
                <w:w w:val="94"/>
              </w:rPr>
              <w:t>5.04</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w w:val="86"/>
              </w:rPr>
              <w:t>%</w:t>
            </w:r>
          </w:p>
        </w:tc>
        <w:tc>
          <w:tcPr>
            <w:tcW w:w="100" w:type="dxa"/>
            <w:vAlign w:val="bottom"/>
            <w:tcBorders>
              <w:bottom w:val="single" w:sz="8" w:color="CCEEFF"/>
            </w:tcBorders>
            <w:shd w:val="clear" w:color="auto" w:fill="CCEEFF"/>
          </w:tcPr>
          <w:p>
            <w:pPr>
              <w:spacing w:after="0"/>
              <w:rPr>
                <w:sz w:val="15"/>
                <w:szCs w:val="15"/>
                <w:color w:val="auto"/>
              </w:rPr>
            </w:pPr>
          </w:p>
        </w:tc>
        <w:tc>
          <w:tcPr>
            <w:tcW w:w="940" w:type="dxa"/>
            <w:vAlign w:val="bottom"/>
            <w:tcBorders>
              <w:bottom w:val="single" w:sz="8" w:color="CCEEFF"/>
            </w:tcBorders>
            <w:shd w:val="clear" w:color="auto" w:fill="CCEEFF"/>
          </w:tcPr>
          <w:p>
            <w:pPr>
              <w:spacing w:after="0"/>
              <w:rPr>
                <w:sz w:val="15"/>
                <w:szCs w:val="15"/>
                <w:color w:val="auto"/>
              </w:rPr>
            </w:pPr>
          </w:p>
        </w:tc>
        <w:tc>
          <w:tcPr>
            <w:tcW w:w="500" w:type="dxa"/>
            <w:vAlign w:val="bottom"/>
            <w:tcBorders>
              <w:bottom w:val="single" w:sz="8" w:color="CCEEFF"/>
            </w:tcBorders>
            <w:shd w:val="clear" w:color="auto" w:fill="CCEEFF"/>
          </w:tcPr>
          <w:p>
            <w:pPr>
              <w:jc w:val="center"/>
              <w:ind w:left="135"/>
              <w:spacing w:after="0"/>
              <w:rPr>
                <w:sz w:val="20"/>
                <w:szCs w:val="20"/>
                <w:color w:val="auto"/>
              </w:rPr>
            </w:pPr>
            <w:r>
              <w:rPr>
                <w:rFonts w:ascii="Arial" w:cs="Arial" w:eastAsia="Arial" w:hAnsi="Arial"/>
                <w:sz w:val="13"/>
                <w:szCs w:val="13"/>
                <w:color w:val="auto"/>
                <w:w w:val="86"/>
              </w:rPr>
              <w:t>4.15</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w w:val="86"/>
              </w:rPr>
              <w:t>%</w:t>
            </w:r>
          </w:p>
        </w:tc>
      </w:tr>
      <w:tr>
        <w:trPr>
          <w:trHeight w:val="178"/>
        </w:trPr>
        <w:tc>
          <w:tcPr>
            <w:tcW w:w="6680" w:type="dxa"/>
            <w:vAlign w:val="bottom"/>
          </w:tcPr>
          <w:p>
            <w:pPr>
              <w:spacing w:after="0"/>
              <w:rPr>
                <w:sz w:val="20"/>
                <w:szCs w:val="20"/>
                <w:color w:val="auto"/>
              </w:rPr>
            </w:pPr>
            <w:r>
              <w:rPr>
                <w:rFonts w:ascii="Arial" w:cs="Arial" w:eastAsia="Arial" w:hAnsi="Arial"/>
                <w:sz w:val="13"/>
                <w:szCs w:val="13"/>
                <w:color w:val="auto"/>
              </w:rPr>
              <w:t>Consolidation rebate fees</w:t>
            </w:r>
          </w:p>
        </w:tc>
        <w:tc>
          <w:tcPr>
            <w:tcW w:w="920" w:type="dxa"/>
            <w:vAlign w:val="bottom"/>
          </w:tcPr>
          <w:p>
            <w:pPr>
              <w:spacing w:after="0"/>
              <w:rPr>
                <w:sz w:val="15"/>
                <w:szCs w:val="15"/>
                <w:color w:val="auto"/>
              </w:rPr>
            </w:pPr>
          </w:p>
        </w:tc>
        <w:tc>
          <w:tcPr>
            <w:tcW w:w="520" w:type="dxa"/>
            <w:vAlign w:val="bottom"/>
          </w:tcPr>
          <w:p>
            <w:pPr>
              <w:jc w:val="center"/>
              <w:ind w:left="115"/>
              <w:spacing w:after="0"/>
              <w:rPr>
                <w:sz w:val="20"/>
                <w:szCs w:val="20"/>
                <w:color w:val="auto"/>
              </w:rPr>
            </w:pPr>
            <w:r>
              <w:rPr>
                <w:rFonts w:ascii="Arial" w:cs="Arial" w:eastAsia="Arial" w:hAnsi="Arial"/>
                <w:sz w:val="13"/>
                <w:szCs w:val="13"/>
                <w:color w:val="auto"/>
                <w:w w:val="88"/>
              </w:rPr>
              <w:t>(0.84)</w:t>
            </w: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500" w:type="dxa"/>
            <w:vAlign w:val="bottom"/>
          </w:tcPr>
          <w:p>
            <w:pPr>
              <w:jc w:val="center"/>
              <w:ind w:left="115"/>
              <w:spacing w:after="0"/>
              <w:rPr>
                <w:sz w:val="20"/>
                <w:szCs w:val="20"/>
                <w:color w:val="auto"/>
              </w:rPr>
            </w:pPr>
            <w:r>
              <w:rPr>
                <w:rFonts w:ascii="Arial" w:cs="Arial" w:eastAsia="Arial" w:hAnsi="Arial"/>
                <w:sz w:val="13"/>
                <w:szCs w:val="13"/>
                <w:color w:val="auto"/>
                <w:w w:val="94"/>
              </w:rPr>
              <w:t>(0.85)</w:t>
            </w:r>
          </w:p>
        </w:tc>
        <w:tc>
          <w:tcPr>
            <w:tcW w:w="140" w:type="dxa"/>
            <w:vAlign w:val="bottom"/>
          </w:tcPr>
          <w:p>
            <w:pPr>
              <w:spacing w:after="0"/>
              <w:rPr>
                <w:sz w:val="15"/>
                <w:szCs w:val="15"/>
                <w:color w:val="auto"/>
              </w:rPr>
            </w:pPr>
          </w:p>
        </w:tc>
      </w:tr>
      <w:tr>
        <w:trPr>
          <w:trHeight w:val="27"/>
        </w:trPr>
        <w:tc>
          <w:tcPr>
            <w:tcW w:w="6680" w:type="dxa"/>
            <w:vAlign w:val="bottom"/>
          </w:tcPr>
          <w:p>
            <w:pPr>
              <w:spacing w:after="0"/>
              <w:rPr>
                <w:sz w:val="2"/>
                <w:szCs w:val="2"/>
                <w:color w:val="auto"/>
              </w:rPr>
            </w:pPr>
          </w:p>
        </w:tc>
        <w:tc>
          <w:tcPr>
            <w:tcW w:w="920" w:type="dxa"/>
            <w:vAlign w:val="bottom"/>
          </w:tcPr>
          <w:p>
            <w:pPr>
              <w:spacing w:after="0"/>
              <w:rPr>
                <w:sz w:val="2"/>
                <w:szCs w:val="2"/>
                <w:color w:val="auto"/>
              </w:rPr>
            </w:pPr>
          </w:p>
        </w:tc>
        <w:tc>
          <w:tcPr>
            <w:tcW w:w="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940" w:type="dxa"/>
            <w:vAlign w:val="bottom"/>
          </w:tcPr>
          <w:p>
            <w:pPr>
              <w:spacing w:after="0"/>
              <w:rPr>
                <w:sz w:val="2"/>
                <w:szCs w:val="2"/>
                <w:color w:val="auto"/>
              </w:rPr>
            </w:pPr>
          </w:p>
        </w:tc>
        <w:tc>
          <w:tcPr>
            <w:tcW w:w="500" w:type="dxa"/>
            <w:vAlign w:val="bottom"/>
          </w:tcPr>
          <w:p>
            <w:pPr>
              <w:spacing w:after="0"/>
              <w:rPr>
                <w:sz w:val="2"/>
                <w:szCs w:val="2"/>
                <w:color w:val="auto"/>
              </w:rPr>
            </w:pPr>
          </w:p>
        </w:tc>
        <w:tc>
          <w:tcPr>
            <w:tcW w:w="140" w:type="dxa"/>
            <w:vAlign w:val="bottom"/>
          </w:tcPr>
          <w:p>
            <w:pPr>
              <w:spacing w:after="0"/>
              <w:rPr>
                <w:sz w:val="2"/>
                <w:szCs w:val="2"/>
                <w:color w:val="auto"/>
              </w:rPr>
            </w:pPr>
          </w:p>
        </w:tc>
      </w:tr>
      <w:tr>
        <w:trPr>
          <w:trHeight w:val="205"/>
        </w:trPr>
        <w:tc>
          <w:tcPr>
            <w:tcW w:w="66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Discount accretion, net of premium and deferred origination costs amortization</w:t>
            </w:r>
          </w:p>
        </w:tc>
        <w:tc>
          <w:tcPr>
            <w:tcW w:w="920" w:type="dxa"/>
            <w:vAlign w:val="bottom"/>
            <w:tcBorders>
              <w:bottom w:val="single" w:sz="8" w:color="CCEEFF"/>
            </w:tcBorders>
            <w:shd w:val="clear" w:color="auto" w:fill="CCEEFF"/>
          </w:tcPr>
          <w:p>
            <w:pPr>
              <w:spacing w:after="0"/>
              <w:rPr>
                <w:sz w:val="17"/>
                <w:szCs w:val="17"/>
                <w:color w:val="auto"/>
              </w:rPr>
            </w:pPr>
          </w:p>
        </w:tc>
        <w:tc>
          <w:tcPr>
            <w:tcW w:w="520" w:type="dxa"/>
            <w:vAlign w:val="bottom"/>
            <w:tcBorders>
              <w:bottom w:val="single" w:sz="8" w:color="CCEEFF"/>
            </w:tcBorders>
            <w:shd w:val="clear" w:color="auto" w:fill="CCEEFF"/>
          </w:tcPr>
          <w:p>
            <w:pPr>
              <w:jc w:val="center"/>
              <w:ind w:left="135"/>
              <w:spacing w:after="0"/>
              <w:rPr>
                <w:sz w:val="20"/>
                <w:szCs w:val="20"/>
                <w:color w:val="auto"/>
              </w:rPr>
            </w:pPr>
            <w:r>
              <w:rPr>
                <w:rFonts w:ascii="Arial" w:cs="Arial" w:eastAsia="Arial" w:hAnsi="Arial"/>
                <w:sz w:val="13"/>
                <w:szCs w:val="13"/>
                <w:color w:val="auto"/>
                <w:w w:val="94"/>
              </w:rPr>
              <w:t>0.03</w:t>
            </w:r>
          </w:p>
        </w:tc>
        <w:tc>
          <w:tcPr>
            <w:tcW w:w="12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940" w:type="dxa"/>
            <w:vAlign w:val="bottom"/>
            <w:tcBorders>
              <w:bottom w:val="single" w:sz="8" w:color="CCEEFF"/>
            </w:tcBorders>
            <w:shd w:val="clear" w:color="auto" w:fill="CCEEFF"/>
          </w:tcPr>
          <w:p>
            <w:pPr>
              <w:spacing w:after="0"/>
              <w:rPr>
                <w:sz w:val="17"/>
                <w:szCs w:val="17"/>
                <w:color w:val="auto"/>
              </w:rPr>
            </w:pPr>
          </w:p>
        </w:tc>
        <w:tc>
          <w:tcPr>
            <w:tcW w:w="500" w:type="dxa"/>
            <w:vAlign w:val="bottom"/>
            <w:tcBorders>
              <w:bottom w:val="single" w:sz="8" w:color="CCEEFF"/>
            </w:tcBorders>
            <w:shd w:val="clear" w:color="auto" w:fill="CCEEFF"/>
          </w:tcPr>
          <w:p>
            <w:pPr>
              <w:jc w:val="center"/>
              <w:ind w:left="135"/>
              <w:spacing w:after="0"/>
              <w:rPr>
                <w:sz w:val="20"/>
                <w:szCs w:val="20"/>
                <w:color w:val="auto"/>
              </w:rPr>
            </w:pPr>
            <w:r>
              <w:rPr>
                <w:rFonts w:ascii="Arial" w:cs="Arial" w:eastAsia="Arial" w:hAnsi="Arial"/>
                <w:sz w:val="13"/>
                <w:szCs w:val="13"/>
                <w:color w:val="auto"/>
                <w:w w:val="86"/>
              </w:rPr>
              <w:t>0.07</w:t>
            </w:r>
          </w:p>
        </w:tc>
        <w:tc>
          <w:tcPr>
            <w:tcW w:w="140" w:type="dxa"/>
            <w:vAlign w:val="bottom"/>
            <w:tcBorders>
              <w:bottom w:val="single" w:sz="8" w:color="CCEEFF"/>
            </w:tcBorders>
            <w:shd w:val="clear" w:color="auto" w:fill="CCEEFF"/>
          </w:tcPr>
          <w:p>
            <w:pPr>
              <w:spacing w:after="0"/>
              <w:rPr>
                <w:sz w:val="17"/>
                <w:szCs w:val="17"/>
                <w:color w:val="auto"/>
              </w:rPr>
            </w:pPr>
          </w:p>
        </w:tc>
      </w:tr>
      <w:tr>
        <w:trPr>
          <w:trHeight w:val="169"/>
        </w:trPr>
        <w:tc>
          <w:tcPr>
            <w:tcW w:w="6680" w:type="dxa"/>
            <w:vAlign w:val="bottom"/>
          </w:tcPr>
          <w:p>
            <w:pPr>
              <w:ind w:left="80"/>
              <w:spacing w:after="0"/>
              <w:rPr>
                <w:sz w:val="20"/>
                <w:szCs w:val="20"/>
                <w:color w:val="auto"/>
              </w:rPr>
            </w:pPr>
            <w:r>
              <w:rPr>
                <w:rFonts w:ascii="Arial" w:cs="Arial" w:eastAsia="Arial" w:hAnsi="Arial"/>
                <w:sz w:val="13"/>
                <w:szCs w:val="13"/>
                <w:color w:val="auto"/>
              </w:rPr>
              <w:t>Variable loan yield, net</w:t>
            </w:r>
          </w:p>
        </w:tc>
        <w:tc>
          <w:tcPr>
            <w:tcW w:w="920" w:type="dxa"/>
            <w:vAlign w:val="bottom"/>
            <w:tcBorders>
              <w:top w:val="single" w:sz="8" w:color="auto"/>
            </w:tcBorders>
          </w:tcPr>
          <w:p>
            <w:pPr>
              <w:spacing w:after="0"/>
              <w:rPr>
                <w:sz w:val="14"/>
                <w:szCs w:val="14"/>
                <w:color w:val="auto"/>
              </w:rPr>
            </w:pPr>
          </w:p>
        </w:tc>
        <w:tc>
          <w:tcPr>
            <w:tcW w:w="520" w:type="dxa"/>
            <w:vAlign w:val="bottom"/>
            <w:tcBorders>
              <w:top w:val="single" w:sz="8" w:color="auto"/>
            </w:tcBorders>
          </w:tcPr>
          <w:p>
            <w:pPr>
              <w:jc w:val="center"/>
              <w:ind w:left="135"/>
              <w:spacing w:after="0"/>
              <w:rPr>
                <w:sz w:val="20"/>
                <w:szCs w:val="20"/>
                <w:color w:val="auto"/>
              </w:rPr>
            </w:pPr>
            <w:r>
              <w:rPr>
                <w:rFonts w:ascii="Arial" w:cs="Arial" w:eastAsia="Arial" w:hAnsi="Arial"/>
                <w:sz w:val="13"/>
                <w:szCs w:val="13"/>
                <w:color w:val="auto"/>
                <w:w w:val="94"/>
              </w:rPr>
              <w:t>4.23</w:t>
            </w:r>
          </w:p>
        </w:tc>
        <w:tc>
          <w:tcPr>
            <w:tcW w:w="12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940" w:type="dxa"/>
            <w:vAlign w:val="bottom"/>
            <w:tcBorders>
              <w:top w:val="single" w:sz="8" w:color="auto"/>
            </w:tcBorders>
          </w:tcPr>
          <w:p>
            <w:pPr>
              <w:spacing w:after="0"/>
              <w:rPr>
                <w:sz w:val="14"/>
                <w:szCs w:val="14"/>
                <w:color w:val="auto"/>
              </w:rPr>
            </w:pPr>
          </w:p>
        </w:tc>
        <w:tc>
          <w:tcPr>
            <w:tcW w:w="500" w:type="dxa"/>
            <w:vAlign w:val="bottom"/>
            <w:tcBorders>
              <w:top w:val="single" w:sz="8" w:color="auto"/>
            </w:tcBorders>
          </w:tcPr>
          <w:p>
            <w:pPr>
              <w:jc w:val="center"/>
              <w:ind w:left="135"/>
              <w:spacing w:after="0"/>
              <w:rPr>
                <w:sz w:val="20"/>
                <w:szCs w:val="20"/>
                <w:color w:val="auto"/>
              </w:rPr>
            </w:pPr>
            <w:r>
              <w:rPr>
                <w:rFonts w:ascii="Arial" w:cs="Arial" w:eastAsia="Arial" w:hAnsi="Arial"/>
                <w:sz w:val="13"/>
                <w:szCs w:val="13"/>
                <w:color w:val="auto"/>
                <w:w w:val="86"/>
              </w:rPr>
              <w:t>3.37</w:t>
            </w:r>
          </w:p>
        </w:tc>
        <w:tc>
          <w:tcPr>
            <w:tcW w:w="140" w:type="dxa"/>
            <w:vAlign w:val="bottom"/>
            <w:tcBorders>
              <w:top w:val="single" w:sz="8" w:color="auto"/>
            </w:tcBorders>
          </w:tcPr>
          <w:p>
            <w:pPr>
              <w:spacing w:after="0"/>
              <w:rPr>
                <w:sz w:val="14"/>
                <w:szCs w:val="14"/>
                <w:color w:val="auto"/>
              </w:rPr>
            </w:pPr>
          </w:p>
        </w:tc>
      </w:tr>
      <w:tr>
        <w:trPr>
          <w:trHeight w:val="27"/>
        </w:trPr>
        <w:tc>
          <w:tcPr>
            <w:tcW w:w="6680" w:type="dxa"/>
            <w:vAlign w:val="bottom"/>
          </w:tcPr>
          <w:p>
            <w:pPr>
              <w:spacing w:after="0"/>
              <w:rPr>
                <w:sz w:val="2"/>
                <w:szCs w:val="2"/>
                <w:color w:val="auto"/>
              </w:rPr>
            </w:pPr>
          </w:p>
        </w:tc>
        <w:tc>
          <w:tcPr>
            <w:tcW w:w="920" w:type="dxa"/>
            <w:vAlign w:val="bottom"/>
          </w:tcPr>
          <w:p>
            <w:pPr>
              <w:spacing w:after="0"/>
              <w:rPr>
                <w:sz w:val="2"/>
                <w:szCs w:val="2"/>
                <w:color w:val="auto"/>
              </w:rPr>
            </w:pPr>
          </w:p>
        </w:tc>
        <w:tc>
          <w:tcPr>
            <w:tcW w:w="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940" w:type="dxa"/>
            <w:vAlign w:val="bottom"/>
          </w:tcPr>
          <w:p>
            <w:pPr>
              <w:spacing w:after="0"/>
              <w:rPr>
                <w:sz w:val="2"/>
                <w:szCs w:val="2"/>
                <w:color w:val="auto"/>
              </w:rPr>
            </w:pPr>
          </w:p>
        </w:tc>
        <w:tc>
          <w:tcPr>
            <w:tcW w:w="500" w:type="dxa"/>
            <w:vAlign w:val="bottom"/>
          </w:tcPr>
          <w:p>
            <w:pPr>
              <w:spacing w:after="0"/>
              <w:rPr>
                <w:sz w:val="2"/>
                <w:szCs w:val="2"/>
                <w:color w:val="auto"/>
              </w:rPr>
            </w:pPr>
          </w:p>
        </w:tc>
        <w:tc>
          <w:tcPr>
            <w:tcW w:w="140" w:type="dxa"/>
            <w:vAlign w:val="bottom"/>
          </w:tcPr>
          <w:p>
            <w:pPr>
              <w:spacing w:after="0"/>
              <w:rPr>
                <w:sz w:val="2"/>
                <w:szCs w:val="2"/>
                <w:color w:val="auto"/>
              </w:rPr>
            </w:pPr>
          </w:p>
        </w:tc>
      </w:tr>
      <w:tr>
        <w:trPr>
          <w:trHeight w:val="185"/>
        </w:trPr>
        <w:tc>
          <w:tcPr>
            <w:tcW w:w="66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Loan cost of funds - interest expense</w:t>
            </w:r>
          </w:p>
        </w:tc>
        <w:tc>
          <w:tcPr>
            <w:tcW w:w="920" w:type="dxa"/>
            <w:vAlign w:val="bottom"/>
            <w:tcBorders>
              <w:bottom w:val="single" w:sz="8" w:color="CCEEFF"/>
            </w:tcBorders>
            <w:shd w:val="clear" w:color="auto" w:fill="CCEEFF"/>
          </w:tcPr>
          <w:p>
            <w:pPr>
              <w:spacing w:after="0"/>
              <w:rPr>
                <w:sz w:val="16"/>
                <w:szCs w:val="16"/>
                <w:color w:val="auto"/>
              </w:rPr>
            </w:pPr>
          </w:p>
        </w:tc>
        <w:tc>
          <w:tcPr>
            <w:tcW w:w="520" w:type="dxa"/>
            <w:vAlign w:val="bottom"/>
            <w:tcBorders>
              <w:bottom w:val="single" w:sz="8" w:color="CCEEFF"/>
            </w:tcBorders>
            <w:shd w:val="clear" w:color="auto" w:fill="CCEEFF"/>
          </w:tcPr>
          <w:p>
            <w:pPr>
              <w:jc w:val="center"/>
              <w:ind w:left="115"/>
              <w:spacing w:after="0"/>
              <w:rPr>
                <w:sz w:val="20"/>
                <w:szCs w:val="20"/>
                <w:color w:val="auto"/>
              </w:rPr>
            </w:pPr>
            <w:r>
              <w:rPr>
                <w:rFonts w:ascii="Arial" w:cs="Arial" w:eastAsia="Arial" w:hAnsi="Arial"/>
                <w:sz w:val="13"/>
                <w:szCs w:val="13"/>
                <w:color w:val="auto"/>
                <w:w w:val="88"/>
              </w:rPr>
              <w:t>(3.47)</w:t>
            </w:r>
          </w:p>
        </w:tc>
        <w:tc>
          <w:tcPr>
            <w:tcW w:w="12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940" w:type="dxa"/>
            <w:vAlign w:val="bottom"/>
            <w:tcBorders>
              <w:bottom w:val="single" w:sz="8" w:color="CCEEFF"/>
            </w:tcBorders>
            <w:shd w:val="clear" w:color="auto" w:fill="CCEEFF"/>
          </w:tcPr>
          <w:p>
            <w:pPr>
              <w:spacing w:after="0"/>
              <w:rPr>
                <w:sz w:val="16"/>
                <w:szCs w:val="16"/>
                <w:color w:val="auto"/>
              </w:rPr>
            </w:pPr>
          </w:p>
        </w:tc>
        <w:tc>
          <w:tcPr>
            <w:tcW w:w="500" w:type="dxa"/>
            <w:vAlign w:val="bottom"/>
            <w:tcBorders>
              <w:bottom w:val="single" w:sz="8" w:color="CCEEFF"/>
            </w:tcBorders>
            <w:shd w:val="clear" w:color="auto" w:fill="CCEEFF"/>
          </w:tcPr>
          <w:p>
            <w:pPr>
              <w:jc w:val="center"/>
              <w:ind w:left="115"/>
              <w:spacing w:after="0"/>
              <w:rPr>
                <w:sz w:val="20"/>
                <w:szCs w:val="20"/>
                <w:color w:val="auto"/>
              </w:rPr>
            </w:pPr>
            <w:r>
              <w:rPr>
                <w:rFonts w:ascii="Arial" w:cs="Arial" w:eastAsia="Arial" w:hAnsi="Arial"/>
                <w:sz w:val="13"/>
                <w:szCs w:val="13"/>
                <w:color w:val="auto"/>
                <w:w w:val="94"/>
              </w:rPr>
              <w:t>(2.53)</w:t>
            </w:r>
          </w:p>
        </w:tc>
        <w:tc>
          <w:tcPr>
            <w:tcW w:w="140" w:type="dxa"/>
            <w:vAlign w:val="bottom"/>
            <w:tcBorders>
              <w:bottom w:val="single" w:sz="8" w:color="CCEEFF"/>
            </w:tcBorders>
            <w:shd w:val="clear" w:color="auto" w:fill="CCEEFF"/>
          </w:tcPr>
          <w:p>
            <w:pPr>
              <w:spacing w:after="0"/>
              <w:rPr>
                <w:sz w:val="16"/>
                <w:szCs w:val="16"/>
                <w:color w:val="auto"/>
              </w:rPr>
            </w:pPr>
          </w:p>
        </w:tc>
      </w:tr>
      <w:tr>
        <w:trPr>
          <w:trHeight w:val="178"/>
        </w:trPr>
        <w:tc>
          <w:tcPr>
            <w:tcW w:w="6680" w:type="dxa"/>
            <w:vAlign w:val="bottom"/>
          </w:tcPr>
          <w:p>
            <w:pPr>
              <w:spacing w:after="0"/>
              <w:rPr>
                <w:sz w:val="20"/>
                <w:szCs w:val="20"/>
                <w:color w:val="auto"/>
              </w:rPr>
            </w:pPr>
            <w:r>
              <w:rPr>
                <w:rFonts w:ascii="Arial" w:cs="Arial" w:eastAsia="Arial" w:hAnsi="Arial"/>
                <w:sz w:val="13"/>
                <w:szCs w:val="13"/>
                <w:color w:val="auto"/>
              </w:rPr>
              <w:t>Loan cost of funds - derivative settlements (a) (b)</w:t>
            </w:r>
          </w:p>
        </w:tc>
        <w:tc>
          <w:tcPr>
            <w:tcW w:w="920" w:type="dxa"/>
            <w:vAlign w:val="bottom"/>
          </w:tcPr>
          <w:p>
            <w:pPr>
              <w:spacing w:after="0"/>
              <w:rPr>
                <w:sz w:val="15"/>
                <w:szCs w:val="15"/>
                <w:color w:val="auto"/>
              </w:rPr>
            </w:pPr>
          </w:p>
        </w:tc>
        <w:tc>
          <w:tcPr>
            <w:tcW w:w="520" w:type="dxa"/>
            <w:vAlign w:val="bottom"/>
          </w:tcPr>
          <w:p>
            <w:pPr>
              <w:jc w:val="center"/>
              <w:ind w:left="135"/>
              <w:spacing w:after="0"/>
              <w:rPr>
                <w:sz w:val="20"/>
                <w:szCs w:val="20"/>
                <w:color w:val="auto"/>
              </w:rPr>
            </w:pPr>
            <w:r>
              <w:rPr>
                <w:rFonts w:ascii="Arial" w:cs="Arial" w:eastAsia="Arial" w:hAnsi="Arial"/>
                <w:sz w:val="13"/>
                <w:szCs w:val="13"/>
                <w:color w:val="auto"/>
                <w:w w:val="94"/>
              </w:rPr>
              <w:t>0.04</w:t>
            </w: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500" w:type="dxa"/>
            <w:vAlign w:val="bottom"/>
          </w:tcPr>
          <w:p>
            <w:pPr>
              <w:jc w:val="center"/>
              <w:ind w:left="115"/>
              <w:spacing w:after="0"/>
              <w:rPr>
                <w:sz w:val="20"/>
                <w:szCs w:val="20"/>
                <w:color w:val="auto"/>
              </w:rPr>
            </w:pPr>
            <w:r>
              <w:rPr>
                <w:rFonts w:ascii="Arial" w:cs="Arial" w:eastAsia="Arial" w:hAnsi="Arial"/>
                <w:sz w:val="13"/>
                <w:szCs w:val="13"/>
                <w:color w:val="auto"/>
                <w:w w:val="94"/>
              </w:rPr>
              <w:t>(0.03)</w:t>
            </w:r>
          </w:p>
        </w:tc>
        <w:tc>
          <w:tcPr>
            <w:tcW w:w="140" w:type="dxa"/>
            <w:vAlign w:val="bottom"/>
          </w:tcPr>
          <w:p>
            <w:pPr>
              <w:spacing w:after="0"/>
              <w:rPr>
                <w:sz w:val="15"/>
                <w:szCs w:val="15"/>
                <w:color w:val="auto"/>
              </w:rPr>
            </w:pPr>
          </w:p>
        </w:tc>
      </w:tr>
      <w:tr>
        <w:trPr>
          <w:trHeight w:val="27"/>
        </w:trPr>
        <w:tc>
          <w:tcPr>
            <w:tcW w:w="6680" w:type="dxa"/>
            <w:vAlign w:val="bottom"/>
            <w:tcBorders>
              <w:bottom w:val="single" w:sz="8" w:color="CCEEFF"/>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r>
      <w:tr>
        <w:trPr>
          <w:trHeight w:val="196"/>
        </w:trPr>
        <w:tc>
          <w:tcPr>
            <w:tcW w:w="6680" w:type="dxa"/>
            <w:vAlign w:val="bottom"/>
            <w:tcBorders>
              <w:bottom w:val="single" w:sz="8" w:color="CCEEFF"/>
            </w:tcBorders>
            <w:shd w:val="clear" w:color="auto" w:fill="CCEEFF"/>
          </w:tcPr>
          <w:p>
            <w:pPr>
              <w:ind w:left="80"/>
              <w:spacing w:after="0"/>
              <w:rPr>
                <w:sz w:val="20"/>
                <w:szCs w:val="20"/>
                <w:color w:val="auto"/>
              </w:rPr>
            </w:pPr>
            <w:r>
              <w:rPr>
                <w:rFonts w:ascii="Arial" w:cs="Arial" w:eastAsia="Arial" w:hAnsi="Arial"/>
                <w:sz w:val="13"/>
                <w:szCs w:val="13"/>
                <w:color w:val="auto"/>
              </w:rPr>
              <w:t>Variable loan spread</w:t>
            </w:r>
          </w:p>
        </w:tc>
        <w:tc>
          <w:tcPr>
            <w:tcW w:w="920" w:type="dxa"/>
            <w:vAlign w:val="bottom"/>
            <w:tcBorders>
              <w:bottom w:val="single" w:sz="8" w:color="CCEEFF"/>
            </w:tcBorders>
            <w:shd w:val="clear" w:color="auto" w:fill="CCEEFF"/>
          </w:tcPr>
          <w:p>
            <w:pPr>
              <w:spacing w:after="0"/>
              <w:rPr>
                <w:sz w:val="17"/>
                <w:szCs w:val="17"/>
                <w:color w:val="auto"/>
              </w:rPr>
            </w:pPr>
          </w:p>
        </w:tc>
        <w:tc>
          <w:tcPr>
            <w:tcW w:w="520" w:type="dxa"/>
            <w:vAlign w:val="bottom"/>
            <w:tcBorders>
              <w:bottom w:val="single" w:sz="8" w:color="CCEEFF"/>
            </w:tcBorders>
            <w:shd w:val="clear" w:color="auto" w:fill="CCEEFF"/>
          </w:tcPr>
          <w:p>
            <w:pPr>
              <w:jc w:val="center"/>
              <w:ind w:left="135"/>
              <w:spacing w:after="0"/>
              <w:rPr>
                <w:sz w:val="20"/>
                <w:szCs w:val="20"/>
                <w:color w:val="auto"/>
              </w:rPr>
            </w:pPr>
            <w:r>
              <w:rPr>
                <w:rFonts w:ascii="Arial" w:cs="Arial" w:eastAsia="Arial" w:hAnsi="Arial"/>
                <w:sz w:val="13"/>
                <w:szCs w:val="13"/>
                <w:color w:val="auto"/>
                <w:w w:val="94"/>
              </w:rPr>
              <w:t>0.80</w:t>
            </w:r>
          </w:p>
        </w:tc>
        <w:tc>
          <w:tcPr>
            <w:tcW w:w="12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940" w:type="dxa"/>
            <w:vAlign w:val="bottom"/>
            <w:tcBorders>
              <w:bottom w:val="single" w:sz="8" w:color="CCEEFF"/>
            </w:tcBorders>
            <w:shd w:val="clear" w:color="auto" w:fill="CCEEFF"/>
          </w:tcPr>
          <w:p>
            <w:pPr>
              <w:spacing w:after="0"/>
              <w:rPr>
                <w:sz w:val="17"/>
                <w:szCs w:val="17"/>
                <w:color w:val="auto"/>
              </w:rPr>
            </w:pPr>
          </w:p>
        </w:tc>
        <w:tc>
          <w:tcPr>
            <w:tcW w:w="500" w:type="dxa"/>
            <w:vAlign w:val="bottom"/>
            <w:tcBorders>
              <w:bottom w:val="single" w:sz="8" w:color="CCEEFF"/>
            </w:tcBorders>
            <w:shd w:val="clear" w:color="auto" w:fill="CCEEFF"/>
          </w:tcPr>
          <w:p>
            <w:pPr>
              <w:jc w:val="center"/>
              <w:ind w:left="135"/>
              <w:spacing w:after="0"/>
              <w:rPr>
                <w:sz w:val="20"/>
                <w:szCs w:val="20"/>
                <w:color w:val="auto"/>
              </w:rPr>
            </w:pPr>
            <w:r>
              <w:rPr>
                <w:rFonts w:ascii="Arial" w:cs="Arial" w:eastAsia="Arial" w:hAnsi="Arial"/>
                <w:sz w:val="13"/>
                <w:szCs w:val="13"/>
                <w:color w:val="auto"/>
                <w:w w:val="86"/>
              </w:rPr>
              <w:t>0.81</w:t>
            </w:r>
          </w:p>
        </w:tc>
        <w:tc>
          <w:tcPr>
            <w:tcW w:w="140" w:type="dxa"/>
            <w:vAlign w:val="bottom"/>
            <w:tcBorders>
              <w:bottom w:val="single" w:sz="8" w:color="CCEEFF"/>
            </w:tcBorders>
            <w:shd w:val="clear" w:color="auto" w:fill="CCEEFF"/>
          </w:tcPr>
          <w:p>
            <w:pPr>
              <w:spacing w:after="0"/>
              <w:rPr>
                <w:sz w:val="17"/>
                <w:szCs w:val="17"/>
                <w:color w:val="auto"/>
              </w:rPr>
            </w:pPr>
          </w:p>
        </w:tc>
      </w:tr>
      <w:tr>
        <w:trPr>
          <w:trHeight w:val="169"/>
        </w:trPr>
        <w:tc>
          <w:tcPr>
            <w:tcW w:w="6680" w:type="dxa"/>
            <w:vAlign w:val="bottom"/>
          </w:tcPr>
          <w:p>
            <w:pPr>
              <w:spacing w:after="0" w:line="148" w:lineRule="exact"/>
              <w:rPr>
                <w:sz w:val="20"/>
                <w:szCs w:val="20"/>
                <w:color w:val="auto"/>
              </w:rPr>
            </w:pPr>
            <w:r>
              <w:rPr>
                <w:rFonts w:ascii="Arial" w:cs="Arial" w:eastAsia="Arial" w:hAnsi="Arial"/>
                <w:sz w:val="13"/>
                <w:szCs w:val="13"/>
                <w:color w:val="auto"/>
              </w:rPr>
              <w:t>Fixed rate floor income, gross</w:t>
            </w:r>
          </w:p>
        </w:tc>
        <w:tc>
          <w:tcPr>
            <w:tcW w:w="920" w:type="dxa"/>
            <w:vAlign w:val="bottom"/>
            <w:tcBorders>
              <w:top w:val="single" w:sz="8" w:color="auto"/>
            </w:tcBorders>
          </w:tcPr>
          <w:p>
            <w:pPr>
              <w:spacing w:after="0"/>
              <w:rPr>
                <w:sz w:val="14"/>
                <w:szCs w:val="14"/>
                <w:color w:val="auto"/>
              </w:rPr>
            </w:pPr>
          </w:p>
        </w:tc>
        <w:tc>
          <w:tcPr>
            <w:tcW w:w="520" w:type="dxa"/>
            <w:vAlign w:val="bottom"/>
            <w:tcBorders>
              <w:top w:val="single" w:sz="8" w:color="auto"/>
            </w:tcBorders>
          </w:tcPr>
          <w:p>
            <w:pPr>
              <w:jc w:val="center"/>
              <w:ind w:left="135"/>
              <w:spacing w:after="0"/>
              <w:rPr>
                <w:sz w:val="20"/>
                <w:szCs w:val="20"/>
                <w:color w:val="auto"/>
              </w:rPr>
            </w:pPr>
            <w:r>
              <w:rPr>
                <w:rFonts w:ascii="Arial" w:cs="Arial" w:eastAsia="Arial" w:hAnsi="Arial"/>
                <w:sz w:val="13"/>
                <w:szCs w:val="13"/>
                <w:color w:val="auto"/>
                <w:w w:val="94"/>
              </w:rPr>
              <w:t>0.19</w:t>
            </w:r>
          </w:p>
        </w:tc>
        <w:tc>
          <w:tcPr>
            <w:tcW w:w="12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940" w:type="dxa"/>
            <w:vAlign w:val="bottom"/>
            <w:tcBorders>
              <w:top w:val="single" w:sz="8" w:color="auto"/>
            </w:tcBorders>
          </w:tcPr>
          <w:p>
            <w:pPr>
              <w:spacing w:after="0"/>
              <w:rPr>
                <w:sz w:val="14"/>
                <w:szCs w:val="14"/>
                <w:color w:val="auto"/>
              </w:rPr>
            </w:pPr>
          </w:p>
        </w:tc>
        <w:tc>
          <w:tcPr>
            <w:tcW w:w="500" w:type="dxa"/>
            <w:vAlign w:val="bottom"/>
            <w:tcBorders>
              <w:top w:val="single" w:sz="8" w:color="auto"/>
            </w:tcBorders>
          </w:tcPr>
          <w:p>
            <w:pPr>
              <w:jc w:val="center"/>
              <w:ind w:left="135"/>
              <w:spacing w:after="0"/>
              <w:rPr>
                <w:sz w:val="20"/>
                <w:szCs w:val="20"/>
                <w:color w:val="auto"/>
              </w:rPr>
            </w:pPr>
            <w:r>
              <w:rPr>
                <w:rFonts w:ascii="Arial" w:cs="Arial" w:eastAsia="Arial" w:hAnsi="Arial"/>
                <w:sz w:val="13"/>
                <w:szCs w:val="13"/>
                <w:color w:val="auto"/>
                <w:w w:val="86"/>
              </w:rPr>
              <w:t>0.32</w:t>
            </w:r>
          </w:p>
        </w:tc>
        <w:tc>
          <w:tcPr>
            <w:tcW w:w="140" w:type="dxa"/>
            <w:vAlign w:val="bottom"/>
            <w:tcBorders>
              <w:top w:val="single" w:sz="8" w:color="auto"/>
            </w:tcBorders>
          </w:tcPr>
          <w:p>
            <w:pPr>
              <w:spacing w:after="0"/>
              <w:rPr>
                <w:sz w:val="14"/>
                <w:szCs w:val="14"/>
                <w:color w:val="auto"/>
              </w:rPr>
            </w:pPr>
          </w:p>
        </w:tc>
      </w:tr>
      <w:tr>
        <w:trPr>
          <w:trHeight w:val="27"/>
        </w:trPr>
        <w:tc>
          <w:tcPr>
            <w:tcW w:w="6680" w:type="dxa"/>
            <w:vAlign w:val="bottom"/>
          </w:tcPr>
          <w:p>
            <w:pPr>
              <w:spacing w:after="0"/>
              <w:rPr>
                <w:sz w:val="2"/>
                <w:szCs w:val="2"/>
                <w:color w:val="auto"/>
              </w:rPr>
            </w:pPr>
          </w:p>
        </w:tc>
        <w:tc>
          <w:tcPr>
            <w:tcW w:w="920" w:type="dxa"/>
            <w:vAlign w:val="bottom"/>
          </w:tcPr>
          <w:p>
            <w:pPr>
              <w:spacing w:after="0"/>
              <w:rPr>
                <w:sz w:val="2"/>
                <w:szCs w:val="2"/>
                <w:color w:val="auto"/>
              </w:rPr>
            </w:pPr>
          </w:p>
        </w:tc>
        <w:tc>
          <w:tcPr>
            <w:tcW w:w="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940" w:type="dxa"/>
            <w:vAlign w:val="bottom"/>
          </w:tcPr>
          <w:p>
            <w:pPr>
              <w:spacing w:after="0"/>
              <w:rPr>
                <w:sz w:val="2"/>
                <w:szCs w:val="2"/>
                <w:color w:val="auto"/>
              </w:rPr>
            </w:pPr>
          </w:p>
        </w:tc>
        <w:tc>
          <w:tcPr>
            <w:tcW w:w="500" w:type="dxa"/>
            <w:vAlign w:val="bottom"/>
          </w:tcPr>
          <w:p>
            <w:pPr>
              <w:spacing w:after="0"/>
              <w:rPr>
                <w:sz w:val="2"/>
                <w:szCs w:val="2"/>
                <w:color w:val="auto"/>
              </w:rPr>
            </w:pPr>
          </w:p>
        </w:tc>
        <w:tc>
          <w:tcPr>
            <w:tcW w:w="140" w:type="dxa"/>
            <w:vAlign w:val="bottom"/>
          </w:tcPr>
          <w:p>
            <w:pPr>
              <w:spacing w:after="0"/>
              <w:rPr>
                <w:sz w:val="2"/>
                <w:szCs w:val="2"/>
                <w:color w:val="auto"/>
              </w:rPr>
            </w:pPr>
          </w:p>
        </w:tc>
      </w:tr>
      <w:tr>
        <w:trPr>
          <w:trHeight w:val="205"/>
        </w:trPr>
        <w:tc>
          <w:tcPr>
            <w:tcW w:w="66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Fixed rate floor income - derivative settlements (a) (c)</w:t>
            </w:r>
          </w:p>
        </w:tc>
        <w:tc>
          <w:tcPr>
            <w:tcW w:w="920" w:type="dxa"/>
            <w:vAlign w:val="bottom"/>
            <w:tcBorders>
              <w:bottom w:val="single" w:sz="8" w:color="CCEEFF"/>
            </w:tcBorders>
            <w:shd w:val="clear" w:color="auto" w:fill="CCEEFF"/>
          </w:tcPr>
          <w:p>
            <w:pPr>
              <w:spacing w:after="0"/>
              <w:rPr>
                <w:sz w:val="17"/>
                <w:szCs w:val="17"/>
                <w:color w:val="auto"/>
              </w:rPr>
            </w:pPr>
          </w:p>
        </w:tc>
        <w:tc>
          <w:tcPr>
            <w:tcW w:w="520" w:type="dxa"/>
            <w:vAlign w:val="bottom"/>
            <w:tcBorders>
              <w:bottom w:val="single" w:sz="8" w:color="CCEEFF"/>
            </w:tcBorders>
            <w:shd w:val="clear" w:color="auto" w:fill="CCEEFF"/>
          </w:tcPr>
          <w:p>
            <w:pPr>
              <w:jc w:val="center"/>
              <w:ind w:left="135"/>
              <w:spacing w:after="0"/>
              <w:rPr>
                <w:sz w:val="20"/>
                <w:szCs w:val="20"/>
                <w:color w:val="auto"/>
              </w:rPr>
            </w:pPr>
            <w:r>
              <w:rPr>
                <w:rFonts w:ascii="Arial" w:cs="Arial" w:eastAsia="Arial" w:hAnsi="Arial"/>
                <w:sz w:val="13"/>
                <w:szCs w:val="13"/>
                <w:color w:val="auto"/>
                <w:w w:val="94"/>
              </w:rPr>
              <w:t>0.31</w:t>
            </w:r>
          </w:p>
        </w:tc>
        <w:tc>
          <w:tcPr>
            <w:tcW w:w="12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940" w:type="dxa"/>
            <w:vAlign w:val="bottom"/>
            <w:tcBorders>
              <w:bottom w:val="single" w:sz="8" w:color="CCEEFF"/>
            </w:tcBorders>
            <w:shd w:val="clear" w:color="auto" w:fill="CCEEFF"/>
          </w:tcPr>
          <w:p>
            <w:pPr>
              <w:spacing w:after="0"/>
              <w:rPr>
                <w:sz w:val="17"/>
                <w:szCs w:val="17"/>
                <w:color w:val="auto"/>
              </w:rPr>
            </w:pPr>
          </w:p>
        </w:tc>
        <w:tc>
          <w:tcPr>
            <w:tcW w:w="500" w:type="dxa"/>
            <w:vAlign w:val="bottom"/>
            <w:tcBorders>
              <w:bottom w:val="single" w:sz="8" w:color="CCEEFF"/>
            </w:tcBorders>
            <w:shd w:val="clear" w:color="auto" w:fill="CCEEFF"/>
          </w:tcPr>
          <w:p>
            <w:pPr>
              <w:jc w:val="center"/>
              <w:ind w:left="135"/>
              <w:spacing w:after="0"/>
              <w:rPr>
                <w:sz w:val="20"/>
                <w:szCs w:val="20"/>
                <w:color w:val="auto"/>
              </w:rPr>
            </w:pPr>
            <w:r>
              <w:rPr>
                <w:rFonts w:ascii="Arial" w:cs="Arial" w:eastAsia="Arial" w:hAnsi="Arial"/>
                <w:sz w:val="13"/>
                <w:szCs w:val="13"/>
                <w:color w:val="auto"/>
                <w:w w:val="86"/>
              </w:rPr>
              <w:t>0.16</w:t>
            </w:r>
          </w:p>
        </w:tc>
        <w:tc>
          <w:tcPr>
            <w:tcW w:w="140" w:type="dxa"/>
            <w:vAlign w:val="bottom"/>
            <w:tcBorders>
              <w:bottom w:val="single" w:sz="8" w:color="CCEEFF"/>
            </w:tcBorders>
            <w:shd w:val="clear" w:color="auto" w:fill="CCEEFF"/>
          </w:tcPr>
          <w:p>
            <w:pPr>
              <w:spacing w:after="0"/>
              <w:rPr>
                <w:sz w:val="17"/>
                <w:szCs w:val="17"/>
                <w:color w:val="auto"/>
              </w:rPr>
            </w:pPr>
          </w:p>
        </w:tc>
      </w:tr>
      <w:tr>
        <w:trPr>
          <w:trHeight w:val="169"/>
        </w:trPr>
        <w:tc>
          <w:tcPr>
            <w:tcW w:w="6680" w:type="dxa"/>
            <w:vAlign w:val="bottom"/>
          </w:tcPr>
          <w:p>
            <w:pPr>
              <w:ind w:left="140"/>
              <w:spacing w:after="0" w:line="148" w:lineRule="exact"/>
              <w:rPr>
                <w:sz w:val="20"/>
                <w:szCs w:val="20"/>
                <w:color w:val="auto"/>
              </w:rPr>
            </w:pPr>
            <w:r>
              <w:rPr>
                <w:rFonts w:ascii="Arial" w:cs="Arial" w:eastAsia="Arial" w:hAnsi="Arial"/>
                <w:sz w:val="13"/>
                <w:szCs w:val="13"/>
                <w:color w:val="auto"/>
              </w:rPr>
              <w:t>Fixed rate floor income, net of settlements on derivatives</w:t>
            </w:r>
          </w:p>
        </w:tc>
        <w:tc>
          <w:tcPr>
            <w:tcW w:w="920" w:type="dxa"/>
            <w:vAlign w:val="bottom"/>
            <w:tcBorders>
              <w:top w:val="single" w:sz="8" w:color="auto"/>
            </w:tcBorders>
          </w:tcPr>
          <w:p>
            <w:pPr>
              <w:spacing w:after="0"/>
              <w:rPr>
                <w:sz w:val="14"/>
                <w:szCs w:val="14"/>
                <w:color w:val="auto"/>
              </w:rPr>
            </w:pPr>
          </w:p>
        </w:tc>
        <w:tc>
          <w:tcPr>
            <w:tcW w:w="520" w:type="dxa"/>
            <w:vAlign w:val="bottom"/>
            <w:tcBorders>
              <w:top w:val="single" w:sz="8" w:color="auto"/>
            </w:tcBorders>
          </w:tcPr>
          <w:p>
            <w:pPr>
              <w:jc w:val="center"/>
              <w:ind w:left="135"/>
              <w:spacing w:after="0"/>
              <w:rPr>
                <w:sz w:val="20"/>
                <w:szCs w:val="20"/>
                <w:color w:val="auto"/>
              </w:rPr>
            </w:pPr>
            <w:r>
              <w:rPr>
                <w:rFonts w:ascii="Arial" w:cs="Arial" w:eastAsia="Arial" w:hAnsi="Arial"/>
                <w:sz w:val="13"/>
                <w:szCs w:val="13"/>
                <w:color w:val="auto"/>
                <w:w w:val="94"/>
              </w:rPr>
              <w:t>0.50</w:t>
            </w:r>
          </w:p>
        </w:tc>
        <w:tc>
          <w:tcPr>
            <w:tcW w:w="12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940" w:type="dxa"/>
            <w:vAlign w:val="bottom"/>
            <w:tcBorders>
              <w:top w:val="single" w:sz="8" w:color="auto"/>
            </w:tcBorders>
          </w:tcPr>
          <w:p>
            <w:pPr>
              <w:spacing w:after="0"/>
              <w:rPr>
                <w:sz w:val="14"/>
                <w:szCs w:val="14"/>
                <w:color w:val="auto"/>
              </w:rPr>
            </w:pPr>
          </w:p>
        </w:tc>
        <w:tc>
          <w:tcPr>
            <w:tcW w:w="500" w:type="dxa"/>
            <w:vAlign w:val="bottom"/>
            <w:tcBorders>
              <w:top w:val="single" w:sz="8" w:color="auto"/>
            </w:tcBorders>
          </w:tcPr>
          <w:p>
            <w:pPr>
              <w:jc w:val="center"/>
              <w:ind w:left="135"/>
              <w:spacing w:after="0"/>
              <w:rPr>
                <w:sz w:val="20"/>
                <w:szCs w:val="20"/>
                <w:color w:val="auto"/>
              </w:rPr>
            </w:pPr>
            <w:r>
              <w:rPr>
                <w:rFonts w:ascii="Arial" w:cs="Arial" w:eastAsia="Arial" w:hAnsi="Arial"/>
                <w:sz w:val="13"/>
                <w:szCs w:val="13"/>
                <w:color w:val="auto"/>
                <w:w w:val="86"/>
              </w:rPr>
              <w:t>0.48</w:t>
            </w:r>
          </w:p>
        </w:tc>
        <w:tc>
          <w:tcPr>
            <w:tcW w:w="140" w:type="dxa"/>
            <w:vAlign w:val="bottom"/>
            <w:tcBorders>
              <w:top w:val="single" w:sz="8" w:color="auto"/>
            </w:tcBorders>
          </w:tcPr>
          <w:p>
            <w:pPr>
              <w:spacing w:after="0"/>
              <w:rPr>
                <w:sz w:val="14"/>
                <w:szCs w:val="14"/>
                <w:color w:val="auto"/>
              </w:rPr>
            </w:pPr>
          </w:p>
        </w:tc>
      </w:tr>
      <w:tr>
        <w:trPr>
          <w:trHeight w:val="27"/>
        </w:trPr>
        <w:tc>
          <w:tcPr>
            <w:tcW w:w="6680" w:type="dxa"/>
            <w:vAlign w:val="bottom"/>
            <w:tcBorders>
              <w:bottom w:val="single" w:sz="8" w:color="CCEEFF"/>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r>
      <w:tr>
        <w:trPr>
          <w:trHeight w:val="218"/>
        </w:trPr>
        <w:tc>
          <w:tcPr>
            <w:tcW w:w="668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3"/>
                <w:szCs w:val="13"/>
                <w:color w:val="auto"/>
              </w:rPr>
              <w:t>Core loan spread (d)</w:t>
            </w:r>
          </w:p>
        </w:tc>
        <w:tc>
          <w:tcPr>
            <w:tcW w:w="920" w:type="dxa"/>
            <w:vAlign w:val="bottom"/>
            <w:tcBorders>
              <w:bottom w:val="single" w:sz="8" w:color="auto"/>
            </w:tcBorders>
            <w:shd w:val="clear" w:color="auto" w:fill="CCEEFF"/>
          </w:tcPr>
          <w:p>
            <w:pPr>
              <w:spacing w:after="0"/>
              <w:rPr>
                <w:sz w:val="18"/>
                <w:szCs w:val="18"/>
                <w:color w:val="auto"/>
              </w:rPr>
            </w:pPr>
          </w:p>
        </w:tc>
        <w:tc>
          <w:tcPr>
            <w:tcW w:w="520" w:type="dxa"/>
            <w:vAlign w:val="bottom"/>
            <w:tcBorders>
              <w:bottom w:val="single" w:sz="8" w:color="auto"/>
            </w:tcBorders>
            <w:shd w:val="clear" w:color="auto" w:fill="CCEEFF"/>
          </w:tcPr>
          <w:p>
            <w:pPr>
              <w:jc w:val="center"/>
              <w:ind w:left="135"/>
              <w:spacing w:after="0"/>
              <w:rPr>
                <w:sz w:val="20"/>
                <w:szCs w:val="20"/>
                <w:color w:val="auto"/>
              </w:rPr>
            </w:pPr>
            <w:r>
              <w:rPr>
                <w:rFonts w:ascii="Arial" w:cs="Arial" w:eastAsia="Arial" w:hAnsi="Arial"/>
                <w:sz w:val="13"/>
                <w:szCs w:val="13"/>
                <w:color w:val="auto"/>
                <w:w w:val="94"/>
              </w:rPr>
              <w:t>1.30</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6"/>
              </w:rPr>
              <w:t>%</w:t>
            </w:r>
          </w:p>
        </w:tc>
        <w:tc>
          <w:tcPr>
            <w:tcW w:w="100" w:type="dxa"/>
            <w:vAlign w:val="bottom"/>
            <w:tcBorders>
              <w:bottom w:val="single" w:sz="8" w:color="CCEEFF"/>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spacing w:after="0"/>
              <w:rPr>
                <w:sz w:val="18"/>
                <w:szCs w:val="18"/>
                <w:color w:val="auto"/>
              </w:rPr>
            </w:pPr>
          </w:p>
        </w:tc>
        <w:tc>
          <w:tcPr>
            <w:tcW w:w="500" w:type="dxa"/>
            <w:vAlign w:val="bottom"/>
            <w:tcBorders>
              <w:bottom w:val="single" w:sz="8" w:color="auto"/>
            </w:tcBorders>
            <w:shd w:val="clear" w:color="auto" w:fill="CCEEFF"/>
          </w:tcPr>
          <w:p>
            <w:pPr>
              <w:jc w:val="center"/>
              <w:ind w:left="135"/>
              <w:spacing w:after="0"/>
              <w:rPr>
                <w:sz w:val="20"/>
                <w:szCs w:val="20"/>
                <w:color w:val="auto"/>
              </w:rPr>
            </w:pPr>
            <w:r>
              <w:rPr>
                <w:rFonts w:ascii="Arial" w:cs="Arial" w:eastAsia="Arial" w:hAnsi="Arial"/>
                <w:sz w:val="13"/>
                <w:szCs w:val="13"/>
                <w:color w:val="auto"/>
                <w:w w:val="86"/>
              </w:rPr>
              <w:t>1.29</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6"/>
              </w:rPr>
              <w:t>%</w:t>
            </w:r>
          </w:p>
        </w:tc>
      </w:tr>
      <w:tr>
        <w:trPr>
          <w:trHeight w:val="20"/>
        </w:trPr>
        <w:tc>
          <w:tcPr>
            <w:tcW w:w="6680" w:type="dxa"/>
            <w:vAlign w:val="bottom"/>
            <w:tcBorders>
              <w:top w:val="single" w:sz="8" w:color="CCEEFF"/>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640" w:type="dxa"/>
            <w:vAlign w:val="bottom"/>
            <w:tcBorders>
              <w:top w:val="single" w:sz="8" w:color="CCEEFF"/>
              <w:bottom w:val="single" w:sz="8" w:color="auto"/>
            </w:tcBorders>
            <w:gridSpan w:val="2"/>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640" w:type="dxa"/>
            <w:vAlign w:val="bottom"/>
            <w:tcBorders>
              <w:top w:val="single" w:sz="8" w:color="CCEEFF"/>
              <w:bottom w:val="single" w:sz="8" w:color="auto"/>
            </w:tcBorders>
            <w:gridSpan w:val="2"/>
          </w:tcPr>
          <w:p>
            <w:pPr>
              <w:spacing w:after="0" w:line="20" w:lineRule="exact"/>
              <w:rPr>
                <w:sz w:val="1"/>
                <w:szCs w:val="1"/>
                <w:color w:val="auto"/>
              </w:rPr>
            </w:pPr>
          </w:p>
        </w:tc>
      </w:tr>
      <w:tr>
        <w:trPr>
          <w:trHeight w:val="219"/>
        </w:trPr>
        <w:tc>
          <w:tcPr>
            <w:tcW w:w="6680" w:type="dxa"/>
            <w:vAlign w:val="bottom"/>
          </w:tcPr>
          <w:p>
            <w:pPr>
              <w:spacing w:after="0"/>
              <w:rPr>
                <w:sz w:val="20"/>
                <w:szCs w:val="20"/>
                <w:color w:val="auto"/>
              </w:rPr>
            </w:pPr>
            <w:r>
              <w:rPr>
                <w:rFonts w:ascii="Arial" w:cs="Arial" w:eastAsia="Arial" w:hAnsi="Arial"/>
                <w:sz w:val="13"/>
                <w:szCs w:val="13"/>
                <w:color w:val="auto"/>
              </w:rPr>
              <w:t>Average balance of loans</w:t>
            </w:r>
          </w:p>
        </w:tc>
        <w:tc>
          <w:tcPr>
            <w:tcW w:w="920" w:type="dxa"/>
            <w:vAlign w:val="bottom"/>
          </w:tcPr>
          <w:p>
            <w:pPr>
              <w:jc w:val="right"/>
              <w:ind w:right="775"/>
              <w:spacing w:after="0"/>
              <w:rPr>
                <w:sz w:val="20"/>
                <w:szCs w:val="20"/>
                <w:color w:val="auto"/>
              </w:rPr>
            </w:pPr>
            <w:r>
              <w:rPr>
                <w:rFonts w:ascii="Arial" w:cs="Arial" w:eastAsia="Arial" w:hAnsi="Arial"/>
                <w:sz w:val="13"/>
                <w:szCs w:val="13"/>
                <w:color w:val="auto"/>
                <w:w w:val="82"/>
              </w:rPr>
              <w:t>$</w:t>
            </w:r>
          </w:p>
        </w:tc>
        <w:tc>
          <w:tcPr>
            <w:tcW w:w="640" w:type="dxa"/>
            <w:vAlign w:val="bottom"/>
            <w:gridSpan w:val="2"/>
          </w:tcPr>
          <w:p>
            <w:pPr>
              <w:jc w:val="right"/>
              <w:spacing w:after="0"/>
              <w:rPr>
                <w:sz w:val="20"/>
                <w:szCs w:val="20"/>
                <w:color w:val="auto"/>
              </w:rPr>
            </w:pPr>
            <w:r>
              <w:rPr>
                <w:rFonts w:ascii="Arial" w:cs="Arial" w:eastAsia="Arial" w:hAnsi="Arial"/>
                <w:sz w:val="13"/>
                <w:szCs w:val="13"/>
                <w:color w:val="auto"/>
                <w:w w:val="89"/>
              </w:rPr>
              <w:t>22,313,270</w:t>
            </w:r>
          </w:p>
        </w:tc>
        <w:tc>
          <w:tcPr>
            <w:tcW w:w="1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640" w:type="dxa"/>
            <w:vAlign w:val="bottom"/>
            <w:gridSpan w:val="2"/>
          </w:tcPr>
          <w:p>
            <w:pPr>
              <w:jc w:val="right"/>
              <w:spacing w:after="0"/>
              <w:rPr>
                <w:sz w:val="20"/>
                <w:szCs w:val="20"/>
                <w:color w:val="auto"/>
              </w:rPr>
            </w:pPr>
            <w:r>
              <w:rPr>
                <w:rFonts w:ascii="Arial" w:cs="Arial" w:eastAsia="Arial" w:hAnsi="Arial"/>
                <w:sz w:val="13"/>
                <w:szCs w:val="13"/>
                <w:color w:val="auto"/>
                <w:w w:val="89"/>
              </w:rPr>
              <w:t>21,871,501</w:t>
            </w:r>
          </w:p>
        </w:tc>
      </w:tr>
      <w:tr>
        <w:trPr>
          <w:trHeight w:val="205"/>
        </w:trPr>
        <w:tc>
          <w:tcPr>
            <w:tcW w:w="6680" w:type="dxa"/>
            <w:vAlign w:val="bottom"/>
          </w:tcPr>
          <w:p>
            <w:pPr>
              <w:spacing w:after="0"/>
              <w:rPr>
                <w:sz w:val="20"/>
                <w:szCs w:val="20"/>
                <w:color w:val="auto"/>
              </w:rPr>
            </w:pPr>
            <w:r>
              <w:rPr>
                <w:rFonts w:ascii="Arial" w:cs="Arial" w:eastAsia="Arial" w:hAnsi="Arial"/>
                <w:sz w:val="13"/>
                <w:szCs w:val="13"/>
                <w:color w:val="auto"/>
              </w:rPr>
              <w:t>Average balance of debt outstanding</w:t>
            </w:r>
          </w:p>
        </w:tc>
        <w:tc>
          <w:tcPr>
            <w:tcW w:w="920" w:type="dxa"/>
            <w:vAlign w:val="bottom"/>
          </w:tcPr>
          <w:p>
            <w:pPr>
              <w:spacing w:after="0"/>
              <w:rPr>
                <w:sz w:val="17"/>
                <w:szCs w:val="17"/>
                <w:color w:val="auto"/>
              </w:rPr>
            </w:pPr>
          </w:p>
        </w:tc>
        <w:tc>
          <w:tcPr>
            <w:tcW w:w="640" w:type="dxa"/>
            <w:vAlign w:val="bottom"/>
            <w:gridSpan w:val="2"/>
          </w:tcPr>
          <w:p>
            <w:pPr>
              <w:jc w:val="right"/>
              <w:spacing w:after="0"/>
              <w:rPr>
                <w:sz w:val="20"/>
                <w:szCs w:val="20"/>
                <w:color w:val="auto"/>
              </w:rPr>
            </w:pPr>
            <w:r>
              <w:rPr>
                <w:rFonts w:ascii="Arial" w:cs="Arial" w:eastAsia="Arial" w:hAnsi="Arial"/>
                <w:sz w:val="13"/>
                <w:szCs w:val="13"/>
                <w:color w:val="auto"/>
                <w:w w:val="89"/>
              </w:rPr>
              <w:t>21,989,065</w:t>
            </w:r>
          </w:p>
        </w:tc>
        <w:tc>
          <w:tcPr>
            <w:tcW w:w="1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640" w:type="dxa"/>
            <w:vAlign w:val="bottom"/>
            <w:gridSpan w:val="2"/>
          </w:tcPr>
          <w:p>
            <w:pPr>
              <w:jc w:val="right"/>
              <w:spacing w:after="0"/>
              <w:rPr>
                <w:sz w:val="20"/>
                <w:szCs w:val="20"/>
                <w:color w:val="auto"/>
              </w:rPr>
            </w:pPr>
            <w:r>
              <w:rPr>
                <w:rFonts w:ascii="Arial" w:cs="Arial" w:eastAsia="Arial" w:hAnsi="Arial"/>
                <w:sz w:val="13"/>
                <w:szCs w:val="13"/>
                <w:color w:val="auto"/>
                <w:w w:val="89"/>
              </w:rPr>
              <w:t>21,449,449</w:t>
            </w:r>
          </w:p>
        </w:tc>
      </w:tr>
    </w:tbl>
    <w:p>
      <w:pPr>
        <w:spacing w:after="0" w:line="339" w:lineRule="exact"/>
        <w:rPr>
          <w:sz w:val="20"/>
          <w:szCs w:val="20"/>
          <w:color w:val="auto"/>
        </w:rPr>
      </w:pPr>
    </w:p>
    <w:p>
      <w:pPr>
        <w:spacing w:after="0"/>
        <w:rPr>
          <w:sz w:val="20"/>
          <w:szCs w:val="20"/>
          <w:color w:val="auto"/>
        </w:rPr>
      </w:pPr>
      <w:r>
        <w:rPr>
          <w:rFonts w:ascii="Arial" w:cs="Arial" w:eastAsia="Arial" w:hAnsi="Arial"/>
          <w:sz w:val="14"/>
          <w:szCs w:val="14"/>
          <w:color w:val="auto"/>
        </w:rPr>
        <w:t>(a) Derivative settlements represent the cash paid or received during the current period to settle with derivative instrument</w:t>
      </w:r>
    </w:p>
    <w:p>
      <w:pPr>
        <w:spacing w:after="0" w:line="21" w:lineRule="exact"/>
        <w:rPr>
          <w:sz w:val="20"/>
          <w:szCs w:val="20"/>
          <w:color w:val="auto"/>
        </w:rPr>
      </w:pPr>
    </w:p>
    <w:p>
      <w:pPr>
        <w:jc w:val="both"/>
        <w:ind w:left="520"/>
        <w:spacing w:after="0" w:line="282" w:lineRule="auto"/>
        <w:rPr>
          <w:sz w:val="20"/>
          <w:szCs w:val="20"/>
          <w:color w:val="auto"/>
        </w:rPr>
      </w:pPr>
      <w:r>
        <w:rPr>
          <w:rFonts w:ascii="Arial" w:cs="Arial" w:eastAsia="Arial" w:hAnsi="Arial"/>
          <w:sz w:val="13"/>
          <w:szCs w:val="13"/>
          <w:color w:val="auto"/>
        </w:rPr>
        <w:t>counterparties the economic effect of the Company's derivative instruments based on their contractual terms. Derivative accounting requires that net settlements with respect to derivatives that do not qualify for "hedge treatment" under GAAP be recorded in a separate income statement line item below net interest income. The Company maintains an overall risk management strategy that incorporates the use of derivative instruments to reduce the economic effect of interest rate volatility. As such, management believes derivative settlements for each applicable period should be evaluated with the Company’s net interest income (loan spread) as presented in this table. The Company reports this non-GAAP information because it believes that it provides additional information regarding operational and performance indicators that are closely assessed by management. There is no comprehensive, authoritative guidance for the presentation of such non-GAAP information, which is only meant to supplement GAAP results by providing additional information that management utilizes to assess performance. See note 4 of the notes to consolidated financial statements included under Part I, Item 1 of this report for additional information on the Company's derivative instruments, including the net settlement activity recognized by the Company for each type of derivative for the periods presented in the table under the caption "Income Statement Impact" in note 4 and in this table.</w:t>
      </w:r>
    </w:p>
    <w:p>
      <w:pPr>
        <w:spacing w:after="0" w:line="94" w:lineRule="exact"/>
        <w:rPr>
          <w:sz w:val="20"/>
          <w:szCs w:val="20"/>
          <w:color w:val="auto"/>
        </w:rPr>
      </w:pPr>
    </w:p>
    <w:p>
      <w:pPr>
        <w:ind w:left="200" w:hanging="194"/>
        <w:spacing w:after="0"/>
        <w:tabs>
          <w:tab w:leader="none" w:pos="200" w:val="left"/>
        </w:tabs>
        <w:numPr>
          <w:ilvl w:val="0"/>
          <w:numId w:val="28"/>
        </w:numPr>
        <w:rPr>
          <w:rFonts w:ascii="Arial" w:cs="Arial" w:eastAsia="Arial" w:hAnsi="Arial"/>
          <w:sz w:val="14"/>
          <w:szCs w:val="14"/>
          <w:color w:val="auto"/>
        </w:rPr>
      </w:pPr>
      <w:r>
        <w:rPr>
          <w:rFonts w:ascii="Arial" w:cs="Arial" w:eastAsia="Arial" w:hAnsi="Arial"/>
          <w:sz w:val="14"/>
          <w:szCs w:val="14"/>
          <w:color w:val="auto"/>
        </w:rPr>
        <w:t>Derivative settlements include the net settlements received (paid) related to the Company’s 1:3 basis swaps.</w:t>
      </w:r>
    </w:p>
    <w:p>
      <w:pPr>
        <w:spacing w:after="0" w:line="140" w:lineRule="exact"/>
        <w:rPr>
          <w:rFonts w:ascii="Arial" w:cs="Arial" w:eastAsia="Arial" w:hAnsi="Arial"/>
          <w:sz w:val="14"/>
          <w:szCs w:val="14"/>
          <w:color w:val="auto"/>
        </w:rPr>
      </w:pPr>
    </w:p>
    <w:p>
      <w:pPr>
        <w:ind w:left="200" w:hanging="194"/>
        <w:spacing w:after="0"/>
        <w:tabs>
          <w:tab w:leader="none" w:pos="200" w:val="left"/>
        </w:tabs>
        <w:numPr>
          <w:ilvl w:val="0"/>
          <w:numId w:val="28"/>
        </w:numPr>
        <w:rPr>
          <w:rFonts w:ascii="Arial" w:cs="Arial" w:eastAsia="Arial" w:hAnsi="Arial"/>
          <w:sz w:val="14"/>
          <w:szCs w:val="14"/>
          <w:color w:val="auto"/>
        </w:rPr>
      </w:pPr>
      <w:r>
        <w:rPr>
          <w:rFonts w:ascii="Arial" w:cs="Arial" w:eastAsia="Arial" w:hAnsi="Arial"/>
          <w:sz w:val="14"/>
          <w:szCs w:val="14"/>
          <w:color w:val="auto"/>
        </w:rPr>
        <w:t>Derivative settlements include the net settlements received (paid) related to the Company’s floor income interest rate swaps.</w:t>
      </w:r>
    </w:p>
    <w:p>
      <w:pPr>
        <w:spacing w:after="0" w:line="140" w:lineRule="exact"/>
        <w:rPr>
          <w:rFonts w:ascii="Arial" w:cs="Arial" w:eastAsia="Arial" w:hAnsi="Arial"/>
          <w:sz w:val="14"/>
          <w:szCs w:val="14"/>
          <w:color w:val="auto"/>
        </w:rPr>
      </w:pPr>
    </w:p>
    <w:p>
      <w:pPr>
        <w:ind w:left="520" w:hanging="514"/>
        <w:spacing w:after="0" w:line="264" w:lineRule="auto"/>
        <w:tabs>
          <w:tab w:leader="none" w:pos="215" w:val="left"/>
        </w:tabs>
        <w:numPr>
          <w:ilvl w:val="0"/>
          <w:numId w:val="28"/>
        </w:numPr>
        <w:rPr>
          <w:rFonts w:ascii="Arial" w:cs="Arial" w:eastAsia="Arial" w:hAnsi="Arial"/>
          <w:sz w:val="14"/>
          <w:szCs w:val="14"/>
          <w:color w:val="auto"/>
        </w:rPr>
      </w:pPr>
      <w:r>
        <w:rPr>
          <w:rFonts w:ascii="Arial" w:cs="Arial" w:eastAsia="Arial" w:hAnsi="Arial"/>
          <w:sz w:val="14"/>
          <w:szCs w:val="14"/>
          <w:color w:val="auto"/>
        </w:rPr>
        <w:t>Other than consumer loans funded in the Company's consumer loan warehouse facility that closed on January 11, 2019, consumer loans were and continue to be funded by the Company using operating cash, until they can be funded in a secured financing transaction. As such, these loans do not have a cost of funds (debt) associated with them. The average balance of consumer loans outstanding for the three months ended March 31, 2019 and 2018 was $159.2 million and $67.1 million, respectively, and the average balance outstanding on the consumer loan warehouse facility for the three months ended March 31, 2019 was $77.2 million. Core loan spread, excluding consumer loans, would have been 1.22% and 1.25% for the three months ended March 31, 2019 and 2018, respectively.</w:t>
      </w:r>
    </w:p>
    <w:p>
      <w:pPr>
        <w:spacing w:after="0" w:line="200" w:lineRule="exact"/>
        <w:rPr>
          <w:sz w:val="20"/>
          <w:szCs w:val="20"/>
          <w:color w:val="auto"/>
        </w:rPr>
      </w:pPr>
    </w:p>
    <w:p>
      <w:pPr>
        <w:spacing w:after="0" w:line="348"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44</w:t>
      </w:r>
    </w:p>
    <w:p>
      <w:pPr>
        <w:sectPr>
          <w:pgSz w:w="11900" w:h="16838" w:orient="portrait"/>
          <w:cols w:equalWidth="0" w:num="1">
            <w:col w:w="11460"/>
          </w:cols>
          <w:pgMar w:left="220" w:top="743" w:right="219" w:bottom="1440" w:gutter="0" w:footer="0" w:header="0"/>
        </w:sectPr>
      </w:pPr>
    </w:p>
    <w:bookmarkStart w:id="45" w:name="page46"/>
    <w:bookmarkEnd w:id="45"/>
    <w:p>
      <w:pPr>
        <w:spacing w:after="0"/>
        <w:rPr>
          <w:sz w:val="20"/>
          <w:szCs w:val="20"/>
          <w:color w:val="auto"/>
        </w:rPr>
      </w:pPr>
      <w:r>
        <w:rPr>
          <w:rFonts w:ascii="Arial" w:cs="Arial" w:eastAsia="Arial" w:hAnsi="Arial"/>
          <w:sz w:val="14"/>
          <w:szCs w:val="14"/>
          <w:color w:val="auto"/>
        </w:rPr>
        <w:t>A trend analysis of the Company's core and variable loan spreads is summarized below.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1304290</wp:posOffset>
            </wp:positionH>
            <wp:positionV relativeFrom="paragraph">
              <wp:posOffset>13970</wp:posOffset>
            </wp:positionV>
            <wp:extent cx="4680585" cy="275082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4680585" cy="27508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ind w:left="140"/>
        <w:spacing w:after="0"/>
        <w:rPr>
          <w:sz w:val="20"/>
          <w:szCs w:val="20"/>
          <w:color w:val="auto"/>
        </w:rPr>
      </w:pPr>
      <w:r>
        <w:rPr>
          <w:rFonts w:ascii="Arial" w:cs="Arial" w:eastAsia="Arial" w:hAnsi="Arial"/>
          <w:sz w:val="14"/>
          <w:szCs w:val="14"/>
          <w:color w:val="auto"/>
        </w:rPr>
        <w:t>(a) The interest earned on the majority of the Company's FFELP student loan assets is indexed to the one-month LIBOR</w:t>
      </w:r>
    </w:p>
    <w:p>
      <w:pPr>
        <w:spacing w:after="0" w:line="13" w:lineRule="exact"/>
        <w:rPr>
          <w:sz w:val="20"/>
          <w:szCs w:val="20"/>
          <w:color w:val="auto"/>
        </w:rPr>
      </w:pPr>
    </w:p>
    <w:p>
      <w:pPr>
        <w:jc w:val="both"/>
        <w:ind w:left="660" w:right="260"/>
        <w:spacing w:after="0" w:line="241" w:lineRule="auto"/>
        <w:rPr>
          <w:sz w:val="20"/>
          <w:szCs w:val="20"/>
          <w:color w:val="auto"/>
        </w:rPr>
      </w:pPr>
      <w:r>
        <w:rPr>
          <w:rFonts w:ascii="Arial" w:cs="Arial" w:eastAsia="Arial" w:hAnsi="Arial"/>
          <w:sz w:val="14"/>
          <w:szCs w:val="14"/>
          <w:color w:val="auto"/>
        </w:rPr>
        <w:t>rate. The Company funds a large portion of its assets with three-month LIBOR indexed floating rate securities. The relationship between the indices in which the Company earns interest on its loans and funds such loans has a significant impact on loan spread. This table (the right axis) shows the difference between the Company's liability base rate and the one-month LIBOR rate by quarter. See Item 3, “Quantitative and Qualitative Disclosures About Market Risk - Interest Rate Risk,” which provides additional detail on the Company’s FFELP student loan assets and related funding for those assets.</w:t>
      </w:r>
    </w:p>
    <w:p>
      <w:pPr>
        <w:spacing w:after="0" w:line="122" w:lineRule="exact"/>
        <w:rPr>
          <w:sz w:val="20"/>
          <w:szCs w:val="20"/>
          <w:color w:val="auto"/>
        </w:rPr>
      </w:pPr>
    </w:p>
    <w:p>
      <w:pPr>
        <w:jc w:val="both"/>
        <w:spacing w:after="0" w:line="302" w:lineRule="auto"/>
        <w:rPr>
          <w:sz w:val="20"/>
          <w:szCs w:val="20"/>
          <w:color w:val="auto"/>
        </w:rPr>
      </w:pPr>
      <w:r>
        <w:rPr>
          <w:rFonts w:ascii="Arial" w:cs="Arial" w:eastAsia="Arial" w:hAnsi="Arial"/>
          <w:sz w:val="13"/>
          <w:szCs w:val="13"/>
          <w:color w:val="auto"/>
        </w:rPr>
        <w:t>Variable loan spread decreased during the three months ended March 31, 2019 as compared to the same period in 2018 due to a widening in the basis between the asset and debt indices in which the Company earns interest on its loans and funds such loans (as reflected in the table above), partially offset by a net increase in 1:3 basis swap settlements received and an increase in the Company's consumer loan portfolio. Variable loan spread without consumer loans was 0.72% and 0.77% for the three months ended March 31, 2019 and 2018, respectively.</w:t>
      </w:r>
    </w:p>
    <w:p>
      <w:pPr>
        <w:spacing w:after="0" w:line="82" w:lineRule="exact"/>
        <w:rPr>
          <w:sz w:val="20"/>
          <w:szCs w:val="20"/>
          <w:color w:val="auto"/>
        </w:rPr>
      </w:pPr>
    </w:p>
    <w:p>
      <w:pPr>
        <w:spacing w:after="0"/>
        <w:rPr>
          <w:sz w:val="20"/>
          <w:szCs w:val="20"/>
          <w:color w:val="auto"/>
        </w:rPr>
      </w:pPr>
      <w:r>
        <w:rPr>
          <w:rFonts w:ascii="Arial" w:cs="Arial" w:eastAsia="Arial" w:hAnsi="Arial"/>
          <w:sz w:val="14"/>
          <w:szCs w:val="14"/>
          <w:color w:val="auto"/>
        </w:rPr>
        <w:t>The difference between variable loan spread and core loan spread is fixed rate floor income. A summary of fixed rate floor income and its contribution to core loan spread follows:</w:t>
      </w:r>
    </w:p>
    <w:p>
      <w:pPr>
        <w:spacing w:after="0" w:line="55" w:lineRule="exact"/>
        <w:rPr>
          <w:sz w:val="20"/>
          <w:szCs w:val="20"/>
          <w:color w:val="auto"/>
        </w:rPr>
      </w:pPr>
    </w:p>
    <w:tbl>
      <w:tblPr>
        <w:tblLayout w:type="fixed"/>
        <w:tblInd w:w="1920" w:type="dxa"/>
        <w:tblCellMar>
          <w:top w:w="0" w:type="dxa"/>
          <w:left w:w="0" w:type="dxa"/>
          <w:bottom w:w="0" w:type="dxa"/>
          <w:right w:w="0" w:type="dxa"/>
        </w:tblCellMar>
      </w:tblPr>
      <w:tr>
        <w:trPr>
          <w:trHeight w:val="167"/>
        </w:trPr>
        <w:tc>
          <w:tcPr>
            <w:tcW w:w="4360" w:type="dxa"/>
            <w:vAlign w:val="bottom"/>
          </w:tcPr>
          <w:p>
            <w:pPr>
              <w:spacing w:after="0"/>
              <w:rPr>
                <w:sz w:val="14"/>
                <w:szCs w:val="14"/>
                <w:color w:val="auto"/>
              </w:rPr>
            </w:pPr>
          </w:p>
        </w:tc>
        <w:tc>
          <w:tcPr>
            <w:tcW w:w="2740" w:type="dxa"/>
            <w:vAlign w:val="bottom"/>
            <w:gridSpan w:val="4"/>
          </w:tcPr>
          <w:p>
            <w:pPr>
              <w:ind w:left="780"/>
              <w:spacing w:after="0"/>
              <w:rPr>
                <w:sz w:val="20"/>
                <w:szCs w:val="20"/>
                <w:color w:val="auto"/>
              </w:rPr>
            </w:pPr>
            <w:r>
              <w:rPr>
                <w:rFonts w:ascii="Arial" w:cs="Arial" w:eastAsia="Arial" w:hAnsi="Arial"/>
                <w:sz w:val="13"/>
                <w:szCs w:val="13"/>
                <w:b w:val="1"/>
                <w:bCs w:val="1"/>
                <w:color w:val="auto"/>
              </w:rPr>
              <w:t>Three months ended March 31,</w:t>
            </w:r>
          </w:p>
        </w:tc>
        <w:tc>
          <w:tcPr>
            <w:tcW w:w="540" w:type="dxa"/>
            <w:vAlign w:val="bottom"/>
          </w:tcPr>
          <w:p>
            <w:pPr>
              <w:spacing w:after="0"/>
              <w:rPr>
                <w:sz w:val="14"/>
                <w:szCs w:val="14"/>
                <w:color w:val="auto"/>
              </w:rPr>
            </w:pPr>
          </w:p>
        </w:tc>
      </w:tr>
      <w:tr>
        <w:trPr>
          <w:trHeight w:val="27"/>
        </w:trPr>
        <w:tc>
          <w:tcPr>
            <w:tcW w:w="4360" w:type="dxa"/>
            <w:vAlign w:val="bottom"/>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gridSpan w:val="3"/>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r>
      <w:tr>
        <w:trPr>
          <w:trHeight w:val="169"/>
        </w:trPr>
        <w:tc>
          <w:tcPr>
            <w:tcW w:w="4360" w:type="dxa"/>
            <w:vAlign w:val="bottom"/>
          </w:tcPr>
          <w:p>
            <w:pPr>
              <w:spacing w:after="0"/>
              <w:rPr>
                <w:sz w:val="14"/>
                <w:szCs w:val="14"/>
                <w:color w:val="auto"/>
              </w:rPr>
            </w:pPr>
          </w:p>
        </w:tc>
        <w:tc>
          <w:tcPr>
            <w:tcW w:w="1060" w:type="dxa"/>
            <w:vAlign w:val="bottom"/>
          </w:tcPr>
          <w:p>
            <w:pPr>
              <w:jc w:val="right"/>
              <w:ind w:right="55"/>
              <w:spacing w:after="0"/>
              <w:rPr>
                <w:sz w:val="20"/>
                <w:szCs w:val="20"/>
                <w:color w:val="auto"/>
              </w:rPr>
            </w:pPr>
            <w:r>
              <w:rPr>
                <w:rFonts w:ascii="Arial" w:cs="Arial" w:eastAsia="Arial" w:hAnsi="Arial"/>
                <w:sz w:val="13"/>
                <w:szCs w:val="13"/>
                <w:b w:val="1"/>
                <w:bCs w:val="1"/>
                <w:color w:val="auto"/>
              </w:rPr>
              <w:t>2019</w:t>
            </w:r>
          </w:p>
        </w:tc>
        <w:tc>
          <w:tcPr>
            <w:tcW w:w="1680" w:type="dxa"/>
            <w:vAlign w:val="bottom"/>
            <w:gridSpan w:val="3"/>
          </w:tcPr>
          <w:p>
            <w:pPr>
              <w:ind w:left="1300"/>
              <w:spacing w:after="0"/>
              <w:rPr>
                <w:sz w:val="20"/>
                <w:szCs w:val="20"/>
                <w:color w:val="auto"/>
              </w:rPr>
            </w:pPr>
            <w:r>
              <w:rPr>
                <w:rFonts w:ascii="Arial" w:cs="Arial" w:eastAsia="Arial" w:hAnsi="Arial"/>
                <w:sz w:val="13"/>
                <w:szCs w:val="13"/>
                <w:b w:val="1"/>
                <w:bCs w:val="1"/>
                <w:color w:val="auto"/>
              </w:rPr>
              <w:t>2018</w:t>
            </w:r>
          </w:p>
        </w:tc>
        <w:tc>
          <w:tcPr>
            <w:tcW w:w="540" w:type="dxa"/>
            <w:vAlign w:val="bottom"/>
          </w:tcPr>
          <w:p>
            <w:pPr>
              <w:spacing w:after="0"/>
              <w:rPr>
                <w:sz w:val="14"/>
                <w:szCs w:val="14"/>
                <w:color w:val="auto"/>
              </w:rPr>
            </w:pPr>
          </w:p>
        </w:tc>
      </w:tr>
      <w:tr>
        <w:trPr>
          <w:trHeight w:val="27"/>
        </w:trPr>
        <w:tc>
          <w:tcPr>
            <w:tcW w:w="4360" w:type="dxa"/>
            <w:vAlign w:val="bottom"/>
            <w:tcBorders>
              <w:bottom w:val="single" w:sz="8" w:color="CCEEFF"/>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r>
      <w:tr>
        <w:trPr>
          <w:trHeight w:val="176"/>
        </w:trPr>
        <w:tc>
          <w:tcPr>
            <w:tcW w:w="43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Fixed rate floor income, gross</w:t>
            </w:r>
          </w:p>
        </w:tc>
        <w:tc>
          <w:tcPr>
            <w:tcW w:w="1060" w:type="dxa"/>
            <w:vAlign w:val="bottom"/>
            <w:tcBorders>
              <w:bottom w:val="single" w:sz="8" w:color="CCEEFF"/>
            </w:tcBorders>
            <w:shd w:val="clear" w:color="auto" w:fill="CCEEFF"/>
          </w:tcPr>
          <w:p>
            <w:pPr>
              <w:jc w:val="right"/>
              <w:ind w:right="915"/>
              <w:spacing w:after="0"/>
              <w:rPr>
                <w:sz w:val="20"/>
                <w:szCs w:val="20"/>
                <w:color w:val="auto"/>
              </w:rPr>
            </w:pPr>
            <w:r>
              <w:rPr>
                <w:rFonts w:ascii="Arial" w:cs="Arial" w:eastAsia="Arial" w:hAnsi="Arial"/>
                <w:sz w:val="13"/>
                <w:szCs w:val="13"/>
                <w:color w:val="auto"/>
                <w:w w:val="82"/>
              </w:rPr>
              <w:t>$</w:t>
            </w:r>
          </w:p>
        </w:tc>
        <w:tc>
          <w:tcPr>
            <w:tcW w:w="54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3"/>
                <w:szCs w:val="13"/>
                <w:color w:val="auto"/>
                <w:w w:val="95"/>
              </w:rPr>
              <w:t>10,425</w:t>
            </w:r>
          </w:p>
        </w:tc>
        <w:tc>
          <w:tcPr>
            <w:tcW w:w="120" w:type="dxa"/>
            <w:vAlign w:val="bottom"/>
            <w:tcBorders>
              <w:bottom w:val="single" w:sz="8" w:color="CCEEFF"/>
            </w:tcBorders>
            <w:shd w:val="clear" w:color="auto" w:fill="CCEEFF"/>
          </w:tcPr>
          <w:p>
            <w:pPr>
              <w:spacing w:after="0"/>
              <w:rPr>
                <w:sz w:val="15"/>
                <w:szCs w:val="15"/>
                <w:color w:val="auto"/>
              </w:rPr>
            </w:pPr>
          </w:p>
        </w:tc>
        <w:tc>
          <w:tcPr>
            <w:tcW w:w="1020" w:type="dxa"/>
            <w:vAlign w:val="bottom"/>
            <w:tcBorders>
              <w:bottom w:val="single" w:sz="8" w:color="CCEEFF"/>
            </w:tcBorders>
            <w:shd w:val="clear" w:color="auto" w:fill="CCEEFF"/>
          </w:tcPr>
          <w:p>
            <w:pPr>
              <w:spacing w:after="0"/>
              <w:rPr>
                <w:sz w:val="15"/>
                <w:szCs w:val="15"/>
                <w:color w:val="auto"/>
              </w:rPr>
            </w:pPr>
          </w:p>
        </w:tc>
        <w:tc>
          <w:tcPr>
            <w:tcW w:w="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17,247</w:t>
            </w:r>
          </w:p>
        </w:tc>
      </w:tr>
      <w:tr>
        <w:trPr>
          <w:trHeight w:val="178"/>
        </w:trPr>
        <w:tc>
          <w:tcPr>
            <w:tcW w:w="4360" w:type="dxa"/>
            <w:vAlign w:val="bottom"/>
          </w:tcPr>
          <w:p>
            <w:pPr>
              <w:spacing w:after="0"/>
              <w:rPr>
                <w:sz w:val="20"/>
                <w:szCs w:val="20"/>
                <w:color w:val="auto"/>
              </w:rPr>
            </w:pPr>
            <w:r>
              <w:rPr>
                <w:rFonts w:ascii="Arial" w:cs="Arial" w:eastAsia="Arial" w:hAnsi="Arial"/>
                <w:sz w:val="13"/>
                <w:szCs w:val="13"/>
                <w:color w:val="auto"/>
              </w:rPr>
              <w:t>Derivative settlements (a)</w:t>
            </w:r>
          </w:p>
        </w:tc>
        <w:tc>
          <w:tcPr>
            <w:tcW w:w="1060" w:type="dxa"/>
            <w:vAlign w:val="bottom"/>
          </w:tcPr>
          <w:p>
            <w:pPr>
              <w:spacing w:after="0"/>
              <w:rPr>
                <w:sz w:val="15"/>
                <w:szCs w:val="15"/>
                <w:color w:val="auto"/>
              </w:rPr>
            </w:pPr>
          </w:p>
        </w:tc>
        <w:tc>
          <w:tcPr>
            <w:tcW w:w="540" w:type="dxa"/>
            <w:vAlign w:val="bottom"/>
          </w:tcPr>
          <w:p>
            <w:pPr>
              <w:ind w:left="140"/>
              <w:spacing w:after="0"/>
              <w:rPr>
                <w:sz w:val="20"/>
                <w:szCs w:val="20"/>
                <w:color w:val="auto"/>
              </w:rPr>
            </w:pPr>
            <w:r>
              <w:rPr>
                <w:rFonts w:ascii="Arial" w:cs="Arial" w:eastAsia="Arial" w:hAnsi="Arial"/>
                <w:sz w:val="13"/>
                <w:szCs w:val="13"/>
                <w:color w:val="auto"/>
                <w:w w:val="95"/>
              </w:rPr>
              <w:t>16,701</w:t>
            </w:r>
          </w:p>
        </w:tc>
        <w:tc>
          <w:tcPr>
            <w:tcW w:w="12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540" w:type="dxa"/>
            <w:vAlign w:val="bottom"/>
          </w:tcPr>
          <w:p>
            <w:pPr>
              <w:jc w:val="right"/>
              <w:spacing w:after="0"/>
              <w:rPr>
                <w:sz w:val="20"/>
                <w:szCs w:val="20"/>
                <w:color w:val="auto"/>
              </w:rPr>
            </w:pPr>
            <w:r>
              <w:rPr>
                <w:rFonts w:ascii="Arial" w:cs="Arial" w:eastAsia="Arial" w:hAnsi="Arial"/>
                <w:sz w:val="13"/>
                <w:szCs w:val="13"/>
                <w:color w:val="auto"/>
              </w:rPr>
              <w:t>8,590</w:t>
            </w:r>
          </w:p>
        </w:tc>
      </w:tr>
      <w:tr>
        <w:trPr>
          <w:trHeight w:val="27"/>
        </w:trPr>
        <w:tc>
          <w:tcPr>
            <w:tcW w:w="4360" w:type="dxa"/>
            <w:vAlign w:val="bottom"/>
            <w:tcBorders>
              <w:bottom w:val="single" w:sz="8" w:color="CCEEFF"/>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r>
      <w:tr>
        <w:trPr>
          <w:trHeight w:val="218"/>
        </w:trPr>
        <w:tc>
          <w:tcPr>
            <w:tcW w:w="43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Fixed rate floor income, net</w:t>
            </w:r>
          </w:p>
        </w:tc>
        <w:tc>
          <w:tcPr>
            <w:tcW w:w="1060" w:type="dxa"/>
            <w:vAlign w:val="bottom"/>
            <w:tcBorders>
              <w:bottom w:val="single" w:sz="8" w:color="auto"/>
            </w:tcBorders>
            <w:shd w:val="clear" w:color="auto" w:fill="CCEEFF"/>
          </w:tcPr>
          <w:p>
            <w:pPr>
              <w:jc w:val="right"/>
              <w:ind w:right="915"/>
              <w:spacing w:after="0"/>
              <w:rPr>
                <w:sz w:val="20"/>
                <w:szCs w:val="20"/>
                <w:color w:val="auto"/>
              </w:rPr>
            </w:pPr>
            <w:r>
              <w:rPr>
                <w:rFonts w:ascii="Arial" w:cs="Arial" w:eastAsia="Arial" w:hAnsi="Arial"/>
                <w:sz w:val="13"/>
                <w:szCs w:val="13"/>
                <w:color w:val="auto"/>
                <w:w w:val="82"/>
              </w:rPr>
              <w:t>$</w:t>
            </w:r>
          </w:p>
        </w:tc>
        <w:tc>
          <w:tcPr>
            <w:tcW w:w="540" w:type="dxa"/>
            <w:vAlign w:val="bottom"/>
            <w:tcBorders>
              <w:bottom w:val="single" w:sz="8" w:color="auto"/>
            </w:tcBorders>
            <w:shd w:val="clear" w:color="auto" w:fill="CCEEFF"/>
          </w:tcPr>
          <w:p>
            <w:pPr>
              <w:ind w:left="140"/>
              <w:spacing w:after="0"/>
              <w:rPr>
                <w:sz w:val="20"/>
                <w:szCs w:val="20"/>
                <w:color w:val="auto"/>
              </w:rPr>
            </w:pPr>
            <w:r>
              <w:rPr>
                <w:rFonts w:ascii="Arial" w:cs="Arial" w:eastAsia="Arial" w:hAnsi="Arial"/>
                <w:sz w:val="13"/>
                <w:szCs w:val="13"/>
                <w:color w:val="auto"/>
                <w:w w:val="95"/>
              </w:rPr>
              <w:t>27,126</w:t>
            </w:r>
          </w:p>
        </w:tc>
        <w:tc>
          <w:tcPr>
            <w:tcW w:w="120" w:type="dxa"/>
            <w:vAlign w:val="bottom"/>
            <w:tcBorders>
              <w:bottom w:val="single" w:sz="8" w:color="CCEEFF"/>
            </w:tcBorders>
            <w:shd w:val="clear" w:color="auto" w:fill="CCEEFF"/>
          </w:tcPr>
          <w:p>
            <w:pPr>
              <w:spacing w:after="0"/>
              <w:rPr>
                <w:sz w:val="18"/>
                <w:szCs w:val="18"/>
                <w:color w:val="auto"/>
              </w:rPr>
            </w:pPr>
          </w:p>
        </w:tc>
        <w:tc>
          <w:tcPr>
            <w:tcW w:w="1020" w:type="dxa"/>
            <w:vAlign w:val="bottom"/>
            <w:tcBorders>
              <w:bottom w:val="single" w:sz="8" w:color="auto"/>
            </w:tcBorders>
            <w:shd w:val="clear" w:color="auto" w:fill="CCEEFF"/>
          </w:tcPr>
          <w:p>
            <w:pPr>
              <w:spacing w:after="0"/>
              <w:rPr>
                <w:sz w:val="18"/>
                <w:szCs w:val="18"/>
                <w:color w:val="auto"/>
              </w:rPr>
            </w:pPr>
          </w:p>
        </w:tc>
        <w:tc>
          <w:tcPr>
            <w:tcW w:w="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25,837</w:t>
            </w:r>
          </w:p>
        </w:tc>
      </w:tr>
      <w:tr>
        <w:trPr>
          <w:trHeight w:val="20"/>
        </w:trPr>
        <w:tc>
          <w:tcPr>
            <w:tcW w:w="436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5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540" w:type="dxa"/>
            <w:vAlign w:val="bottom"/>
            <w:tcBorders>
              <w:top w:val="single" w:sz="8" w:color="CCEEFF"/>
              <w:bottom w:val="single" w:sz="8" w:color="auto"/>
            </w:tcBorders>
          </w:tcPr>
          <w:p>
            <w:pPr>
              <w:spacing w:after="0" w:line="20" w:lineRule="exact"/>
              <w:rPr>
                <w:sz w:val="1"/>
                <w:szCs w:val="1"/>
                <w:color w:val="auto"/>
              </w:rPr>
            </w:pPr>
          </w:p>
        </w:tc>
      </w:tr>
      <w:tr>
        <w:trPr>
          <w:trHeight w:val="144"/>
        </w:trPr>
        <w:tc>
          <w:tcPr>
            <w:tcW w:w="4360" w:type="dxa"/>
            <w:vAlign w:val="bottom"/>
          </w:tcPr>
          <w:p>
            <w:pPr>
              <w:spacing w:after="0" w:line="144" w:lineRule="exact"/>
              <w:rPr>
                <w:sz w:val="20"/>
                <w:szCs w:val="20"/>
                <w:color w:val="auto"/>
              </w:rPr>
            </w:pPr>
            <w:r>
              <w:rPr>
                <w:rFonts w:ascii="Arial" w:cs="Arial" w:eastAsia="Arial" w:hAnsi="Arial"/>
                <w:sz w:val="13"/>
                <w:szCs w:val="13"/>
                <w:color w:val="auto"/>
              </w:rPr>
              <w:t>Fixed rate floor income contribution to spread, net</w:t>
            </w:r>
          </w:p>
        </w:tc>
        <w:tc>
          <w:tcPr>
            <w:tcW w:w="1060" w:type="dxa"/>
            <w:vAlign w:val="bottom"/>
          </w:tcPr>
          <w:p>
            <w:pPr>
              <w:spacing w:after="0"/>
              <w:rPr>
                <w:sz w:val="12"/>
                <w:szCs w:val="12"/>
                <w:color w:val="auto"/>
              </w:rPr>
            </w:pPr>
          </w:p>
        </w:tc>
        <w:tc>
          <w:tcPr>
            <w:tcW w:w="540" w:type="dxa"/>
            <w:vAlign w:val="bottom"/>
          </w:tcPr>
          <w:p>
            <w:pPr>
              <w:ind w:left="140"/>
              <w:spacing w:after="0" w:line="144" w:lineRule="exact"/>
              <w:rPr>
                <w:sz w:val="20"/>
                <w:szCs w:val="20"/>
                <w:color w:val="auto"/>
              </w:rPr>
            </w:pPr>
            <w:r>
              <w:rPr>
                <w:rFonts w:ascii="Arial" w:cs="Arial" w:eastAsia="Arial" w:hAnsi="Arial"/>
                <w:sz w:val="13"/>
                <w:szCs w:val="13"/>
                <w:color w:val="auto"/>
                <w:w w:val="93"/>
              </w:rPr>
              <w:t>0.50 %</w:t>
            </w:r>
          </w:p>
        </w:tc>
        <w:tc>
          <w:tcPr>
            <w:tcW w:w="1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540" w:type="dxa"/>
            <w:vAlign w:val="bottom"/>
          </w:tcPr>
          <w:p>
            <w:pPr>
              <w:jc w:val="right"/>
              <w:spacing w:after="0" w:line="144" w:lineRule="exact"/>
              <w:rPr>
                <w:sz w:val="20"/>
                <w:szCs w:val="20"/>
                <w:color w:val="auto"/>
              </w:rPr>
            </w:pPr>
            <w:r>
              <w:rPr>
                <w:rFonts w:ascii="Arial" w:cs="Arial" w:eastAsia="Arial" w:hAnsi="Arial"/>
                <w:sz w:val="13"/>
                <w:szCs w:val="13"/>
                <w:color w:val="auto"/>
              </w:rPr>
              <w:t>0.48 %</w:t>
            </w:r>
          </w:p>
        </w:tc>
      </w:tr>
    </w:tbl>
    <w:p>
      <w:pPr>
        <w:spacing w:after="0" w:line="141" w:lineRule="exact"/>
        <w:rPr>
          <w:sz w:val="20"/>
          <w:szCs w:val="20"/>
          <w:color w:val="auto"/>
        </w:rPr>
      </w:pPr>
    </w:p>
    <w:p>
      <w:pPr>
        <w:ind w:left="660"/>
        <w:spacing w:after="0"/>
        <w:rPr>
          <w:sz w:val="20"/>
          <w:szCs w:val="20"/>
          <w:color w:val="auto"/>
        </w:rPr>
      </w:pPr>
      <w:r>
        <w:rPr>
          <w:rFonts w:ascii="Arial" w:cs="Arial" w:eastAsia="Arial" w:hAnsi="Arial"/>
          <w:sz w:val="14"/>
          <w:szCs w:val="14"/>
          <w:color w:val="auto"/>
        </w:rPr>
        <w:t>(a) Includes settlement payments on derivatives used to hedge student loans earning fixed rate floor income.</w:t>
      </w:r>
    </w:p>
    <w:p>
      <w:pPr>
        <w:spacing w:after="0" w:line="134" w:lineRule="exact"/>
        <w:rPr>
          <w:sz w:val="20"/>
          <w:szCs w:val="20"/>
          <w:color w:val="auto"/>
        </w:rPr>
      </w:pPr>
    </w:p>
    <w:p>
      <w:pPr>
        <w:jc w:val="both"/>
        <w:spacing w:after="0" w:line="267" w:lineRule="auto"/>
        <w:rPr>
          <w:sz w:val="20"/>
          <w:szCs w:val="20"/>
          <w:color w:val="auto"/>
        </w:rPr>
      </w:pPr>
      <w:r>
        <w:rPr>
          <w:rFonts w:ascii="Arial" w:cs="Arial" w:eastAsia="Arial" w:hAnsi="Arial"/>
          <w:sz w:val="14"/>
          <w:szCs w:val="14"/>
          <w:color w:val="auto"/>
        </w:rPr>
        <w:t>The decrease in gross fixed rate floor income for the three months ended March 31, 2019 compared to the same period in 2018 was due to higher interest rates in 2019 as compared to 2018. The Company has a portfolio of derivative instruments in which the Company pays a fixed rate and receives a floating rate to economically hedge loans earning fixed rate floor income. See Item 3, “Quantitative and Qualitative Disclosures About Market Risk - Interest Rate Risk,” which provides additional detail on the Company’s portfolio earning fixed rate floor income and the derivatives used by the Company to hedge these loans.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45</w:t>
      </w:r>
    </w:p>
    <w:p>
      <w:pPr>
        <w:sectPr>
          <w:pgSz w:w="11900" w:h="16838" w:orient="portrait"/>
          <w:cols w:equalWidth="0" w:num="1">
            <w:col w:w="11460"/>
          </w:cols>
          <w:pgMar w:left="220" w:top="743" w:right="219" w:bottom="1440" w:gutter="0" w:footer="0" w:header="0"/>
        </w:sectPr>
      </w:pPr>
    </w:p>
    <w:bookmarkStart w:id="46" w:name="page47"/>
    <w:bookmarkEnd w:id="46"/>
    <w:p>
      <w:pPr>
        <w:spacing w:after="0"/>
        <w:rPr>
          <w:sz w:val="20"/>
          <w:szCs w:val="20"/>
          <w:color w:val="auto"/>
        </w:rPr>
      </w:pPr>
      <w:r>
        <w:rPr>
          <w:rFonts w:ascii="Arial" w:cs="Arial" w:eastAsia="Arial" w:hAnsi="Arial"/>
          <w:sz w:val="14"/>
          <w:szCs w:val="14"/>
          <w:b w:val="1"/>
          <w:bCs w:val="1"/>
          <w:i w:val="1"/>
          <w:iCs w:val="1"/>
          <w:color w:val="auto"/>
        </w:rPr>
        <w:t>Summary and Comparison of Operating Results</w:t>
      </w:r>
    </w:p>
    <w:p>
      <w:pPr>
        <w:spacing w:after="0" w:line="177" w:lineRule="exact"/>
        <w:rPr>
          <w:sz w:val="20"/>
          <w:szCs w:val="20"/>
          <w:color w:val="auto"/>
        </w:rPr>
      </w:pPr>
    </w:p>
    <w:tbl>
      <w:tblPr>
        <w:tblLayout w:type="fixed"/>
        <w:tblInd w:w="0" w:type="dxa"/>
        <w:tblCellMar>
          <w:top w:w="0" w:type="dxa"/>
          <w:left w:w="0" w:type="dxa"/>
          <w:bottom w:w="0" w:type="dxa"/>
          <w:right w:w="0" w:type="dxa"/>
        </w:tblCellMar>
      </w:tblPr>
      <w:tr>
        <w:trPr>
          <w:trHeight w:val="153"/>
        </w:trPr>
        <w:tc>
          <w:tcPr>
            <w:tcW w:w="34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720" w:type="dxa"/>
            <w:vAlign w:val="bottom"/>
            <w:gridSpan w:val="4"/>
          </w:tcPr>
          <w:p>
            <w:pPr>
              <w:ind w:left="20"/>
              <w:spacing w:after="0"/>
              <w:rPr>
                <w:sz w:val="20"/>
                <w:szCs w:val="20"/>
                <w:color w:val="auto"/>
              </w:rPr>
            </w:pPr>
            <w:r>
              <w:rPr>
                <w:rFonts w:ascii="Arial" w:cs="Arial" w:eastAsia="Arial" w:hAnsi="Arial"/>
                <w:sz w:val="11"/>
                <w:szCs w:val="11"/>
                <w:b w:val="1"/>
                <w:bCs w:val="1"/>
                <w:color w:val="auto"/>
              </w:rPr>
              <w:t>Three months ended March 31,</w:t>
            </w:r>
          </w:p>
        </w:tc>
        <w:tc>
          <w:tcPr>
            <w:tcW w:w="6240" w:type="dxa"/>
            <w:vAlign w:val="bottom"/>
          </w:tcPr>
          <w:p>
            <w:pPr>
              <w:ind w:left="2540"/>
              <w:spacing w:after="0"/>
              <w:rPr>
                <w:sz w:val="20"/>
                <w:szCs w:val="20"/>
                <w:color w:val="auto"/>
              </w:rPr>
            </w:pPr>
            <w:r>
              <w:rPr>
                <w:rFonts w:ascii="Arial" w:cs="Arial" w:eastAsia="Arial" w:hAnsi="Arial"/>
                <w:sz w:val="11"/>
                <w:szCs w:val="11"/>
                <w:b w:val="1"/>
                <w:bCs w:val="1"/>
                <w:color w:val="auto"/>
              </w:rPr>
              <w:t>Additional information</w:t>
            </w:r>
          </w:p>
        </w:tc>
        <w:tc>
          <w:tcPr>
            <w:tcW w:w="0" w:type="dxa"/>
            <w:vAlign w:val="bottom"/>
          </w:tcPr>
          <w:p>
            <w:pPr>
              <w:spacing w:after="0"/>
              <w:rPr>
                <w:sz w:val="1"/>
                <w:szCs w:val="1"/>
                <w:color w:val="auto"/>
              </w:rPr>
            </w:pPr>
          </w:p>
        </w:tc>
      </w:tr>
      <w:tr>
        <w:trPr>
          <w:trHeight w:val="152"/>
        </w:trPr>
        <w:tc>
          <w:tcPr>
            <w:tcW w:w="3440" w:type="dxa"/>
            <w:vAlign w:val="bottom"/>
            <w:tcBorders>
              <w:bottom w:val="single" w:sz="8" w:color="CCEEFF"/>
            </w:tcBorders>
          </w:tcPr>
          <w:p>
            <w:pPr>
              <w:spacing w:after="0"/>
              <w:rPr>
                <w:sz w:val="13"/>
                <w:szCs w:val="13"/>
                <w:color w:val="auto"/>
              </w:rPr>
            </w:pPr>
          </w:p>
        </w:tc>
        <w:tc>
          <w:tcPr>
            <w:tcW w:w="60" w:type="dxa"/>
            <w:vAlign w:val="bottom"/>
            <w:tcBorders>
              <w:top w:val="single" w:sz="8" w:color="auto"/>
              <w:bottom w:val="single" w:sz="8" w:color="auto"/>
            </w:tcBorders>
          </w:tcPr>
          <w:p>
            <w:pPr>
              <w:spacing w:after="0"/>
              <w:rPr>
                <w:sz w:val="13"/>
                <w:szCs w:val="13"/>
                <w:color w:val="auto"/>
              </w:rPr>
            </w:pPr>
          </w:p>
        </w:tc>
        <w:tc>
          <w:tcPr>
            <w:tcW w:w="740" w:type="dxa"/>
            <w:vAlign w:val="bottom"/>
            <w:tcBorders>
              <w:top w:val="single" w:sz="8" w:color="auto"/>
              <w:bottom w:val="single" w:sz="8" w:color="auto"/>
            </w:tcBorders>
          </w:tcPr>
          <w:p>
            <w:pPr>
              <w:jc w:val="right"/>
              <w:ind w:right="223"/>
              <w:spacing w:after="0"/>
              <w:rPr>
                <w:sz w:val="20"/>
                <w:szCs w:val="20"/>
                <w:color w:val="auto"/>
              </w:rPr>
            </w:pPr>
            <w:r>
              <w:rPr>
                <w:rFonts w:ascii="Arial" w:cs="Arial" w:eastAsia="Arial" w:hAnsi="Arial"/>
                <w:sz w:val="11"/>
                <w:szCs w:val="11"/>
                <w:b w:val="1"/>
                <w:bCs w:val="1"/>
                <w:color w:val="auto"/>
              </w:rPr>
              <w:t>2019</w:t>
            </w:r>
          </w:p>
        </w:tc>
        <w:tc>
          <w:tcPr>
            <w:tcW w:w="80" w:type="dxa"/>
            <w:vAlign w:val="bottom"/>
            <w:tcBorders>
              <w:top w:val="single" w:sz="8" w:color="auto"/>
              <w:bottom w:val="single" w:sz="8" w:color="CCEEFF"/>
            </w:tcBorders>
          </w:tcPr>
          <w:p>
            <w:pPr>
              <w:spacing w:after="0"/>
              <w:rPr>
                <w:sz w:val="13"/>
                <w:szCs w:val="13"/>
                <w:color w:val="auto"/>
              </w:rPr>
            </w:pPr>
          </w:p>
        </w:tc>
        <w:tc>
          <w:tcPr>
            <w:tcW w:w="800" w:type="dxa"/>
            <w:vAlign w:val="bottom"/>
            <w:tcBorders>
              <w:top w:val="single" w:sz="8" w:color="auto"/>
              <w:bottom w:val="single" w:sz="8" w:color="auto"/>
            </w:tcBorders>
          </w:tcPr>
          <w:p>
            <w:pPr>
              <w:jc w:val="right"/>
              <w:ind w:right="223"/>
              <w:spacing w:after="0"/>
              <w:rPr>
                <w:sz w:val="20"/>
                <w:szCs w:val="20"/>
                <w:color w:val="auto"/>
              </w:rPr>
            </w:pPr>
            <w:r>
              <w:rPr>
                <w:rFonts w:ascii="Arial" w:cs="Arial" w:eastAsia="Arial" w:hAnsi="Arial"/>
                <w:sz w:val="11"/>
                <w:szCs w:val="11"/>
                <w:b w:val="1"/>
                <w:bCs w:val="1"/>
                <w:color w:val="auto"/>
              </w:rPr>
              <w:t>2018</w:t>
            </w:r>
          </w:p>
        </w:tc>
        <w:tc>
          <w:tcPr>
            <w:tcW w:w="100" w:type="dxa"/>
            <w:vAlign w:val="bottom"/>
            <w:tcBorders>
              <w:bottom w:val="single" w:sz="8" w:color="CCEEFF"/>
            </w:tcBorders>
          </w:tcPr>
          <w:p>
            <w:pPr>
              <w:spacing w:after="0"/>
              <w:rPr>
                <w:sz w:val="13"/>
                <w:szCs w:val="13"/>
                <w:color w:val="auto"/>
              </w:rPr>
            </w:pPr>
          </w:p>
        </w:tc>
        <w:tc>
          <w:tcPr>
            <w:tcW w:w="6240" w:type="dxa"/>
            <w:vAlign w:val="bottom"/>
            <w:tcBorders>
              <w:top w:val="single" w:sz="8" w:color="auto"/>
              <w:bottom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57"/>
        </w:trPr>
        <w:tc>
          <w:tcPr>
            <w:tcW w:w="3440" w:type="dxa"/>
            <w:vAlign w:val="bottom"/>
            <w:shd w:val="clear" w:color="auto" w:fill="CCEEFF"/>
          </w:tcPr>
          <w:p>
            <w:pPr>
              <w:ind w:left="20"/>
              <w:spacing w:after="0"/>
              <w:rPr>
                <w:sz w:val="20"/>
                <w:szCs w:val="20"/>
                <w:color w:val="auto"/>
              </w:rPr>
            </w:pPr>
            <w:r>
              <w:rPr>
                <w:rFonts w:ascii="Arial" w:cs="Arial" w:eastAsia="Arial" w:hAnsi="Arial"/>
                <w:sz w:val="11"/>
                <w:szCs w:val="11"/>
                <w:color w:val="auto"/>
              </w:rPr>
              <w:t>Net interest income after provision for loan losses</w:t>
            </w:r>
          </w:p>
        </w:tc>
        <w:tc>
          <w:tcPr>
            <w:tcW w:w="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rPr>
              <w:t>51,068</w:t>
            </w:r>
          </w:p>
        </w:tc>
        <w:tc>
          <w:tcPr>
            <w:tcW w:w="80" w:type="dxa"/>
            <w:vAlign w:val="bottom"/>
            <w:shd w:val="clear" w:color="auto" w:fill="CCEEFF"/>
          </w:tcPr>
          <w:p>
            <w:pPr>
              <w:spacing w:after="0"/>
              <w:rPr>
                <w:sz w:val="13"/>
                <w:szCs w:val="13"/>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rPr>
              <w:t>62,101</w:t>
            </w:r>
          </w:p>
        </w:tc>
        <w:tc>
          <w:tcPr>
            <w:tcW w:w="100" w:type="dxa"/>
            <w:vAlign w:val="bottom"/>
            <w:shd w:val="clear" w:color="auto" w:fill="CCEEFF"/>
          </w:tcPr>
          <w:p>
            <w:pPr>
              <w:spacing w:after="0"/>
              <w:rPr>
                <w:sz w:val="13"/>
                <w:szCs w:val="13"/>
                <w:color w:val="auto"/>
              </w:rPr>
            </w:pPr>
          </w:p>
        </w:tc>
        <w:tc>
          <w:tcPr>
            <w:tcW w:w="6240" w:type="dxa"/>
            <w:vAlign w:val="bottom"/>
            <w:shd w:val="clear" w:color="auto" w:fill="CCEEFF"/>
          </w:tcPr>
          <w:p>
            <w:pPr>
              <w:spacing w:after="0"/>
              <w:rPr>
                <w:sz w:val="20"/>
                <w:szCs w:val="20"/>
                <w:color w:val="auto"/>
              </w:rPr>
            </w:pPr>
            <w:r>
              <w:rPr>
                <w:rFonts w:ascii="Arial" w:cs="Arial" w:eastAsia="Arial" w:hAnsi="Arial"/>
                <w:sz w:val="11"/>
                <w:szCs w:val="11"/>
                <w:color w:val="auto"/>
              </w:rPr>
              <w:t>See table below for additional analysis.</w:t>
            </w:r>
          </w:p>
        </w:tc>
        <w:tc>
          <w:tcPr>
            <w:tcW w:w="0" w:type="dxa"/>
            <w:vAlign w:val="bottom"/>
          </w:tcPr>
          <w:p>
            <w:pPr>
              <w:spacing w:after="0"/>
              <w:rPr>
                <w:sz w:val="1"/>
                <w:szCs w:val="1"/>
                <w:color w:val="auto"/>
              </w:rPr>
            </w:pPr>
          </w:p>
        </w:tc>
      </w:tr>
      <w:tr>
        <w:trPr>
          <w:trHeight w:val="105"/>
        </w:trPr>
        <w:tc>
          <w:tcPr>
            <w:tcW w:w="3440" w:type="dxa"/>
            <w:vAlign w:val="bottom"/>
          </w:tcPr>
          <w:p>
            <w:pPr>
              <w:spacing w:after="0"/>
              <w:rPr>
                <w:sz w:val="9"/>
                <w:szCs w:val="9"/>
                <w:color w:val="auto"/>
              </w:rPr>
            </w:pPr>
          </w:p>
        </w:tc>
        <w:tc>
          <w:tcPr>
            <w:tcW w:w="60" w:type="dxa"/>
            <w:vAlign w:val="bottom"/>
          </w:tcPr>
          <w:p>
            <w:pPr>
              <w:spacing w:after="0"/>
              <w:rPr>
                <w:sz w:val="9"/>
                <w:szCs w:val="9"/>
                <w:color w:val="auto"/>
              </w:rPr>
            </w:pPr>
          </w:p>
        </w:tc>
        <w:tc>
          <w:tcPr>
            <w:tcW w:w="740" w:type="dxa"/>
            <w:vAlign w:val="bottom"/>
          </w:tcPr>
          <w:p>
            <w:pPr>
              <w:spacing w:after="0"/>
              <w:rPr>
                <w:sz w:val="9"/>
                <w:szCs w:val="9"/>
                <w:color w:val="auto"/>
              </w:rPr>
            </w:pPr>
          </w:p>
        </w:tc>
        <w:tc>
          <w:tcPr>
            <w:tcW w:w="80" w:type="dxa"/>
            <w:vAlign w:val="bottom"/>
          </w:tcPr>
          <w:p>
            <w:pPr>
              <w:spacing w:after="0"/>
              <w:rPr>
                <w:sz w:val="9"/>
                <w:szCs w:val="9"/>
                <w:color w:val="auto"/>
              </w:rPr>
            </w:pPr>
          </w:p>
        </w:tc>
        <w:tc>
          <w:tcPr>
            <w:tcW w:w="80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40" w:type="dxa"/>
            <w:vAlign w:val="bottom"/>
          </w:tcPr>
          <w:p>
            <w:pPr>
              <w:spacing w:after="0" w:line="105" w:lineRule="exact"/>
              <w:rPr>
                <w:sz w:val="20"/>
                <w:szCs w:val="20"/>
                <w:color w:val="auto"/>
              </w:rPr>
            </w:pPr>
            <w:r>
              <w:rPr>
                <w:rFonts w:ascii="Arial" w:cs="Arial" w:eastAsia="Arial" w:hAnsi="Arial"/>
                <w:sz w:val="11"/>
                <w:szCs w:val="11"/>
                <w:color w:val="auto"/>
                <w:w w:val="94"/>
              </w:rPr>
              <w:t>The primary component of other income is borrower late fees. The increase in the three months ended March 31, 2019 as compared to</w:t>
            </w:r>
          </w:p>
        </w:tc>
        <w:tc>
          <w:tcPr>
            <w:tcW w:w="0" w:type="dxa"/>
            <w:vAlign w:val="bottom"/>
          </w:tcPr>
          <w:p>
            <w:pPr>
              <w:spacing w:after="0"/>
              <w:rPr>
                <w:sz w:val="1"/>
                <w:szCs w:val="1"/>
                <w:color w:val="auto"/>
              </w:rPr>
            </w:pPr>
          </w:p>
        </w:tc>
      </w:tr>
      <w:tr>
        <w:trPr>
          <w:trHeight w:val="151"/>
        </w:trPr>
        <w:tc>
          <w:tcPr>
            <w:tcW w:w="3440" w:type="dxa"/>
            <w:vAlign w:val="bottom"/>
          </w:tcPr>
          <w:p>
            <w:pPr>
              <w:ind w:left="20"/>
              <w:spacing w:after="0"/>
              <w:rPr>
                <w:sz w:val="20"/>
                <w:szCs w:val="20"/>
                <w:color w:val="auto"/>
              </w:rPr>
            </w:pPr>
            <w:r>
              <w:rPr>
                <w:rFonts w:ascii="Arial" w:cs="Arial" w:eastAsia="Arial" w:hAnsi="Arial"/>
                <w:sz w:val="11"/>
                <w:szCs w:val="11"/>
                <w:color w:val="auto"/>
              </w:rPr>
              <w:t>Other income</w:t>
            </w:r>
          </w:p>
        </w:tc>
        <w:tc>
          <w:tcPr>
            <w:tcW w:w="60" w:type="dxa"/>
            <w:vAlign w:val="bottom"/>
          </w:tcPr>
          <w:p>
            <w:pPr>
              <w:spacing w:after="0"/>
              <w:rPr>
                <w:sz w:val="13"/>
                <w:szCs w:val="13"/>
                <w:color w:val="auto"/>
              </w:rPr>
            </w:pPr>
          </w:p>
        </w:tc>
        <w:tc>
          <w:tcPr>
            <w:tcW w:w="740" w:type="dxa"/>
            <w:vAlign w:val="bottom"/>
          </w:tcPr>
          <w:p>
            <w:pPr>
              <w:jc w:val="right"/>
              <w:spacing w:after="0"/>
              <w:rPr>
                <w:sz w:val="20"/>
                <w:szCs w:val="20"/>
                <w:color w:val="auto"/>
              </w:rPr>
            </w:pPr>
            <w:r>
              <w:rPr>
                <w:rFonts w:ascii="Arial" w:cs="Arial" w:eastAsia="Arial" w:hAnsi="Arial"/>
                <w:sz w:val="11"/>
                <w:szCs w:val="11"/>
                <w:color w:val="auto"/>
              </w:rPr>
              <w:t>3,525</w:t>
            </w:r>
          </w:p>
        </w:tc>
        <w:tc>
          <w:tcPr>
            <w:tcW w:w="80" w:type="dxa"/>
            <w:vAlign w:val="bottom"/>
          </w:tcPr>
          <w:p>
            <w:pPr>
              <w:spacing w:after="0"/>
              <w:rPr>
                <w:sz w:val="13"/>
                <w:szCs w:val="13"/>
                <w:color w:val="auto"/>
              </w:rPr>
            </w:pPr>
          </w:p>
        </w:tc>
        <w:tc>
          <w:tcPr>
            <w:tcW w:w="800" w:type="dxa"/>
            <w:vAlign w:val="bottom"/>
          </w:tcPr>
          <w:p>
            <w:pPr>
              <w:jc w:val="right"/>
              <w:spacing w:after="0"/>
              <w:rPr>
                <w:sz w:val="20"/>
                <w:szCs w:val="20"/>
                <w:color w:val="auto"/>
              </w:rPr>
            </w:pPr>
            <w:r>
              <w:rPr>
                <w:rFonts w:ascii="Arial" w:cs="Arial" w:eastAsia="Arial" w:hAnsi="Arial"/>
                <w:sz w:val="11"/>
                <w:szCs w:val="11"/>
                <w:color w:val="auto"/>
              </w:rPr>
              <w:t>3,351</w:t>
            </w:r>
          </w:p>
        </w:tc>
        <w:tc>
          <w:tcPr>
            <w:tcW w:w="100" w:type="dxa"/>
            <w:vAlign w:val="bottom"/>
          </w:tcPr>
          <w:p>
            <w:pPr>
              <w:spacing w:after="0"/>
              <w:rPr>
                <w:sz w:val="13"/>
                <w:szCs w:val="13"/>
                <w:color w:val="auto"/>
              </w:rPr>
            </w:pPr>
          </w:p>
        </w:tc>
        <w:tc>
          <w:tcPr>
            <w:tcW w:w="6240" w:type="dxa"/>
            <w:vAlign w:val="bottom"/>
          </w:tcPr>
          <w:p>
            <w:pPr>
              <w:spacing w:after="0"/>
              <w:rPr>
                <w:sz w:val="20"/>
                <w:szCs w:val="20"/>
                <w:color w:val="auto"/>
              </w:rPr>
            </w:pPr>
            <w:r>
              <w:rPr>
                <w:rFonts w:ascii="Arial" w:cs="Arial" w:eastAsia="Arial" w:hAnsi="Arial"/>
                <w:sz w:val="11"/>
                <w:szCs w:val="11"/>
                <w:color w:val="auto"/>
              </w:rPr>
              <w:t>the same period in 2018 was due to an increase in federally insured loan delinquencies.</w:t>
            </w:r>
          </w:p>
        </w:tc>
        <w:tc>
          <w:tcPr>
            <w:tcW w:w="0" w:type="dxa"/>
            <w:vAlign w:val="bottom"/>
          </w:tcPr>
          <w:p>
            <w:pPr>
              <w:spacing w:after="0"/>
              <w:rPr>
                <w:sz w:val="1"/>
                <w:szCs w:val="1"/>
                <w:color w:val="auto"/>
              </w:rPr>
            </w:pPr>
          </w:p>
        </w:tc>
      </w:tr>
      <w:tr>
        <w:trPr>
          <w:trHeight w:val="129"/>
        </w:trPr>
        <w:tc>
          <w:tcPr>
            <w:tcW w:w="34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7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240" w:type="dxa"/>
            <w:vAlign w:val="bottom"/>
            <w:shd w:val="clear" w:color="auto" w:fill="CCEEFF"/>
          </w:tcPr>
          <w:p>
            <w:pPr>
              <w:spacing w:after="0"/>
              <w:rPr>
                <w:sz w:val="20"/>
                <w:szCs w:val="20"/>
                <w:color w:val="auto"/>
              </w:rPr>
            </w:pPr>
            <w:r>
              <w:rPr>
                <w:rFonts w:ascii="Arial" w:cs="Arial" w:eastAsia="Arial" w:hAnsi="Arial"/>
                <w:sz w:val="11"/>
                <w:szCs w:val="11"/>
                <w:color w:val="auto"/>
              </w:rPr>
              <w:t>The Company maintains an overall risk management strategy that incorporates the use of derivative instruments to reduce the</w:t>
            </w:r>
          </w:p>
        </w:tc>
        <w:tc>
          <w:tcPr>
            <w:tcW w:w="0" w:type="dxa"/>
            <w:vAlign w:val="bottom"/>
          </w:tcPr>
          <w:p>
            <w:pPr>
              <w:spacing w:after="0"/>
              <w:rPr>
                <w:sz w:val="1"/>
                <w:szCs w:val="1"/>
                <w:color w:val="auto"/>
              </w:rPr>
            </w:pPr>
          </w:p>
        </w:tc>
      </w:tr>
      <w:tr>
        <w:trPr>
          <w:trHeight w:val="119"/>
        </w:trPr>
        <w:tc>
          <w:tcPr>
            <w:tcW w:w="34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74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8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240" w:type="dxa"/>
            <w:vAlign w:val="bottom"/>
            <w:shd w:val="clear" w:color="auto" w:fill="CCEEFF"/>
          </w:tcPr>
          <w:p>
            <w:pPr>
              <w:spacing w:after="0" w:line="119" w:lineRule="exact"/>
              <w:rPr>
                <w:sz w:val="20"/>
                <w:szCs w:val="20"/>
                <w:color w:val="auto"/>
              </w:rPr>
            </w:pPr>
            <w:r>
              <w:rPr>
                <w:rFonts w:ascii="Arial" w:cs="Arial" w:eastAsia="Arial" w:hAnsi="Arial"/>
                <w:sz w:val="11"/>
                <w:szCs w:val="11"/>
                <w:color w:val="auto"/>
                <w:w w:val="97"/>
              </w:rPr>
              <w:t>economic effect of interest rate volatility. Derivative settlements for each applicable period should be evaluated with the Company's</w:t>
            </w:r>
          </w:p>
        </w:tc>
        <w:tc>
          <w:tcPr>
            <w:tcW w:w="0" w:type="dxa"/>
            <w:vAlign w:val="bottom"/>
          </w:tcPr>
          <w:p>
            <w:pPr>
              <w:spacing w:after="0"/>
              <w:rPr>
                <w:sz w:val="1"/>
                <w:szCs w:val="1"/>
                <w:color w:val="auto"/>
              </w:rPr>
            </w:pPr>
          </w:p>
        </w:tc>
      </w:tr>
      <w:tr>
        <w:trPr>
          <w:trHeight w:val="155"/>
        </w:trPr>
        <w:tc>
          <w:tcPr>
            <w:tcW w:w="3440" w:type="dxa"/>
            <w:vAlign w:val="bottom"/>
            <w:shd w:val="clear" w:color="auto" w:fill="CCEEFF"/>
          </w:tcPr>
          <w:p>
            <w:pPr>
              <w:ind w:left="20"/>
              <w:spacing w:after="0"/>
              <w:rPr>
                <w:sz w:val="20"/>
                <w:szCs w:val="20"/>
                <w:color w:val="auto"/>
              </w:rPr>
            </w:pPr>
            <w:r>
              <w:rPr>
                <w:rFonts w:ascii="Arial" w:cs="Arial" w:eastAsia="Arial" w:hAnsi="Arial"/>
                <w:sz w:val="11"/>
                <w:szCs w:val="11"/>
                <w:color w:val="auto"/>
              </w:rPr>
              <w:t>Derivative settlements, net</w:t>
            </w:r>
          </w:p>
        </w:tc>
        <w:tc>
          <w:tcPr>
            <w:tcW w:w="60" w:type="dxa"/>
            <w:vAlign w:val="bottom"/>
            <w:shd w:val="clear" w:color="auto" w:fill="CCEEFF"/>
          </w:tcPr>
          <w:p>
            <w:pPr>
              <w:spacing w:after="0"/>
              <w:rPr>
                <w:sz w:val="13"/>
                <w:szCs w:val="13"/>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19,035</w:t>
            </w:r>
          </w:p>
        </w:tc>
        <w:tc>
          <w:tcPr>
            <w:tcW w:w="80" w:type="dxa"/>
            <w:vAlign w:val="bottom"/>
            <w:shd w:val="clear" w:color="auto" w:fill="CCEEFF"/>
          </w:tcPr>
          <w:p>
            <w:pPr>
              <w:spacing w:after="0"/>
              <w:rPr>
                <w:sz w:val="13"/>
                <w:szCs w:val="13"/>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6,926</w:t>
            </w:r>
          </w:p>
        </w:tc>
        <w:tc>
          <w:tcPr>
            <w:tcW w:w="100" w:type="dxa"/>
            <w:vAlign w:val="bottom"/>
            <w:shd w:val="clear" w:color="auto" w:fill="CCEEFF"/>
          </w:tcPr>
          <w:p>
            <w:pPr>
              <w:spacing w:after="0"/>
              <w:rPr>
                <w:sz w:val="13"/>
                <w:szCs w:val="13"/>
                <w:color w:val="auto"/>
              </w:rPr>
            </w:pPr>
          </w:p>
        </w:tc>
        <w:tc>
          <w:tcPr>
            <w:tcW w:w="6240" w:type="dxa"/>
            <w:vAlign w:val="bottom"/>
            <w:shd w:val="clear" w:color="auto" w:fill="CCEEFF"/>
          </w:tcPr>
          <w:p>
            <w:pPr>
              <w:spacing w:after="0"/>
              <w:rPr>
                <w:sz w:val="20"/>
                <w:szCs w:val="20"/>
                <w:color w:val="auto"/>
              </w:rPr>
            </w:pPr>
            <w:r>
              <w:rPr>
                <w:rFonts w:ascii="Arial" w:cs="Arial" w:eastAsia="Arial" w:hAnsi="Arial"/>
                <w:sz w:val="11"/>
                <w:szCs w:val="11"/>
                <w:color w:val="auto"/>
              </w:rPr>
              <w:t>net interest income as reflected in the table below.</w:t>
            </w:r>
          </w:p>
        </w:tc>
        <w:tc>
          <w:tcPr>
            <w:tcW w:w="0" w:type="dxa"/>
            <w:vAlign w:val="bottom"/>
          </w:tcPr>
          <w:p>
            <w:pPr>
              <w:spacing w:after="0"/>
              <w:rPr>
                <w:sz w:val="1"/>
                <w:szCs w:val="1"/>
                <w:color w:val="auto"/>
              </w:rPr>
            </w:pPr>
          </w:p>
        </w:tc>
      </w:tr>
      <w:tr>
        <w:trPr>
          <w:trHeight w:val="125"/>
        </w:trPr>
        <w:tc>
          <w:tcPr>
            <w:tcW w:w="34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240" w:type="dxa"/>
            <w:vAlign w:val="bottom"/>
          </w:tcPr>
          <w:p>
            <w:pPr>
              <w:spacing w:after="0" w:line="125" w:lineRule="exact"/>
              <w:rPr>
                <w:sz w:val="20"/>
                <w:szCs w:val="20"/>
                <w:color w:val="auto"/>
              </w:rPr>
            </w:pPr>
            <w:r>
              <w:rPr>
                <w:rFonts w:ascii="Arial" w:cs="Arial" w:eastAsia="Arial" w:hAnsi="Arial"/>
                <w:sz w:val="11"/>
                <w:szCs w:val="11"/>
                <w:color w:val="auto"/>
                <w:w w:val="96"/>
              </w:rPr>
              <w:t>Includes the realized and unrealized gains and losses that are caused by changes in fair values of derivatives which do not qualify for</w:t>
            </w:r>
          </w:p>
        </w:tc>
        <w:tc>
          <w:tcPr>
            <w:tcW w:w="0" w:type="dxa"/>
            <w:vAlign w:val="bottom"/>
          </w:tcPr>
          <w:p>
            <w:pPr>
              <w:spacing w:after="0"/>
              <w:rPr>
                <w:sz w:val="1"/>
                <w:szCs w:val="1"/>
                <w:color w:val="auto"/>
              </w:rPr>
            </w:pPr>
          </w:p>
        </w:tc>
      </w:tr>
      <w:tr>
        <w:trPr>
          <w:trHeight w:val="151"/>
        </w:trPr>
        <w:tc>
          <w:tcPr>
            <w:tcW w:w="3440" w:type="dxa"/>
            <w:vAlign w:val="bottom"/>
            <w:tcBorders>
              <w:bottom w:val="single" w:sz="8" w:color="CCEEFF"/>
            </w:tcBorders>
          </w:tcPr>
          <w:p>
            <w:pPr>
              <w:ind w:left="20"/>
              <w:spacing w:after="0"/>
              <w:rPr>
                <w:sz w:val="20"/>
                <w:szCs w:val="20"/>
                <w:color w:val="auto"/>
              </w:rPr>
            </w:pPr>
            <w:r>
              <w:rPr>
                <w:rFonts w:ascii="Arial" w:cs="Arial" w:eastAsia="Arial" w:hAnsi="Arial"/>
                <w:sz w:val="11"/>
                <w:szCs w:val="11"/>
                <w:color w:val="auto"/>
              </w:rPr>
              <w:t>Derivative market value adjustments, net</w:t>
            </w:r>
          </w:p>
        </w:tc>
        <w:tc>
          <w:tcPr>
            <w:tcW w:w="60" w:type="dxa"/>
            <w:vAlign w:val="bottom"/>
            <w:tcBorders>
              <w:bottom w:val="single" w:sz="8" w:color="auto"/>
            </w:tcBorders>
          </w:tcPr>
          <w:p>
            <w:pPr>
              <w:spacing w:after="0"/>
              <w:rPr>
                <w:sz w:val="13"/>
                <w:szCs w:val="13"/>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(30,574)</w:t>
            </w:r>
          </w:p>
        </w:tc>
        <w:tc>
          <w:tcPr>
            <w:tcW w:w="80" w:type="dxa"/>
            <w:vAlign w:val="bottom"/>
            <w:tcBorders>
              <w:bottom w:val="single" w:sz="8" w:color="CCEEFF"/>
            </w:tcBorders>
          </w:tcPr>
          <w:p>
            <w:pPr>
              <w:spacing w:after="0"/>
              <w:rPr>
                <w:sz w:val="13"/>
                <w:szCs w:val="13"/>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58,571</w:t>
            </w:r>
          </w:p>
        </w:tc>
        <w:tc>
          <w:tcPr>
            <w:tcW w:w="100" w:type="dxa"/>
            <w:vAlign w:val="bottom"/>
            <w:tcBorders>
              <w:bottom w:val="single" w:sz="8" w:color="CCEEFF"/>
            </w:tcBorders>
          </w:tcPr>
          <w:p>
            <w:pPr>
              <w:spacing w:after="0"/>
              <w:rPr>
                <w:sz w:val="13"/>
                <w:szCs w:val="13"/>
                <w:color w:val="auto"/>
              </w:rPr>
            </w:pPr>
          </w:p>
        </w:tc>
        <w:tc>
          <w:tcPr>
            <w:tcW w:w="6240" w:type="dxa"/>
            <w:vAlign w:val="bottom"/>
            <w:tcBorders>
              <w:bottom w:val="single" w:sz="8" w:color="CCEEFF"/>
            </w:tcBorders>
          </w:tcPr>
          <w:p>
            <w:pPr>
              <w:spacing w:after="0"/>
              <w:rPr>
                <w:sz w:val="20"/>
                <w:szCs w:val="20"/>
                <w:color w:val="auto"/>
              </w:rPr>
            </w:pPr>
            <w:r>
              <w:rPr>
                <w:rFonts w:ascii="Arial" w:cs="Arial" w:eastAsia="Arial" w:hAnsi="Arial"/>
                <w:sz w:val="11"/>
                <w:szCs w:val="11"/>
                <w:color w:val="auto"/>
              </w:rPr>
              <w:t>"hedge treatment" under GAAP.</w:t>
            </w:r>
          </w:p>
        </w:tc>
        <w:tc>
          <w:tcPr>
            <w:tcW w:w="0" w:type="dxa"/>
            <w:vAlign w:val="bottom"/>
          </w:tcPr>
          <w:p>
            <w:pPr>
              <w:spacing w:after="0"/>
              <w:rPr>
                <w:sz w:val="1"/>
                <w:szCs w:val="1"/>
                <w:color w:val="auto"/>
              </w:rPr>
            </w:pPr>
          </w:p>
        </w:tc>
      </w:tr>
      <w:tr>
        <w:trPr>
          <w:trHeight w:val="152"/>
        </w:trPr>
        <w:tc>
          <w:tcPr>
            <w:tcW w:w="3440" w:type="dxa"/>
            <w:vAlign w:val="bottom"/>
            <w:shd w:val="clear" w:color="auto" w:fill="CCEEFF"/>
          </w:tcPr>
          <w:p>
            <w:pPr>
              <w:ind w:left="260"/>
              <w:spacing w:after="0"/>
              <w:rPr>
                <w:sz w:val="20"/>
                <w:szCs w:val="20"/>
                <w:color w:val="auto"/>
              </w:rPr>
            </w:pPr>
            <w:r>
              <w:rPr>
                <w:rFonts w:ascii="Arial" w:cs="Arial" w:eastAsia="Arial" w:hAnsi="Arial"/>
                <w:sz w:val="11"/>
                <w:szCs w:val="11"/>
                <w:color w:val="auto"/>
              </w:rPr>
              <w:t>Total other income</w:t>
            </w:r>
          </w:p>
        </w:tc>
        <w:tc>
          <w:tcPr>
            <w:tcW w:w="60" w:type="dxa"/>
            <w:vAlign w:val="bottom"/>
            <w:tcBorders>
              <w:bottom w:val="single" w:sz="8" w:color="auto"/>
            </w:tcBorders>
            <w:shd w:val="clear" w:color="auto" w:fill="CCEEFF"/>
          </w:tcPr>
          <w:p>
            <w:pPr>
              <w:spacing w:after="0"/>
              <w:rPr>
                <w:sz w:val="13"/>
                <w:szCs w:val="13"/>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rPr>
              <w:t>(8,014)</w:t>
            </w:r>
          </w:p>
        </w:tc>
        <w:tc>
          <w:tcPr>
            <w:tcW w:w="80" w:type="dxa"/>
            <w:vAlign w:val="bottom"/>
            <w:shd w:val="clear" w:color="auto" w:fill="CCEEFF"/>
          </w:tcPr>
          <w:p>
            <w:pPr>
              <w:spacing w:after="0"/>
              <w:rPr>
                <w:sz w:val="13"/>
                <w:szCs w:val="13"/>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rPr>
              <w:t>68,848</w:t>
            </w:r>
          </w:p>
        </w:tc>
        <w:tc>
          <w:tcPr>
            <w:tcW w:w="100" w:type="dxa"/>
            <w:vAlign w:val="bottom"/>
            <w:shd w:val="clear" w:color="auto" w:fill="CCEEFF"/>
          </w:tcPr>
          <w:p>
            <w:pPr>
              <w:spacing w:after="0"/>
              <w:rPr>
                <w:sz w:val="13"/>
                <w:szCs w:val="13"/>
                <w:color w:val="auto"/>
              </w:rPr>
            </w:pPr>
          </w:p>
        </w:tc>
        <w:tc>
          <w:tcPr>
            <w:tcW w:w="624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2"/>
        </w:trPr>
        <w:tc>
          <w:tcPr>
            <w:tcW w:w="3440" w:type="dxa"/>
            <w:vAlign w:val="bottom"/>
          </w:tcPr>
          <w:p>
            <w:pPr>
              <w:ind w:left="20"/>
              <w:spacing w:after="0"/>
              <w:rPr>
                <w:sz w:val="20"/>
                <w:szCs w:val="20"/>
                <w:color w:val="auto"/>
              </w:rPr>
            </w:pPr>
            <w:r>
              <w:rPr>
                <w:rFonts w:ascii="Arial" w:cs="Arial" w:eastAsia="Arial" w:hAnsi="Arial"/>
                <w:sz w:val="11"/>
                <w:szCs w:val="11"/>
                <w:color w:val="auto"/>
              </w:rPr>
              <w:t>Salaries and benefits</w:t>
            </w:r>
          </w:p>
        </w:tc>
        <w:tc>
          <w:tcPr>
            <w:tcW w:w="60" w:type="dxa"/>
            <w:vAlign w:val="bottom"/>
          </w:tcPr>
          <w:p>
            <w:pPr>
              <w:spacing w:after="0"/>
              <w:rPr>
                <w:sz w:val="13"/>
                <w:szCs w:val="13"/>
                <w:color w:val="auto"/>
              </w:rPr>
            </w:pPr>
          </w:p>
        </w:tc>
        <w:tc>
          <w:tcPr>
            <w:tcW w:w="740" w:type="dxa"/>
            <w:vAlign w:val="bottom"/>
          </w:tcPr>
          <w:p>
            <w:pPr>
              <w:jc w:val="right"/>
              <w:spacing w:after="0"/>
              <w:rPr>
                <w:sz w:val="20"/>
                <w:szCs w:val="20"/>
                <w:color w:val="auto"/>
              </w:rPr>
            </w:pPr>
            <w:r>
              <w:rPr>
                <w:rFonts w:ascii="Arial" w:cs="Arial" w:eastAsia="Arial" w:hAnsi="Arial"/>
                <w:sz w:val="11"/>
                <w:szCs w:val="11"/>
                <w:color w:val="auto"/>
              </w:rPr>
              <w:t>378</w:t>
            </w:r>
          </w:p>
        </w:tc>
        <w:tc>
          <w:tcPr>
            <w:tcW w:w="80" w:type="dxa"/>
            <w:vAlign w:val="bottom"/>
          </w:tcPr>
          <w:p>
            <w:pPr>
              <w:spacing w:after="0"/>
              <w:rPr>
                <w:sz w:val="13"/>
                <w:szCs w:val="13"/>
                <w:color w:val="auto"/>
              </w:rPr>
            </w:pPr>
          </w:p>
        </w:tc>
        <w:tc>
          <w:tcPr>
            <w:tcW w:w="800" w:type="dxa"/>
            <w:vAlign w:val="bottom"/>
          </w:tcPr>
          <w:p>
            <w:pPr>
              <w:jc w:val="right"/>
              <w:spacing w:after="0"/>
              <w:rPr>
                <w:sz w:val="20"/>
                <w:szCs w:val="20"/>
                <w:color w:val="auto"/>
              </w:rPr>
            </w:pPr>
            <w:r>
              <w:rPr>
                <w:rFonts w:ascii="Arial" w:cs="Arial" w:eastAsia="Arial" w:hAnsi="Arial"/>
                <w:sz w:val="11"/>
                <w:szCs w:val="11"/>
                <w:color w:val="auto"/>
              </w:rPr>
              <w:t>382</w:t>
            </w:r>
          </w:p>
        </w:tc>
        <w:tc>
          <w:tcPr>
            <w:tcW w:w="100" w:type="dxa"/>
            <w:vAlign w:val="bottom"/>
          </w:tcPr>
          <w:p>
            <w:pPr>
              <w:spacing w:after="0"/>
              <w:rPr>
                <w:sz w:val="13"/>
                <w:szCs w:val="13"/>
                <w:color w:val="auto"/>
              </w:rPr>
            </w:pPr>
          </w:p>
        </w:tc>
        <w:tc>
          <w:tcPr>
            <w:tcW w:w="62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9"/>
        </w:trPr>
        <w:tc>
          <w:tcPr>
            <w:tcW w:w="34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7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240" w:type="dxa"/>
            <w:vAlign w:val="bottom"/>
            <w:shd w:val="clear" w:color="auto" w:fill="CCEEFF"/>
          </w:tcPr>
          <w:p>
            <w:pPr>
              <w:spacing w:after="0"/>
              <w:rPr>
                <w:sz w:val="20"/>
                <w:szCs w:val="20"/>
                <w:color w:val="auto"/>
              </w:rPr>
            </w:pPr>
            <w:r>
              <w:rPr>
                <w:rFonts w:ascii="Arial" w:cs="Arial" w:eastAsia="Arial" w:hAnsi="Arial"/>
                <w:sz w:val="11"/>
                <w:szCs w:val="11"/>
                <w:color w:val="auto"/>
              </w:rPr>
              <w:t>Third party loan servicing fees decreased due to runoff of the Company's loan portfolio on third-party platforms, significant</w:t>
            </w:r>
          </w:p>
        </w:tc>
        <w:tc>
          <w:tcPr>
            <w:tcW w:w="0" w:type="dxa"/>
            <w:vAlign w:val="bottom"/>
          </w:tcPr>
          <w:p>
            <w:pPr>
              <w:spacing w:after="0"/>
              <w:rPr>
                <w:sz w:val="1"/>
                <w:szCs w:val="1"/>
                <w:color w:val="auto"/>
              </w:rPr>
            </w:pPr>
          </w:p>
        </w:tc>
      </w:tr>
      <w:tr>
        <w:trPr>
          <w:trHeight w:val="119"/>
        </w:trPr>
        <w:tc>
          <w:tcPr>
            <w:tcW w:w="34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74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8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240" w:type="dxa"/>
            <w:vAlign w:val="bottom"/>
            <w:shd w:val="clear" w:color="auto" w:fill="CCEEFF"/>
          </w:tcPr>
          <w:p>
            <w:pPr>
              <w:spacing w:after="0" w:line="119" w:lineRule="exact"/>
              <w:rPr>
                <w:sz w:val="20"/>
                <w:szCs w:val="20"/>
                <w:color w:val="auto"/>
              </w:rPr>
            </w:pPr>
            <w:r>
              <w:rPr>
                <w:rFonts w:ascii="Arial" w:cs="Arial" w:eastAsia="Arial" w:hAnsi="Arial"/>
                <w:sz w:val="11"/>
                <w:szCs w:val="11"/>
                <w:color w:val="auto"/>
                <w:w w:val="95"/>
              </w:rPr>
              <w:t>conversions of loans to the LSS operating segment in July 2018 and September 2018, and the acquisition of Great Lakes on February</w:t>
            </w:r>
          </w:p>
        </w:tc>
        <w:tc>
          <w:tcPr>
            <w:tcW w:w="0" w:type="dxa"/>
            <w:vAlign w:val="bottom"/>
          </w:tcPr>
          <w:p>
            <w:pPr>
              <w:spacing w:after="0"/>
              <w:rPr>
                <w:sz w:val="1"/>
                <w:szCs w:val="1"/>
                <w:color w:val="auto"/>
              </w:rPr>
            </w:pPr>
          </w:p>
        </w:tc>
      </w:tr>
      <w:tr>
        <w:trPr>
          <w:trHeight w:val="119"/>
        </w:trPr>
        <w:tc>
          <w:tcPr>
            <w:tcW w:w="34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74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8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240" w:type="dxa"/>
            <w:vAlign w:val="bottom"/>
            <w:shd w:val="clear" w:color="auto" w:fill="CCEEFF"/>
          </w:tcPr>
          <w:p>
            <w:pPr>
              <w:spacing w:after="0" w:line="119" w:lineRule="exact"/>
              <w:rPr>
                <w:sz w:val="20"/>
                <w:szCs w:val="20"/>
                <w:color w:val="auto"/>
              </w:rPr>
            </w:pPr>
            <w:r>
              <w:rPr>
                <w:rFonts w:ascii="Arial" w:cs="Arial" w:eastAsia="Arial" w:hAnsi="Arial"/>
                <w:sz w:val="11"/>
                <w:szCs w:val="11"/>
                <w:color w:val="auto"/>
                <w:w w:val="95"/>
              </w:rPr>
              <w:t>7, 2018, which prior to the acquisition was a third-party servicer to the Company. Servicing fees on loans serviced by Great Lakes are</w:t>
            </w:r>
          </w:p>
        </w:tc>
        <w:tc>
          <w:tcPr>
            <w:tcW w:w="0" w:type="dxa"/>
            <w:vAlign w:val="bottom"/>
          </w:tcPr>
          <w:p>
            <w:pPr>
              <w:spacing w:after="0"/>
              <w:rPr>
                <w:sz w:val="1"/>
                <w:szCs w:val="1"/>
                <w:color w:val="auto"/>
              </w:rPr>
            </w:pPr>
          </w:p>
        </w:tc>
      </w:tr>
      <w:tr>
        <w:trPr>
          <w:trHeight w:val="155"/>
        </w:trPr>
        <w:tc>
          <w:tcPr>
            <w:tcW w:w="3440" w:type="dxa"/>
            <w:vAlign w:val="bottom"/>
            <w:shd w:val="clear" w:color="auto" w:fill="CCEEFF"/>
          </w:tcPr>
          <w:p>
            <w:pPr>
              <w:ind w:left="20"/>
              <w:spacing w:after="0"/>
              <w:rPr>
                <w:sz w:val="20"/>
                <w:szCs w:val="20"/>
                <w:color w:val="auto"/>
              </w:rPr>
            </w:pPr>
            <w:r>
              <w:rPr>
                <w:rFonts w:ascii="Arial" w:cs="Arial" w:eastAsia="Arial" w:hAnsi="Arial"/>
                <w:sz w:val="11"/>
                <w:szCs w:val="11"/>
                <w:color w:val="auto"/>
              </w:rPr>
              <w:t>Loan servicing fees to third parties</w:t>
            </w:r>
          </w:p>
        </w:tc>
        <w:tc>
          <w:tcPr>
            <w:tcW w:w="60" w:type="dxa"/>
            <w:vAlign w:val="bottom"/>
            <w:shd w:val="clear" w:color="auto" w:fill="CCEEFF"/>
          </w:tcPr>
          <w:p>
            <w:pPr>
              <w:spacing w:after="0"/>
              <w:rPr>
                <w:sz w:val="13"/>
                <w:szCs w:val="13"/>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1"/>
                <w:szCs w:val="11"/>
                <w:color w:val="auto"/>
              </w:rPr>
              <w:t>2,893</w:t>
            </w:r>
          </w:p>
        </w:tc>
        <w:tc>
          <w:tcPr>
            <w:tcW w:w="80" w:type="dxa"/>
            <w:vAlign w:val="bottom"/>
            <w:shd w:val="clear" w:color="auto" w:fill="CCEEFF"/>
          </w:tcPr>
          <w:p>
            <w:pPr>
              <w:spacing w:after="0"/>
              <w:rPr>
                <w:sz w:val="13"/>
                <w:szCs w:val="13"/>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3,136</w:t>
            </w:r>
          </w:p>
        </w:tc>
        <w:tc>
          <w:tcPr>
            <w:tcW w:w="100" w:type="dxa"/>
            <w:vAlign w:val="bottom"/>
            <w:shd w:val="clear" w:color="auto" w:fill="CCEEFF"/>
          </w:tcPr>
          <w:p>
            <w:pPr>
              <w:spacing w:after="0"/>
              <w:rPr>
                <w:sz w:val="13"/>
                <w:szCs w:val="13"/>
                <w:color w:val="auto"/>
              </w:rPr>
            </w:pPr>
          </w:p>
        </w:tc>
        <w:tc>
          <w:tcPr>
            <w:tcW w:w="6240" w:type="dxa"/>
            <w:vAlign w:val="bottom"/>
            <w:shd w:val="clear" w:color="auto" w:fill="CCEEFF"/>
          </w:tcPr>
          <w:p>
            <w:pPr>
              <w:spacing w:after="0"/>
              <w:rPr>
                <w:sz w:val="20"/>
                <w:szCs w:val="20"/>
                <w:color w:val="auto"/>
              </w:rPr>
            </w:pPr>
            <w:r>
              <w:rPr>
                <w:rFonts w:ascii="Arial" w:cs="Arial" w:eastAsia="Arial" w:hAnsi="Arial"/>
                <w:sz w:val="11"/>
                <w:szCs w:val="11"/>
                <w:color w:val="auto"/>
              </w:rPr>
              <w:t>included in intersegment expenses effective as of the acquisition date.</w:t>
            </w:r>
          </w:p>
        </w:tc>
        <w:tc>
          <w:tcPr>
            <w:tcW w:w="0" w:type="dxa"/>
            <w:vAlign w:val="bottom"/>
          </w:tcPr>
          <w:p>
            <w:pPr>
              <w:spacing w:after="0"/>
              <w:rPr>
                <w:sz w:val="1"/>
                <w:szCs w:val="1"/>
                <w:color w:val="auto"/>
              </w:rPr>
            </w:pPr>
          </w:p>
        </w:tc>
      </w:tr>
      <w:tr>
        <w:trPr>
          <w:trHeight w:val="157"/>
        </w:trPr>
        <w:tc>
          <w:tcPr>
            <w:tcW w:w="3440" w:type="dxa"/>
            <w:vAlign w:val="bottom"/>
          </w:tcPr>
          <w:p>
            <w:pPr>
              <w:ind w:left="20"/>
              <w:spacing w:after="0"/>
              <w:rPr>
                <w:sz w:val="20"/>
                <w:szCs w:val="20"/>
                <w:color w:val="auto"/>
              </w:rPr>
            </w:pPr>
            <w:r>
              <w:rPr>
                <w:rFonts w:ascii="Arial" w:cs="Arial" w:eastAsia="Arial" w:hAnsi="Arial"/>
                <w:sz w:val="11"/>
                <w:szCs w:val="11"/>
                <w:color w:val="auto"/>
              </w:rPr>
              <w:t>Other expenses</w:t>
            </w:r>
          </w:p>
        </w:tc>
        <w:tc>
          <w:tcPr>
            <w:tcW w:w="60" w:type="dxa"/>
            <w:vAlign w:val="bottom"/>
          </w:tcPr>
          <w:p>
            <w:pPr>
              <w:spacing w:after="0"/>
              <w:rPr>
                <w:sz w:val="13"/>
                <w:szCs w:val="13"/>
                <w:color w:val="auto"/>
              </w:rPr>
            </w:pPr>
          </w:p>
        </w:tc>
        <w:tc>
          <w:tcPr>
            <w:tcW w:w="740" w:type="dxa"/>
            <w:vAlign w:val="bottom"/>
          </w:tcPr>
          <w:p>
            <w:pPr>
              <w:jc w:val="right"/>
              <w:spacing w:after="0"/>
              <w:rPr>
                <w:sz w:val="20"/>
                <w:szCs w:val="20"/>
                <w:color w:val="auto"/>
              </w:rPr>
            </w:pPr>
            <w:r>
              <w:rPr>
                <w:rFonts w:ascii="Arial" w:cs="Arial" w:eastAsia="Arial" w:hAnsi="Arial"/>
                <w:sz w:val="11"/>
                <w:szCs w:val="11"/>
                <w:color w:val="auto"/>
              </w:rPr>
              <w:t>944</w:t>
            </w:r>
          </w:p>
        </w:tc>
        <w:tc>
          <w:tcPr>
            <w:tcW w:w="80" w:type="dxa"/>
            <w:vAlign w:val="bottom"/>
          </w:tcPr>
          <w:p>
            <w:pPr>
              <w:spacing w:after="0"/>
              <w:rPr>
                <w:sz w:val="13"/>
                <w:szCs w:val="13"/>
                <w:color w:val="auto"/>
              </w:rPr>
            </w:pPr>
          </w:p>
        </w:tc>
        <w:tc>
          <w:tcPr>
            <w:tcW w:w="800" w:type="dxa"/>
            <w:vAlign w:val="bottom"/>
          </w:tcPr>
          <w:p>
            <w:pPr>
              <w:jc w:val="right"/>
              <w:spacing w:after="0"/>
              <w:rPr>
                <w:sz w:val="20"/>
                <w:szCs w:val="20"/>
                <w:color w:val="auto"/>
              </w:rPr>
            </w:pPr>
            <w:r>
              <w:rPr>
                <w:rFonts w:ascii="Arial" w:cs="Arial" w:eastAsia="Arial" w:hAnsi="Arial"/>
                <w:sz w:val="11"/>
                <w:szCs w:val="11"/>
                <w:color w:val="auto"/>
              </w:rPr>
              <w:t>848</w:t>
            </w:r>
          </w:p>
        </w:tc>
        <w:tc>
          <w:tcPr>
            <w:tcW w:w="100" w:type="dxa"/>
            <w:vAlign w:val="bottom"/>
          </w:tcPr>
          <w:p>
            <w:pPr>
              <w:spacing w:after="0"/>
              <w:rPr>
                <w:sz w:val="13"/>
                <w:szCs w:val="13"/>
                <w:color w:val="auto"/>
              </w:rPr>
            </w:pPr>
          </w:p>
        </w:tc>
        <w:tc>
          <w:tcPr>
            <w:tcW w:w="62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9"/>
        </w:trPr>
        <w:tc>
          <w:tcPr>
            <w:tcW w:w="34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7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240" w:type="dxa"/>
            <w:vAlign w:val="bottom"/>
            <w:shd w:val="clear" w:color="auto" w:fill="CCEEFF"/>
          </w:tcPr>
          <w:p>
            <w:pPr>
              <w:spacing w:after="0"/>
              <w:rPr>
                <w:sz w:val="20"/>
                <w:szCs w:val="20"/>
                <w:color w:val="auto"/>
              </w:rPr>
            </w:pPr>
            <w:r>
              <w:rPr>
                <w:rFonts w:ascii="Arial" w:cs="Arial" w:eastAsia="Arial" w:hAnsi="Arial"/>
                <w:sz w:val="11"/>
                <w:szCs w:val="11"/>
                <w:color w:val="auto"/>
                <w:w w:val="95"/>
              </w:rPr>
              <w:t>Amounts include fees paid to the LSS operating segment for the servicing of the Company’s loan portfolio. These amounts exceed the</w:t>
            </w:r>
          </w:p>
        </w:tc>
        <w:tc>
          <w:tcPr>
            <w:tcW w:w="0" w:type="dxa"/>
            <w:vAlign w:val="bottom"/>
          </w:tcPr>
          <w:p>
            <w:pPr>
              <w:spacing w:after="0"/>
              <w:rPr>
                <w:sz w:val="1"/>
                <w:szCs w:val="1"/>
                <w:color w:val="auto"/>
              </w:rPr>
            </w:pPr>
          </w:p>
        </w:tc>
      </w:tr>
      <w:tr>
        <w:trPr>
          <w:trHeight w:val="119"/>
        </w:trPr>
        <w:tc>
          <w:tcPr>
            <w:tcW w:w="34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74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8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240" w:type="dxa"/>
            <w:vAlign w:val="bottom"/>
            <w:shd w:val="clear" w:color="auto" w:fill="CCEEFF"/>
          </w:tcPr>
          <w:p>
            <w:pPr>
              <w:spacing w:after="0" w:line="119" w:lineRule="exact"/>
              <w:rPr>
                <w:sz w:val="20"/>
                <w:szCs w:val="20"/>
                <w:color w:val="auto"/>
              </w:rPr>
            </w:pPr>
            <w:r>
              <w:rPr>
                <w:rFonts w:ascii="Arial" w:cs="Arial" w:eastAsia="Arial" w:hAnsi="Arial"/>
                <w:sz w:val="11"/>
                <w:szCs w:val="11"/>
                <w:color w:val="auto"/>
              </w:rPr>
              <w:t>actual cost of servicing the loans. Increase was due to significant purchases of loans in April 2018 of which LSS is the servicer,</w:t>
            </w:r>
          </w:p>
        </w:tc>
        <w:tc>
          <w:tcPr>
            <w:tcW w:w="0" w:type="dxa"/>
            <w:vAlign w:val="bottom"/>
          </w:tcPr>
          <w:p>
            <w:pPr>
              <w:spacing w:after="0"/>
              <w:rPr>
                <w:sz w:val="1"/>
                <w:szCs w:val="1"/>
                <w:color w:val="auto"/>
              </w:rPr>
            </w:pPr>
          </w:p>
        </w:tc>
      </w:tr>
      <w:tr>
        <w:trPr>
          <w:trHeight w:val="119"/>
        </w:trPr>
        <w:tc>
          <w:tcPr>
            <w:tcW w:w="34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74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8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240" w:type="dxa"/>
            <w:vAlign w:val="bottom"/>
            <w:shd w:val="clear" w:color="auto" w:fill="CCEEFF"/>
          </w:tcPr>
          <w:p>
            <w:pPr>
              <w:spacing w:after="0" w:line="119" w:lineRule="exact"/>
              <w:rPr>
                <w:sz w:val="20"/>
                <w:szCs w:val="20"/>
                <w:color w:val="auto"/>
              </w:rPr>
            </w:pPr>
            <w:r>
              <w:rPr>
                <w:rFonts w:ascii="Arial" w:cs="Arial" w:eastAsia="Arial" w:hAnsi="Arial"/>
                <w:sz w:val="11"/>
                <w:szCs w:val="11"/>
                <w:color w:val="auto"/>
              </w:rPr>
              <w:t>significant conversions of loans in July 2018 and September 2018, and the acquisition of Great Lakes on February 7, 2018, as</w:t>
            </w:r>
          </w:p>
        </w:tc>
        <w:tc>
          <w:tcPr>
            <w:tcW w:w="0" w:type="dxa"/>
            <w:vAlign w:val="bottom"/>
          </w:tcPr>
          <w:p>
            <w:pPr>
              <w:spacing w:after="0"/>
              <w:rPr>
                <w:sz w:val="1"/>
                <w:szCs w:val="1"/>
                <w:color w:val="auto"/>
              </w:rPr>
            </w:pPr>
          </w:p>
        </w:tc>
      </w:tr>
      <w:tr>
        <w:trPr>
          <w:trHeight w:val="119"/>
        </w:trPr>
        <w:tc>
          <w:tcPr>
            <w:tcW w:w="34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74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8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240" w:type="dxa"/>
            <w:vAlign w:val="bottom"/>
            <w:shd w:val="clear" w:color="auto" w:fill="CCEEFF"/>
          </w:tcPr>
          <w:p>
            <w:pPr>
              <w:spacing w:after="0" w:line="119" w:lineRule="exact"/>
              <w:rPr>
                <w:sz w:val="20"/>
                <w:szCs w:val="20"/>
                <w:color w:val="auto"/>
              </w:rPr>
            </w:pPr>
            <w:r>
              <w:rPr>
                <w:rFonts w:ascii="Arial" w:cs="Arial" w:eastAsia="Arial" w:hAnsi="Arial"/>
                <w:sz w:val="11"/>
                <w:szCs w:val="11"/>
                <w:color w:val="auto"/>
                <w:w w:val="97"/>
              </w:rPr>
              <w:t>described above. Intersegment expenses also represent costs for certain corporate activities and services that are allocated to each</w:t>
            </w:r>
          </w:p>
        </w:tc>
        <w:tc>
          <w:tcPr>
            <w:tcW w:w="0" w:type="dxa"/>
            <w:vAlign w:val="bottom"/>
          </w:tcPr>
          <w:p>
            <w:pPr>
              <w:spacing w:after="0"/>
              <w:rPr>
                <w:sz w:val="1"/>
                <w:szCs w:val="1"/>
                <w:color w:val="auto"/>
              </w:rPr>
            </w:pPr>
          </w:p>
        </w:tc>
      </w:tr>
      <w:tr>
        <w:trPr>
          <w:trHeight w:val="155"/>
        </w:trPr>
        <w:tc>
          <w:tcPr>
            <w:tcW w:w="3440" w:type="dxa"/>
            <w:vAlign w:val="bottom"/>
            <w:shd w:val="clear" w:color="auto" w:fill="CCEEFF"/>
          </w:tcPr>
          <w:p>
            <w:pPr>
              <w:ind w:left="20"/>
              <w:spacing w:after="0"/>
              <w:rPr>
                <w:sz w:val="20"/>
                <w:szCs w:val="20"/>
                <w:color w:val="auto"/>
              </w:rPr>
            </w:pPr>
            <w:r>
              <w:rPr>
                <w:rFonts w:ascii="Arial" w:cs="Arial" w:eastAsia="Arial" w:hAnsi="Arial"/>
                <w:sz w:val="11"/>
                <w:szCs w:val="11"/>
                <w:color w:val="auto"/>
              </w:rPr>
              <w:t>Intersegment expenses</w:t>
            </w:r>
          </w:p>
        </w:tc>
        <w:tc>
          <w:tcPr>
            <w:tcW w:w="60" w:type="dxa"/>
            <w:vAlign w:val="bottom"/>
            <w:tcBorders>
              <w:bottom w:val="single" w:sz="8" w:color="auto"/>
            </w:tcBorders>
            <w:shd w:val="clear" w:color="auto" w:fill="CCEEFF"/>
          </w:tcPr>
          <w:p>
            <w:pPr>
              <w:spacing w:after="0"/>
              <w:rPr>
                <w:sz w:val="13"/>
                <w:szCs w:val="13"/>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rPr>
              <w:t>12,287</w:t>
            </w:r>
          </w:p>
        </w:tc>
        <w:tc>
          <w:tcPr>
            <w:tcW w:w="80" w:type="dxa"/>
            <w:vAlign w:val="bottom"/>
            <w:shd w:val="clear" w:color="auto" w:fill="CCEEFF"/>
          </w:tcPr>
          <w:p>
            <w:pPr>
              <w:spacing w:after="0"/>
              <w:rPr>
                <w:sz w:val="13"/>
                <w:szCs w:val="13"/>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rPr>
              <w:t>10,865</w:t>
            </w:r>
          </w:p>
        </w:tc>
        <w:tc>
          <w:tcPr>
            <w:tcW w:w="100" w:type="dxa"/>
            <w:vAlign w:val="bottom"/>
            <w:shd w:val="clear" w:color="auto" w:fill="CCEEFF"/>
          </w:tcPr>
          <w:p>
            <w:pPr>
              <w:spacing w:after="0"/>
              <w:rPr>
                <w:sz w:val="13"/>
                <w:szCs w:val="13"/>
                <w:color w:val="auto"/>
              </w:rPr>
            </w:pPr>
          </w:p>
        </w:tc>
        <w:tc>
          <w:tcPr>
            <w:tcW w:w="6240" w:type="dxa"/>
            <w:vAlign w:val="bottom"/>
            <w:shd w:val="clear" w:color="auto" w:fill="CCEEFF"/>
          </w:tcPr>
          <w:p>
            <w:pPr>
              <w:spacing w:after="0"/>
              <w:rPr>
                <w:sz w:val="20"/>
                <w:szCs w:val="20"/>
                <w:color w:val="auto"/>
              </w:rPr>
            </w:pPr>
            <w:r>
              <w:rPr>
                <w:rFonts w:ascii="Arial" w:cs="Arial" w:eastAsia="Arial" w:hAnsi="Arial"/>
                <w:sz w:val="11"/>
                <w:szCs w:val="11"/>
                <w:color w:val="auto"/>
              </w:rPr>
              <w:t>operating segment based on estimated use of such activities and services.</w:t>
            </w:r>
          </w:p>
        </w:tc>
        <w:tc>
          <w:tcPr>
            <w:tcW w:w="0" w:type="dxa"/>
            <w:vAlign w:val="bottom"/>
          </w:tcPr>
          <w:p>
            <w:pPr>
              <w:spacing w:after="0"/>
              <w:rPr>
                <w:sz w:val="1"/>
                <w:szCs w:val="1"/>
                <w:color w:val="auto"/>
              </w:rPr>
            </w:pPr>
          </w:p>
        </w:tc>
      </w:tr>
      <w:tr>
        <w:trPr>
          <w:trHeight w:val="105"/>
        </w:trPr>
        <w:tc>
          <w:tcPr>
            <w:tcW w:w="3440" w:type="dxa"/>
            <w:vAlign w:val="bottom"/>
          </w:tcPr>
          <w:p>
            <w:pPr>
              <w:spacing w:after="0"/>
              <w:rPr>
                <w:sz w:val="9"/>
                <w:szCs w:val="9"/>
                <w:color w:val="auto"/>
              </w:rPr>
            </w:pPr>
          </w:p>
        </w:tc>
        <w:tc>
          <w:tcPr>
            <w:tcW w:w="60" w:type="dxa"/>
            <w:vAlign w:val="bottom"/>
          </w:tcPr>
          <w:p>
            <w:pPr>
              <w:spacing w:after="0"/>
              <w:rPr>
                <w:sz w:val="9"/>
                <w:szCs w:val="9"/>
                <w:color w:val="auto"/>
              </w:rPr>
            </w:pPr>
          </w:p>
        </w:tc>
        <w:tc>
          <w:tcPr>
            <w:tcW w:w="740" w:type="dxa"/>
            <w:vAlign w:val="bottom"/>
          </w:tcPr>
          <w:p>
            <w:pPr>
              <w:spacing w:after="0"/>
              <w:rPr>
                <w:sz w:val="9"/>
                <w:szCs w:val="9"/>
                <w:color w:val="auto"/>
              </w:rPr>
            </w:pPr>
          </w:p>
        </w:tc>
        <w:tc>
          <w:tcPr>
            <w:tcW w:w="80" w:type="dxa"/>
            <w:vAlign w:val="bottom"/>
          </w:tcPr>
          <w:p>
            <w:pPr>
              <w:spacing w:after="0"/>
              <w:rPr>
                <w:sz w:val="9"/>
                <w:szCs w:val="9"/>
                <w:color w:val="auto"/>
              </w:rPr>
            </w:pPr>
          </w:p>
        </w:tc>
        <w:tc>
          <w:tcPr>
            <w:tcW w:w="80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40" w:type="dxa"/>
            <w:vAlign w:val="bottom"/>
          </w:tcPr>
          <w:p>
            <w:pPr>
              <w:spacing w:after="0" w:line="105" w:lineRule="exact"/>
              <w:rPr>
                <w:sz w:val="20"/>
                <w:szCs w:val="20"/>
                <w:color w:val="auto"/>
              </w:rPr>
            </w:pPr>
            <w:r>
              <w:rPr>
                <w:rFonts w:ascii="Arial" w:cs="Arial" w:eastAsia="Arial" w:hAnsi="Arial"/>
                <w:sz w:val="11"/>
                <w:szCs w:val="11"/>
                <w:color w:val="auto"/>
                <w:w w:val="95"/>
              </w:rPr>
              <w:t>Total operating expenses were 30 basis points and 28 basis points of the average balance of loans for the three months ended March</w:t>
            </w:r>
          </w:p>
        </w:tc>
        <w:tc>
          <w:tcPr>
            <w:tcW w:w="0" w:type="dxa"/>
            <w:vAlign w:val="bottom"/>
          </w:tcPr>
          <w:p>
            <w:pPr>
              <w:spacing w:after="0"/>
              <w:rPr>
                <w:sz w:val="1"/>
                <w:szCs w:val="1"/>
                <w:color w:val="auto"/>
              </w:rPr>
            </w:pPr>
          </w:p>
        </w:tc>
      </w:tr>
      <w:tr>
        <w:trPr>
          <w:trHeight w:val="151"/>
        </w:trPr>
        <w:tc>
          <w:tcPr>
            <w:tcW w:w="3440" w:type="dxa"/>
            <w:vAlign w:val="bottom"/>
            <w:tcBorders>
              <w:bottom w:val="single" w:sz="8" w:color="CCEEFF"/>
            </w:tcBorders>
          </w:tcPr>
          <w:p>
            <w:pPr>
              <w:ind w:left="260"/>
              <w:spacing w:after="0"/>
              <w:rPr>
                <w:sz w:val="20"/>
                <w:szCs w:val="20"/>
                <w:color w:val="auto"/>
              </w:rPr>
            </w:pPr>
            <w:r>
              <w:rPr>
                <w:rFonts w:ascii="Arial" w:cs="Arial" w:eastAsia="Arial" w:hAnsi="Arial"/>
                <w:sz w:val="11"/>
                <w:szCs w:val="11"/>
                <w:color w:val="auto"/>
              </w:rPr>
              <w:t>Total operating expenses</w:t>
            </w:r>
          </w:p>
        </w:tc>
        <w:tc>
          <w:tcPr>
            <w:tcW w:w="60" w:type="dxa"/>
            <w:vAlign w:val="bottom"/>
            <w:tcBorders>
              <w:bottom w:val="single" w:sz="8" w:color="auto"/>
            </w:tcBorders>
          </w:tcPr>
          <w:p>
            <w:pPr>
              <w:spacing w:after="0"/>
              <w:rPr>
                <w:sz w:val="13"/>
                <w:szCs w:val="13"/>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16,502</w:t>
            </w:r>
          </w:p>
        </w:tc>
        <w:tc>
          <w:tcPr>
            <w:tcW w:w="80" w:type="dxa"/>
            <w:vAlign w:val="bottom"/>
            <w:tcBorders>
              <w:bottom w:val="single" w:sz="8" w:color="CCEEFF"/>
            </w:tcBorders>
          </w:tcPr>
          <w:p>
            <w:pPr>
              <w:spacing w:after="0"/>
              <w:rPr>
                <w:sz w:val="13"/>
                <w:szCs w:val="13"/>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15,231</w:t>
            </w:r>
          </w:p>
        </w:tc>
        <w:tc>
          <w:tcPr>
            <w:tcW w:w="100" w:type="dxa"/>
            <w:vAlign w:val="bottom"/>
            <w:tcBorders>
              <w:bottom w:val="single" w:sz="8" w:color="CCEEFF"/>
            </w:tcBorders>
          </w:tcPr>
          <w:p>
            <w:pPr>
              <w:spacing w:after="0"/>
              <w:rPr>
                <w:sz w:val="13"/>
                <w:szCs w:val="13"/>
                <w:color w:val="auto"/>
              </w:rPr>
            </w:pPr>
          </w:p>
        </w:tc>
        <w:tc>
          <w:tcPr>
            <w:tcW w:w="6240" w:type="dxa"/>
            <w:vAlign w:val="bottom"/>
            <w:tcBorders>
              <w:bottom w:val="single" w:sz="8" w:color="CCEEFF"/>
            </w:tcBorders>
          </w:tcPr>
          <w:p>
            <w:pPr>
              <w:spacing w:after="0"/>
              <w:rPr>
                <w:sz w:val="20"/>
                <w:szCs w:val="20"/>
                <w:color w:val="auto"/>
              </w:rPr>
            </w:pPr>
            <w:r>
              <w:rPr>
                <w:rFonts w:ascii="Arial" w:cs="Arial" w:eastAsia="Arial" w:hAnsi="Arial"/>
                <w:sz w:val="11"/>
                <w:szCs w:val="11"/>
                <w:color w:val="auto"/>
              </w:rPr>
              <w:t>31, 2019 and 2018, respectively.</w:t>
            </w:r>
          </w:p>
        </w:tc>
        <w:tc>
          <w:tcPr>
            <w:tcW w:w="0" w:type="dxa"/>
            <w:vAlign w:val="bottom"/>
          </w:tcPr>
          <w:p>
            <w:pPr>
              <w:spacing w:after="0"/>
              <w:rPr>
                <w:sz w:val="1"/>
                <w:szCs w:val="1"/>
                <w:color w:val="auto"/>
              </w:rPr>
            </w:pPr>
          </w:p>
        </w:tc>
      </w:tr>
      <w:tr>
        <w:trPr>
          <w:trHeight w:val="394"/>
        </w:trPr>
        <w:tc>
          <w:tcPr>
            <w:tcW w:w="3440" w:type="dxa"/>
            <w:vAlign w:val="bottom"/>
            <w:shd w:val="clear" w:color="auto" w:fill="CCEEFF"/>
          </w:tcPr>
          <w:p>
            <w:pPr>
              <w:ind w:left="200"/>
              <w:spacing w:after="0"/>
              <w:rPr>
                <w:sz w:val="20"/>
                <w:szCs w:val="20"/>
                <w:color w:val="auto"/>
              </w:rPr>
            </w:pPr>
            <w:r>
              <w:rPr>
                <w:rFonts w:ascii="Arial" w:cs="Arial" w:eastAsia="Arial" w:hAnsi="Arial"/>
                <w:sz w:val="11"/>
                <w:szCs w:val="11"/>
                <w:color w:val="auto"/>
              </w:rPr>
              <w:t>Income before income taxes</w:t>
            </w:r>
          </w:p>
        </w:tc>
        <w:tc>
          <w:tcPr>
            <w:tcW w:w="60" w:type="dxa"/>
            <w:vAlign w:val="bottom"/>
            <w:shd w:val="clear" w:color="auto" w:fill="CCEEFF"/>
          </w:tcPr>
          <w:p>
            <w:pPr>
              <w:spacing w:after="0"/>
              <w:rPr>
                <w:sz w:val="24"/>
                <w:szCs w:val="24"/>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1"/>
                <w:szCs w:val="11"/>
                <w:color w:val="auto"/>
              </w:rPr>
              <w:t>26,552</w:t>
            </w:r>
          </w:p>
        </w:tc>
        <w:tc>
          <w:tcPr>
            <w:tcW w:w="80" w:type="dxa"/>
            <w:vAlign w:val="bottom"/>
            <w:shd w:val="clear" w:color="auto" w:fill="CCEEFF"/>
          </w:tcPr>
          <w:p>
            <w:pPr>
              <w:spacing w:after="0"/>
              <w:rPr>
                <w:sz w:val="24"/>
                <w:szCs w:val="2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115,718</w:t>
            </w:r>
          </w:p>
        </w:tc>
        <w:tc>
          <w:tcPr>
            <w:tcW w:w="100" w:type="dxa"/>
            <w:vAlign w:val="bottom"/>
            <w:shd w:val="clear" w:color="auto" w:fill="CCEEFF"/>
          </w:tcPr>
          <w:p>
            <w:pPr>
              <w:spacing w:after="0"/>
              <w:rPr>
                <w:sz w:val="24"/>
                <w:szCs w:val="24"/>
                <w:color w:val="auto"/>
              </w:rPr>
            </w:pPr>
          </w:p>
        </w:tc>
        <w:tc>
          <w:tcPr>
            <w:tcW w:w="62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57"/>
        </w:trPr>
        <w:tc>
          <w:tcPr>
            <w:tcW w:w="3440" w:type="dxa"/>
            <w:vAlign w:val="bottom"/>
            <w:tcBorders>
              <w:bottom w:val="single" w:sz="8" w:color="CCEEFF"/>
            </w:tcBorders>
          </w:tcPr>
          <w:p>
            <w:pPr>
              <w:ind w:left="20"/>
              <w:spacing w:after="0"/>
              <w:rPr>
                <w:sz w:val="20"/>
                <w:szCs w:val="20"/>
                <w:color w:val="auto"/>
              </w:rPr>
            </w:pPr>
            <w:r>
              <w:rPr>
                <w:rFonts w:ascii="Arial" w:cs="Arial" w:eastAsia="Arial" w:hAnsi="Arial"/>
                <w:sz w:val="11"/>
                <w:szCs w:val="11"/>
                <w:color w:val="auto"/>
              </w:rPr>
              <w:t>Income tax expense</w:t>
            </w:r>
          </w:p>
        </w:tc>
        <w:tc>
          <w:tcPr>
            <w:tcW w:w="60" w:type="dxa"/>
            <w:vAlign w:val="bottom"/>
            <w:tcBorders>
              <w:bottom w:val="single" w:sz="8" w:color="auto"/>
            </w:tcBorders>
          </w:tcPr>
          <w:p>
            <w:pPr>
              <w:spacing w:after="0"/>
              <w:rPr>
                <w:sz w:val="13"/>
                <w:szCs w:val="13"/>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(6,372)</w:t>
            </w:r>
          </w:p>
        </w:tc>
        <w:tc>
          <w:tcPr>
            <w:tcW w:w="80" w:type="dxa"/>
            <w:vAlign w:val="bottom"/>
            <w:tcBorders>
              <w:bottom w:val="single" w:sz="8" w:color="CCEEFF"/>
            </w:tcBorders>
          </w:tcPr>
          <w:p>
            <w:pPr>
              <w:spacing w:after="0"/>
              <w:rPr>
                <w:sz w:val="13"/>
                <w:szCs w:val="13"/>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(27,773)</w:t>
            </w:r>
          </w:p>
        </w:tc>
        <w:tc>
          <w:tcPr>
            <w:tcW w:w="100" w:type="dxa"/>
            <w:vAlign w:val="bottom"/>
            <w:tcBorders>
              <w:bottom w:val="single" w:sz="8" w:color="CCEEFF"/>
            </w:tcBorders>
          </w:tcPr>
          <w:p>
            <w:pPr>
              <w:spacing w:after="0"/>
              <w:rPr>
                <w:sz w:val="13"/>
                <w:szCs w:val="13"/>
                <w:color w:val="auto"/>
              </w:rPr>
            </w:pPr>
          </w:p>
        </w:tc>
        <w:tc>
          <w:tcPr>
            <w:tcW w:w="6240" w:type="dxa"/>
            <w:vAlign w:val="bottom"/>
            <w:tcBorders>
              <w:bottom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82"/>
        </w:trPr>
        <w:tc>
          <w:tcPr>
            <w:tcW w:w="34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1"/>
                <w:szCs w:val="11"/>
                <w:color w:val="auto"/>
              </w:rPr>
              <w:t>Net income</w:t>
            </w:r>
          </w:p>
        </w:tc>
        <w:tc>
          <w:tcPr>
            <w:tcW w:w="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rPr>
              <w:t>20,180</w:t>
            </w:r>
          </w:p>
        </w:tc>
        <w:tc>
          <w:tcPr>
            <w:tcW w:w="80" w:type="dxa"/>
            <w:vAlign w:val="bottom"/>
            <w:tcBorders>
              <w:bottom w:val="single" w:sz="8" w:color="CCEEFF"/>
            </w:tcBorders>
            <w:shd w:val="clear" w:color="auto" w:fill="CCEEFF"/>
          </w:tcPr>
          <w:p>
            <w:pPr>
              <w:spacing w:after="0"/>
              <w:rPr>
                <w:sz w:val="15"/>
                <w:szCs w:val="15"/>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rPr>
              <w:t>87,945</w:t>
            </w:r>
          </w:p>
        </w:tc>
        <w:tc>
          <w:tcPr>
            <w:tcW w:w="100" w:type="dxa"/>
            <w:vAlign w:val="bottom"/>
            <w:tcBorders>
              <w:bottom w:val="single" w:sz="8" w:color="CCEEFF"/>
            </w:tcBorders>
            <w:shd w:val="clear" w:color="auto" w:fill="CCEEFF"/>
          </w:tcPr>
          <w:p>
            <w:pPr>
              <w:spacing w:after="0"/>
              <w:rPr>
                <w:sz w:val="15"/>
                <w:szCs w:val="15"/>
                <w:color w:val="auto"/>
              </w:rPr>
            </w:pPr>
          </w:p>
        </w:tc>
        <w:tc>
          <w:tcPr>
            <w:tcW w:w="6240" w:type="dxa"/>
            <w:vAlign w:val="bottom"/>
            <w:tcBorders>
              <w:bottom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344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24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7"/>
        </w:trPr>
        <w:tc>
          <w:tcPr>
            <w:tcW w:w="34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3440" w:type="dxa"/>
            <w:vAlign w:val="bottom"/>
            <w:shd w:val="clear" w:color="auto" w:fill="CCEEFF"/>
          </w:tcPr>
          <w:p>
            <w:pPr>
              <w:ind w:left="20"/>
              <w:spacing w:after="0"/>
              <w:rPr>
                <w:sz w:val="20"/>
                <w:szCs w:val="20"/>
                <w:color w:val="auto"/>
              </w:rPr>
            </w:pPr>
            <w:r>
              <w:rPr>
                <w:rFonts w:ascii="Arial" w:cs="Arial" w:eastAsia="Arial" w:hAnsi="Arial"/>
                <w:sz w:val="11"/>
                <w:szCs w:val="11"/>
                <w:color w:val="auto"/>
              </w:rPr>
              <w:t>Additional information:</w:t>
            </w:r>
          </w:p>
        </w:tc>
        <w:tc>
          <w:tcPr>
            <w:tcW w:w="60" w:type="dxa"/>
            <w:vAlign w:val="bottom"/>
            <w:shd w:val="clear" w:color="auto" w:fill="CCEEFF"/>
          </w:tcPr>
          <w:p>
            <w:pPr>
              <w:spacing w:after="0"/>
              <w:rPr>
                <w:sz w:val="14"/>
                <w:szCs w:val="14"/>
                <w:color w:val="auto"/>
              </w:rPr>
            </w:pPr>
          </w:p>
        </w:tc>
        <w:tc>
          <w:tcPr>
            <w:tcW w:w="7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2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57"/>
        </w:trPr>
        <w:tc>
          <w:tcPr>
            <w:tcW w:w="3440" w:type="dxa"/>
            <w:vAlign w:val="bottom"/>
          </w:tcPr>
          <w:p>
            <w:pPr>
              <w:ind w:left="100"/>
              <w:spacing w:after="0"/>
              <w:rPr>
                <w:sz w:val="20"/>
                <w:szCs w:val="20"/>
                <w:color w:val="auto"/>
              </w:rPr>
            </w:pPr>
            <w:r>
              <w:rPr>
                <w:rFonts w:ascii="Arial" w:cs="Arial" w:eastAsia="Arial" w:hAnsi="Arial"/>
                <w:sz w:val="11"/>
                <w:szCs w:val="11"/>
                <w:color w:val="auto"/>
              </w:rPr>
              <w:t>Net income</w:t>
            </w: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740" w:type="dxa"/>
            <w:vAlign w:val="bottom"/>
          </w:tcPr>
          <w:p>
            <w:pPr>
              <w:jc w:val="right"/>
              <w:spacing w:after="0"/>
              <w:rPr>
                <w:sz w:val="20"/>
                <w:szCs w:val="20"/>
                <w:color w:val="auto"/>
              </w:rPr>
            </w:pPr>
            <w:r>
              <w:rPr>
                <w:rFonts w:ascii="Arial" w:cs="Arial" w:eastAsia="Arial" w:hAnsi="Arial"/>
                <w:sz w:val="11"/>
                <w:szCs w:val="11"/>
                <w:color w:val="auto"/>
              </w:rPr>
              <w:t>20,180</w:t>
            </w:r>
          </w:p>
        </w:tc>
        <w:tc>
          <w:tcPr>
            <w:tcW w:w="80" w:type="dxa"/>
            <w:vAlign w:val="bottom"/>
          </w:tcPr>
          <w:p>
            <w:pPr>
              <w:spacing w:after="0"/>
              <w:rPr>
                <w:sz w:val="13"/>
                <w:szCs w:val="13"/>
                <w:color w:val="auto"/>
              </w:rPr>
            </w:pPr>
          </w:p>
        </w:tc>
        <w:tc>
          <w:tcPr>
            <w:tcW w:w="800" w:type="dxa"/>
            <w:vAlign w:val="bottom"/>
          </w:tcPr>
          <w:p>
            <w:pPr>
              <w:jc w:val="right"/>
              <w:spacing w:after="0"/>
              <w:rPr>
                <w:sz w:val="20"/>
                <w:szCs w:val="20"/>
                <w:color w:val="auto"/>
              </w:rPr>
            </w:pPr>
            <w:r>
              <w:rPr>
                <w:rFonts w:ascii="Arial" w:cs="Arial" w:eastAsia="Arial" w:hAnsi="Arial"/>
                <w:sz w:val="11"/>
                <w:szCs w:val="11"/>
                <w:color w:val="auto"/>
              </w:rPr>
              <w:t>87,945</w:t>
            </w:r>
          </w:p>
        </w:tc>
        <w:tc>
          <w:tcPr>
            <w:tcW w:w="100" w:type="dxa"/>
            <w:vAlign w:val="bottom"/>
          </w:tcPr>
          <w:p>
            <w:pPr>
              <w:spacing w:after="0"/>
              <w:rPr>
                <w:sz w:val="13"/>
                <w:szCs w:val="13"/>
                <w:color w:val="auto"/>
              </w:rPr>
            </w:pPr>
          </w:p>
        </w:tc>
        <w:tc>
          <w:tcPr>
            <w:tcW w:w="62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6"/>
        </w:trPr>
        <w:tc>
          <w:tcPr>
            <w:tcW w:w="344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1"/>
                <w:szCs w:val="11"/>
                <w:color w:val="auto"/>
              </w:rPr>
              <w:t>Derivative market value adjustments, net</w:t>
            </w:r>
          </w:p>
        </w:tc>
        <w:tc>
          <w:tcPr>
            <w:tcW w:w="60" w:type="dxa"/>
            <w:vAlign w:val="bottom"/>
            <w:tcBorders>
              <w:bottom w:val="single" w:sz="8" w:color="CCEEFF"/>
            </w:tcBorders>
            <w:shd w:val="clear" w:color="auto" w:fill="CCEEFF"/>
          </w:tcPr>
          <w:p>
            <w:pPr>
              <w:spacing w:after="0"/>
              <w:rPr>
                <w:sz w:val="12"/>
                <w:szCs w:val="12"/>
                <w:color w:val="auto"/>
              </w:rPr>
            </w:pP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1"/>
                <w:szCs w:val="11"/>
                <w:color w:val="auto"/>
              </w:rPr>
              <w:t>30,574</w:t>
            </w:r>
          </w:p>
        </w:tc>
        <w:tc>
          <w:tcPr>
            <w:tcW w:w="80" w:type="dxa"/>
            <w:vAlign w:val="bottom"/>
            <w:tcBorders>
              <w:bottom w:val="single" w:sz="8" w:color="CCEEFF"/>
            </w:tcBorders>
            <w:shd w:val="clear" w:color="auto" w:fill="CCEEFF"/>
          </w:tcPr>
          <w:p>
            <w:pPr>
              <w:spacing w:after="0"/>
              <w:rPr>
                <w:sz w:val="12"/>
                <w:szCs w:val="12"/>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1"/>
                <w:szCs w:val="11"/>
                <w:color w:val="auto"/>
              </w:rPr>
              <w:t>(58,571)</w:t>
            </w:r>
          </w:p>
        </w:tc>
        <w:tc>
          <w:tcPr>
            <w:tcW w:w="100" w:type="dxa"/>
            <w:vAlign w:val="bottom"/>
            <w:tcBorders>
              <w:bottom w:val="single" w:sz="8" w:color="CCEEFF"/>
            </w:tcBorders>
            <w:shd w:val="clear" w:color="auto" w:fill="CCEEFF"/>
          </w:tcPr>
          <w:p>
            <w:pPr>
              <w:spacing w:after="0"/>
              <w:rPr>
                <w:sz w:val="12"/>
                <w:szCs w:val="12"/>
                <w:color w:val="auto"/>
              </w:rPr>
            </w:pPr>
          </w:p>
        </w:tc>
        <w:tc>
          <w:tcPr>
            <w:tcW w:w="62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1"/>
                <w:szCs w:val="11"/>
                <w:color w:val="auto"/>
              </w:rPr>
              <w:t>See "Overview - GAAP Net Income and Non-GAAP Net Income, Excluding Adjustments" above for additional information about</w:t>
            </w:r>
          </w:p>
        </w:tc>
        <w:tc>
          <w:tcPr>
            <w:tcW w:w="0" w:type="dxa"/>
            <w:vAlign w:val="bottom"/>
          </w:tcPr>
          <w:p>
            <w:pPr>
              <w:spacing w:after="0"/>
              <w:rPr>
                <w:sz w:val="1"/>
                <w:szCs w:val="1"/>
                <w:color w:val="auto"/>
              </w:rPr>
            </w:pPr>
          </w:p>
        </w:tc>
      </w:tr>
      <w:tr>
        <w:trPr>
          <w:trHeight w:val="109"/>
        </w:trPr>
        <w:tc>
          <w:tcPr>
            <w:tcW w:w="3440" w:type="dxa"/>
            <w:vAlign w:val="bottom"/>
            <w:vMerge w:val="restart"/>
          </w:tcPr>
          <w:p>
            <w:pPr>
              <w:ind w:left="100"/>
              <w:spacing w:after="0"/>
              <w:rPr>
                <w:sz w:val="20"/>
                <w:szCs w:val="20"/>
                <w:color w:val="auto"/>
              </w:rPr>
            </w:pPr>
            <w:r>
              <w:rPr>
                <w:rFonts w:ascii="Arial" w:cs="Arial" w:eastAsia="Arial" w:hAnsi="Arial"/>
                <w:sz w:val="11"/>
                <w:szCs w:val="11"/>
                <w:color w:val="auto"/>
              </w:rPr>
              <w:t>Net tax effect</w:t>
            </w:r>
          </w:p>
        </w:tc>
        <w:tc>
          <w:tcPr>
            <w:tcW w:w="60" w:type="dxa"/>
            <w:vAlign w:val="bottom"/>
          </w:tcPr>
          <w:p>
            <w:pPr>
              <w:spacing w:after="0"/>
              <w:rPr>
                <w:sz w:val="9"/>
                <w:szCs w:val="9"/>
                <w:color w:val="auto"/>
              </w:rPr>
            </w:pPr>
          </w:p>
        </w:tc>
        <w:tc>
          <w:tcPr>
            <w:tcW w:w="740" w:type="dxa"/>
            <w:vAlign w:val="bottom"/>
            <w:vMerge w:val="restart"/>
          </w:tcPr>
          <w:p>
            <w:pPr>
              <w:jc w:val="right"/>
              <w:spacing w:after="0"/>
              <w:rPr>
                <w:sz w:val="20"/>
                <w:szCs w:val="20"/>
                <w:color w:val="auto"/>
              </w:rPr>
            </w:pPr>
            <w:r>
              <w:rPr>
                <w:rFonts w:ascii="Arial" w:cs="Arial" w:eastAsia="Arial" w:hAnsi="Arial"/>
                <w:sz w:val="11"/>
                <w:szCs w:val="11"/>
                <w:color w:val="auto"/>
              </w:rPr>
              <w:t>(7,338)</w:t>
            </w:r>
          </w:p>
        </w:tc>
        <w:tc>
          <w:tcPr>
            <w:tcW w:w="80" w:type="dxa"/>
            <w:vAlign w:val="bottom"/>
          </w:tcPr>
          <w:p>
            <w:pPr>
              <w:spacing w:after="0"/>
              <w:rPr>
                <w:sz w:val="9"/>
                <w:szCs w:val="9"/>
                <w:color w:val="auto"/>
              </w:rPr>
            </w:pPr>
          </w:p>
        </w:tc>
        <w:tc>
          <w:tcPr>
            <w:tcW w:w="800" w:type="dxa"/>
            <w:vAlign w:val="bottom"/>
            <w:vMerge w:val="restart"/>
          </w:tcPr>
          <w:p>
            <w:pPr>
              <w:jc w:val="right"/>
              <w:spacing w:after="0"/>
              <w:rPr>
                <w:sz w:val="20"/>
                <w:szCs w:val="20"/>
                <w:color w:val="auto"/>
              </w:rPr>
            </w:pPr>
            <w:r>
              <w:rPr>
                <w:rFonts w:ascii="Arial" w:cs="Arial" w:eastAsia="Arial" w:hAnsi="Arial"/>
                <w:sz w:val="11"/>
                <w:szCs w:val="11"/>
                <w:color w:val="auto"/>
              </w:rPr>
              <w:t>14,057</w:t>
            </w:r>
          </w:p>
        </w:tc>
        <w:tc>
          <w:tcPr>
            <w:tcW w:w="100" w:type="dxa"/>
            <w:vAlign w:val="bottom"/>
          </w:tcPr>
          <w:p>
            <w:pPr>
              <w:spacing w:after="0"/>
              <w:rPr>
                <w:sz w:val="9"/>
                <w:szCs w:val="9"/>
                <w:color w:val="auto"/>
              </w:rPr>
            </w:pPr>
          </w:p>
        </w:tc>
        <w:tc>
          <w:tcPr>
            <w:tcW w:w="6240" w:type="dxa"/>
            <w:vAlign w:val="bottom"/>
            <w:shd w:val="clear" w:color="auto" w:fill="CCEEFF"/>
          </w:tcPr>
          <w:p>
            <w:pPr>
              <w:spacing w:after="0" w:line="110" w:lineRule="exact"/>
              <w:rPr>
                <w:sz w:val="20"/>
                <w:szCs w:val="20"/>
                <w:color w:val="auto"/>
              </w:rPr>
            </w:pPr>
            <w:r>
              <w:rPr>
                <w:rFonts w:ascii="Arial" w:cs="Arial" w:eastAsia="Arial" w:hAnsi="Arial"/>
                <w:sz w:val="11"/>
                <w:szCs w:val="11"/>
                <w:color w:val="auto"/>
              </w:rPr>
              <w:t>non-GAAP net income, excluding derivative market value adjustments.</w:t>
            </w:r>
          </w:p>
        </w:tc>
        <w:tc>
          <w:tcPr>
            <w:tcW w:w="0" w:type="dxa"/>
            <w:vAlign w:val="bottom"/>
          </w:tcPr>
          <w:p>
            <w:pPr>
              <w:spacing w:after="0"/>
              <w:rPr>
                <w:sz w:val="1"/>
                <w:szCs w:val="1"/>
                <w:color w:val="auto"/>
              </w:rPr>
            </w:pPr>
          </w:p>
        </w:tc>
      </w:tr>
      <w:tr>
        <w:trPr>
          <w:trHeight w:val="48"/>
        </w:trPr>
        <w:tc>
          <w:tcPr>
            <w:tcW w:w="3440" w:type="dxa"/>
            <w:vAlign w:val="bottom"/>
            <w:tcBorders>
              <w:bottom w:val="single" w:sz="8" w:color="CCEEFF"/>
            </w:tcBorders>
            <w:vMerge w:val="continue"/>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740" w:type="dxa"/>
            <w:vAlign w:val="bottom"/>
            <w:tcBorders>
              <w:bottom w:val="single" w:sz="8" w:color="auto"/>
            </w:tcBorders>
            <w:vMerge w:val="continue"/>
          </w:tcPr>
          <w:p>
            <w:pPr>
              <w:spacing w:after="0"/>
              <w:rPr>
                <w:sz w:val="4"/>
                <w:szCs w:val="4"/>
                <w:color w:val="auto"/>
              </w:rPr>
            </w:pPr>
          </w:p>
        </w:tc>
        <w:tc>
          <w:tcPr>
            <w:tcW w:w="80" w:type="dxa"/>
            <w:vAlign w:val="bottom"/>
            <w:tcBorders>
              <w:bottom w:val="single" w:sz="8" w:color="CCEEFF"/>
            </w:tcBorders>
          </w:tcPr>
          <w:p>
            <w:pPr>
              <w:spacing w:after="0"/>
              <w:rPr>
                <w:sz w:val="4"/>
                <w:szCs w:val="4"/>
                <w:color w:val="auto"/>
              </w:rPr>
            </w:pPr>
          </w:p>
        </w:tc>
        <w:tc>
          <w:tcPr>
            <w:tcW w:w="800" w:type="dxa"/>
            <w:vAlign w:val="bottom"/>
            <w:tcBorders>
              <w:bottom w:val="single" w:sz="8" w:color="auto"/>
            </w:tcBorders>
            <w:vMerge w:val="continue"/>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6240" w:type="dxa"/>
            <w:vAlign w:val="bottom"/>
            <w:tcBorders>
              <w:bottom w:val="single" w:sz="8" w:color="CCEEFF"/>
            </w:tcBorders>
            <w:shd w:val="clear" w:color="auto" w:fill="CCEEFF"/>
          </w:tcPr>
          <w:p>
            <w:pPr>
              <w:spacing w:after="0"/>
              <w:rPr>
                <w:sz w:val="4"/>
                <w:szCs w:val="4"/>
                <w:color w:val="auto"/>
              </w:rPr>
            </w:pPr>
          </w:p>
        </w:tc>
        <w:tc>
          <w:tcPr>
            <w:tcW w:w="0" w:type="dxa"/>
            <w:vAlign w:val="bottom"/>
          </w:tcPr>
          <w:p>
            <w:pPr>
              <w:spacing w:after="0"/>
              <w:rPr>
                <w:sz w:val="1"/>
                <w:szCs w:val="1"/>
                <w:color w:val="auto"/>
              </w:rPr>
            </w:pPr>
          </w:p>
        </w:tc>
      </w:tr>
      <w:tr>
        <w:trPr>
          <w:trHeight w:val="182"/>
        </w:trPr>
        <w:tc>
          <w:tcPr>
            <w:tcW w:w="344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1"/>
                <w:szCs w:val="11"/>
                <w:color w:val="auto"/>
              </w:rPr>
              <w:t>Net income, excluding derivative market value adjustments</w:t>
            </w:r>
          </w:p>
        </w:tc>
        <w:tc>
          <w:tcPr>
            <w:tcW w:w="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rPr>
              <w:t>43,416</w:t>
            </w:r>
          </w:p>
        </w:tc>
        <w:tc>
          <w:tcPr>
            <w:tcW w:w="80" w:type="dxa"/>
            <w:vAlign w:val="bottom"/>
            <w:tcBorders>
              <w:bottom w:val="single" w:sz="8" w:color="CCEEFF"/>
            </w:tcBorders>
            <w:shd w:val="clear" w:color="auto" w:fill="CCEEFF"/>
          </w:tcPr>
          <w:p>
            <w:pPr>
              <w:spacing w:after="0"/>
              <w:rPr>
                <w:sz w:val="15"/>
                <w:szCs w:val="15"/>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rPr>
              <w:t>43,431</w:t>
            </w:r>
          </w:p>
        </w:tc>
        <w:tc>
          <w:tcPr>
            <w:tcW w:w="100" w:type="dxa"/>
            <w:vAlign w:val="bottom"/>
            <w:tcBorders>
              <w:bottom w:val="single" w:sz="8" w:color="CCEEFF"/>
            </w:tcBorders>
            <w:shd w:val="clear" w:color="auto" w:fill="CCEEFF"/>
          </w:tcPr>
          <w:p>
            <w:pPr>
              <w:spacing w:after="0"/>
              <w:rPr>
                <w:sz w:val="15"/>
                <w:szCs w:val="15"/>
                <w:color w:val="auto"/>
              </w:rPr>
            </w:pPr>
          </w:p>
        </w:tc>
        <w:tc>
          <w:tcPr>
            <w:tcW w:w="6240" w:type="dxa"/>
            <w:vAlign w:val="bottom"/>
            <w:tcBorders>
              <w:bottom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344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24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360"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46</w:t>
      </w:r>
    </w:p>
    <w:p>
      <w:pPr>
        <w:sectPr>
          <w:pgSz w:w="11900" w:h="16838" w:orient="portrait"/>
          <w:cols w:equalWidth="0" w:num="1">
            <w:col w:w="11460"/>
          </w:cols>
          <w:pgMar w:left="220" w:top="743" w:right="219" w:bottom="1440" w:gutter="0" w:footer="0" w:header="0"/>
        </w:sectPr>
      </w:pPr>
    </w:p>
    <w:bookmarkStart w:id="47" w:name="page48"/>
    <w:bookmarkEnd w:id="47"/>
    <w:p>
      <w:pPr>
        <w:spacing w:after="0"/>
        <w:rPr>
          <w:sz w:val="20"/>
          <w:szCs w:val="20"/>
          <w:color w:val="auto"/>
        </w:rPr>
      </w:pPr>
      <w:r>
        <w:rPr>
          <w:rFonts w:ascii="Arial" w:cs="Arial" w:eastAsia="Arial" w:hAnsi="Arial"/>
          <w:sz w:val="14"/>
          <w:szCs w:val="14"/>
          <w:i w:val="1"/>
          <w:iCs w:val="1"/>
          <w:u w:val="single" w:color="auto"/>
          <w:color w:val="auto"/>
        </w:rPr>
        <w:t>Net interest income, net of settlements on derivatives</w:t>
      </w:r>
    </w:p>
    <w:p>
      <w:pPr>
        <w:spacing w:after="0" w:line="141" w:lineRule="exact"/>
        <w:rPr>
          <w:sz w:val="20"/>
          <w:szCs w:val="20"/>
          <w:color w:val="auto"/>
        </w:rPr>
      </w:pPr>
    </w:p>
    <w:p>
      <w:pPr>
        <w:spacing w:after="0"/>
        <w:rPr>
          <w:sz w:val="20"/>
          <w:szCs w:val="20"/>
          <w:color w:val="auto"/>
        </w:rPr>
      </w:pPr>
      <w:r>
        <w:rPr>
          <w:rFonts w:ascii="Arial" w:cs="Arial" w:eastAsia="Arial" w:hAnsi="Arial"/>
          <w:sz w:val="14"/>
          <w:szCs w:val="14"/>
          <w:color w:val="auto"/>
        </w:rPr>
        <w:t>The following table summarizes the components of "net interest income after provision for loan losses" and "derivative settlements, net."</w:t>
      </w:r>
    </w:p>
    <w:p>
      <w:pPr>
        <w:spacing w:after="0" w:line="50"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3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80" w:type="dxa"/>
            <w:vAlign w:val="bottom"/>
            <w:gridSpan w:val="4"/>
          </w:tcPr>
          <w:p>
            <w:pPr>
              <w:ind w:left="20"/>
              <w:spacing w:after="0"/>
              <w:rPr>
                <w:sz w:val="20"/>
                <w:szCs w:val="20"/>
                <w:color w:val="auto"/>
              </w:rPr>
            </w:pPr>
            <w:r>
              <w:rPr>
                <w:rFonts w:ascii="Arial" w:cs="Arial" w:eastAsia="Arial" w:hAnsi="Arial"/>
                <w:sz w:val="12"/>
                <w:szCs w:val="12"/>
                <w:b w:val="1"/>
                <w:bCs w:val="1"/>
                <w:color w:val="auto"/>
              </w:rPr>
              <w:t>Three months ended March 31,</w:t>
            </w:r>
          </w:p>
        </w:tc>
        <w:tc>
          <w:tcPr>
            <w:tcW w:w="5580" w:type="dxa"/>
            <w:vAlign w:val="bottom"/>
          </w:tcPr>
          <w:p>
            <w:pPr>
              <w:ind w:left="2180"/>
              <w:spacing w:after="0"/>
              <w:rPr>
                <w:sz w:val="20"/>
                <w:szCs w:val="20"/>
                <w:color w:val="auto"/>
              </w:rPr>
            </w:pPr>
            <w:r>
              <w:rPr>
                <w:rFonts w:ascii="Arial" w:cs="Arial" w:eastAsia="Arial" w:hAnsi="Arial"/>
                <w:sz w:val="12"/>
                <w:szCs w:val="12"/>
                <w:b w:val="1"/>
                <w:bCs w:val="1"/>
                <w:color w:val="auto"/>
              </w:rPr>
              <w:t>Additional information</w:t>
            </w:r>
          </w:p>
        </w:tc>
        <w:tc>
          <w:tcPr>
            <w:tcW w:w="0" w:type="dxa"/>
            <w:vAlign w:val="bottom"/>
          </w:tcPr>
          <w:p>
            <w:pPr>
              <w:spacing w:after="0"/>
              <w:rPr>
                <w:sz w:val="1"/>
                <w:szCs w:val="1"/>
                <w:color w:val="auto"/>
              </w:rPr>
            </w:pPr>
          </w:p>
        </w:tc>
      </w:tr>
      <w:tr>
        <w:trPr>
          <w:trHeight w:val="163"/>
        </w:trPr>
        <w:tc>
          <w:tcPr>
            <w:tcW w:w="3900" w:type="dxa"/>
            <w:vAlign w:val="bottom"/>
            <w:tcBorders>
              <w:bottom w:val="single" w:sz="8" w:color="CCEEFF"/>
            </w:tcBorders>
          </w:tcPr>
          <w:p>
            <w:pPr>
              <w:spacing w:after="0"/>
              <w:rPr>
                <w:sz w:val="14"/>
                <w:szCs w:val="14"/>
                <w:color w:val="auto"/>
              </w:rPr>
            </w:pPr>
          </w:p>
        </w:tc>
        <w:tc>
          <w:tcPr>
            <w:tcW w:w="100" w:type="dxa"/>
            <w:vAlign w:val="bottom"/>
            <w:tcBorders>
              <w:top w:val="single" w:sz="8" w:color="auto"/>
              <w:bottom w:val="single" w:sz="8" w:color="auto"/>
            </w:tcBorders>
          </w:tcPr>
          <w:p>
            <w:pPr>
              <w:spacing w:after="0"/>
              <w:rPr>
                <w:sz w:val="14"/>
                <w:szCs w:val="14"/>
                <w:color w:val="auto"/>
              </w:rPr>
            </w:pPr>
          </w:p>
        </w:tc>
        <w:tc>
          <w:tcPr>
            <w:tcW w:w="800" w:type="dxa"/>
            <w:vAlign w:val="bottom"/>
            <w:tcBorders>
              <w:top w:val="single" w:sz="8" w:color="auto"/>
              <w:bottom w:val="single" w:sz="8" w:color="auto"/>
            </w:tcBorders>
          </w:tcPr>
          <w:p>
            <w:pPr>
              <w:jc w:val="right"/>
              <w:ind w:right="259"/>
              <w:spacing w:after="0"/>
              <w:rPr>
                <w:sz w:val="20"/>
                <w:szCs w:val="20"/>
                <w:color w:val="auto"/>
              </w:rPr>
            </w:pPr>
            <w:r>
              <w:rPr>
                <w:rFonts w:ascii="Arial" w:cs="Arial" w:eastAsia="Arial" w:hAnsi="Arial"/>
                <w:sz w:val="12"/>
                <w:szCs w:val="12"/>
                <w:b w:val="1"/>
                <w:bCs w:val="1"/>
                <w:color w:val="auto"/>
              </w:rPr>
              <w:t>2019</w:t>
            </w:r>
          </w:p>
        </w:tc>
        <w:tc>
          <w:tcPr>
            <w:tcW w:w="100" w:type="dxa"/>
            <w:vAlign w:val="bottom"/>
            <w:tcBorders>
              <w:top w:val="single" w:sz="8" w:color="auto"/>
              <w:bottom w:val="single" w:sz="8" w:color="CCEEFF"/>
            </w:tcBorders>
          </w:tcPr>
          <w:p>
            <w:pPr>
              <w:spacing w:after="0"/>
              <w:rPr>
                <w:sz w:val="14"/>
                <w:szCs w:val="14"/>
                <w:color w:val="auto"/>
              </w:rPr>
            </w:pPr>
          </w:p>
        </w:tc>
        <w:tc>
          <w:tcPr>
            <w:tcW w:w="880" w:type="dxa"/>
            <w:vAlign w:val="bottom"/>
            <w:tcBorders>
              <w:top w:val="single" w:sz="8" w:color="auto"/>
              <w:bottom w:val="single" w:sz="8" w:color="auto"/>
            </w:tcBorders>
          </w:tcPr>
          <w:p>
            <w:pPr>
              <w:jc w:val="right"/>
              <w:ind w:right="259"/>
              <w:spacing w:after="0"/>
              <w:rPr>
                <w:sz w:val="20"/>
                <w:szCs w:val="20"/>
                <w:color w:val="auto"/>
              </w:rPr>
            </w:pPr>
            <w:r>
              <w:rPr>
                <w:rFonts w:ascii="Arial" w:cs="Arial" w:eastAsia="Arial" w:hAnsi="Arial"/>
                <w:sz w:val="12"/>
                <w:szCs w:val="12"/>
                <w:b w:val="1"/>
                <w:bCs w:val="1"/>
                <w:color w:val="auto"/>
              </w:rPr>
              <w:t>2018</w:t>
            </w:r>
          </w:p>
        </w:tc>
        <w:tc>
          <w:tcPr>
            <w:tcW w:w="100" w:type="dxa"/>
            <w:vAlign w:val="bottom"/>
            <w:tcBorders>
              <w:bottom w:val="single" w:sz="8" w:color="CCEEFF"/>
            </w:tcBorders>
          </w:tcPr>
          <w:p>
            <w:pPr>
              <w:spacing w:after="0"/>
              <w:rPr>
                <w:sz w:val="14"/>
                <w:szCs w:val="14"/>
                <w:color w:val="auto"/>
              </w:rPr>
            </w:pPr>
          </w:p>
        </w:tc>
        <w:tc>
          <w:tcPr>
            <w:tcW w:w="5580" w:type="dxa"/>
            <w:vAlign w:val="bottom"/>
            <w:tcBorders>
              <w:top w:val="single" w:sz="8" w:color="auto"/>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123"/>
        </w:trPr>
        <w:tc>
          <w:tcPr>
            <w:tcW w:w="39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580" w:type="dxa"/>
            <w:vAlign w:val="bottom"/>
            <w:shd w:val="clear" w:color="auto" w:fill="CCEEFF"/>
          </w:tcPr>
          <w:p>
            <w:pPr>
              <w:ind w:left="20"/>
              <w:spacing w:after="0" w:line="124" w:lineRule="exact"/>
              <w:rPr>
                <w:sz w:val="20"/>
                <w:szCs w:val="20"/>
                <w:color w:val="auto"/>
              </w:rPr>
            </w:pPr>
            <w:r>
              <w:rPr>
                <w:rFonts w:ascii="Arial" w:cs="Arial" w:eastAsia="Arial" w:hAnsi="Arial"/>
                <w:sz w:val="12"/>
                <w:szCs w:val="12"/>
                <w:color w:val="auto"/>
                <w:w w:val="95"/>
              </w:rPr>
              <w:t>Increase was due to an increase in the gross yield earned on loans and an increase in the average balance of</w:t>
            </w:r>
          </w:p>
        </w:tc>
        <w:tc>
          <w:tcPr>
            <w:tcW w:w="0" w:type="dxa"/>
            <w:vAlign w:val="bottom"/>
          </w:tcPr>
          <w:p>
            <w:pPr>
              <w:spacing w:after="0"/>
              <w:rPr>
                <w:sz w:val="1"/>
                <w:szCs w:val="1"/>
                <w:color w:val="auto"/>
              </w:rPr>
            </w:pPr>
          </w:p>
        </w:tc>
      </w:tr>
      <w:tr>
        <w:trPr>
          <w:trHeight w:val="162"/>
        </w:trPr>
        <w:tc>
          <w:tcPr>
            <w:tcW w:w="3900" w:type="dxa"/>
            <w:vAlign w:val="bottom"/>
            <w:shd w:val="clear" w:color="auto" w:fill="CCEEFF"/>
          </w:tcPr>
          <w:p>
            <w:pPr>
              <w:ind w:left="20"/>
              <w:spacing w:after="0"/>
              <w:rPr>
                <w:sz w:val="20"/>
                <w:szCs w:val="20"/>
                <w:color w:val="auto"/>
              </w:rPr>
            </w:pPr>
            <w:r>
              <w:rPr>
                <w:rFonts w:ascii="Arial" w:cs="Arial" w:eastAsia="Arial" w:hAnsi="Arial"/>
                <w:sz w:val="12"/>
                <w:szCs w:val="12"/>
                <w:color w:val="auto"/>
              </w:rPr>
              <w:t>Variable interest income, gross</w:t>
            </w:r>
          </w:p>
        </w:tc>
        <w:tc>
          <w:tcPr>
            <w:tcW w:w="100" w:type="dxa"/>
            <w:vAlign w:val="bottom"/>
            <w:shd w:val="clear" w:color="auto" w:fill="CCEEFF"/>
          </w:tcPr>
          <w:p>
            <w:pPr>
              <w:jc w:val="right"/>
              <w:spacing w:after="0"/>
              <w:rPr>
                <w:sz w:val="20"/>
                <w:szCs w:val="20"/>
                <w:color w:val="auto"/>
              </w:rPr>
            </w:pPr>
            <w:r>
              <w:rPr>
                <w:rFonts w:ascii="Arial" w:cs="Arial" w:eastAsia="Arial" w:hAnsi="Arial"/>
                <w:sz w:val="12"/>
                <w:szCs w:val="12"/>
                <w:color w:val="auto"/>
                <w:w w:val="8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2"/>
                <w:szCs w:val="12"/>
                <w:color w:val="auto"/>
              </w:rPr>
              <w:t>277,024</w:t>
            </w:r>
          </w:p>
        </w:tc>
        <w:tc>
          <w:tcPr>
            <w:tcW w:w="100" w:type="dxa"/>
            <w:vAlign w:val="bottom"/>
            <w:shd w:val="clear" w:color="auto" w:fill="CCEEFF"/>
          </w:tcPr>
          <w:p>
            <w:pPr>
              <w:spacing w:after="0"/>
              <w:rPr>
                <w:sz w:val="14"/>
                <w:szCs w:val="14"/>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2"/>
                <w:szCs w:val="12"/>
                <w:color w:val="auto"/>
              </w:rPr>
              <w:t>223,236</w:t>
            </w:r>
          </w:p>
        </w:tc>
        <w:tc>
          <w:tcPr>
            <w:tcW w:w="100" w:type="dxa"/>
            <w:vAlign w:val="bottom"/>
            <w:shd w:val="clear" w:color="auto" w:fill="CCEEFF"/>
          </w:tcPr>
          <w:p>
            <w:pPr>
              <w:spacing w:after="0"/>
              <w:rPr>
                <w:sz w:val="14"/>
                <w:szCs w:val="14"/>
                <w:color w:val="auto"/>
              </w:rPr>
            </w:pPr>
          </w:p>
        </w:tc>
        <w:tc>
          <w:tcPr>
            <w:tcW w:w="5580" w:type="dxa"/>
            <w:vAlign w:val="bottom"/>
            <w:shd w:val="clear" w:color="auto" w:fill="CCEEFF"/>
          </w:tcPr>
          <w:p>
            <w:pPr>
              <w:ind w:left="20"/>
              <w:spacing w:after="0"/>
              <w:rPr>
                <w:sz w:val="20"/>
                <w:szCs w:val="20"/>
                <w:color w:val="auto"/>
              </w:rPr>
            </w:pPr>
            <w:r>
              <w:rPr>
                <w:rFonts w:ascii="Arial" w:cs="Arial" w:eastAsia="Arial" w:hAnsi="Arial"/>
                <w:sz w:val="12"/>
                <w:szCs w:val="12"/>
                <w:color w:val="auto"/>
              </w:rPr>
              <w:t>loans.</w:t>
            </w:r>
          </w:p>
        </w:tc>
        <w:tc>
          <w:tcPr>
            <w:tcW w:w="0" w:type="dxa"/>
            <w:vAlign w:val="bottom"/>
          </w:tcPr>
          <w:p>
            <w:pPr>
              <w:spacing w:after="0"/>
              <w:rPr>
                <w:sz w:val="1"/>
                <w:szCs w:val="1"/>
                <w:color w:val="auto"/>
              </w:rPr>
            </w:pPr>
          </w:p>
        </w:tc>
      </w:tr>
      <w:tr>
        <w:trPr>
          <w:trHeight w:val="169"/>
        </w:trPr>
        <w:tc>
          <w:tcPr>
            <w:tcW w:w="3900" w:type="dxa"/>
            <w:vAlign w:val="bottom"/>
          </w:tcPr>
          <w:p>
            <w:pPr>
              <w:ind w:left="20"/>
              <w:spacing w:after="0"/>
              <w:rPr>
                <w:sz w:val="20"/>
                <w:szCs w:val="20"/>
                <w:color w:val="auto"/>
              </w:rPr>
            </w:pPr>
            <w:r>
              <w:rPr>
                <w:rFonts w:ascii="Arial" w:cs="Arial" w:eastAsia="Arial" w:hAnsi="Arial"/>
                <w:sz w:val="12"/>
                <w:szCs w:val="12"/>
                <w:color w:val="auto"/>
              </w:rPr>
              <w:t>Consolidation rebate fees</w:t>
            </w:r>
          </w:p>
        </w:tc>
        <w:tc>
          <w:tcPr>
            <w:tcW w:w="10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2"/>
                <w:szCs w:val="12"/>
                <w:color w:val="auto"/>
              </w:rPr>
              <w:t>(46,491)</w:t>
            </w:r>
          </w:p>
        </w:tc>
        <w:tc>
          <w:tcPr>
            <w:tcW w:w="100" w:type="dxa"/>
            <w:vAlign w:val="bottom"/>
          </w:tcPr>
          <w:p>
            <w:pPr>
              <w:spacing w:after="0"/>
              <w:rPr>
                <w:sz w:val="14"/>
                <w:szCs w:val="14"/>
                <w:color w:val="auto"/>
              </w:rPr>
            </w:pPr>
          </w:p>
        </w:tc>
        <w:tc>
          <w:tcPr>
            <w:tcW w:w="880" w:type="dxa"/>
            <w:vAlign w:val="bottom"/>
          </w:tcPr>
          <w:p>
            <w:pPr>
              <w:jc w:val="right"/>
              <w:spacing w:after="0"/>
              <w:rPr>
                <w:sz w:val="20"/>
                <w:szCs w:val="20"/>
                <w:color w:val="auto"/>
              </w:rPr>
            </w:pPr>
            <w:r>
              <w:rPr>
                <w:rFonts w:ascii="Arial" w:cs="Arial" w:eastAsia="Arial" w:hAnsi="Arial"/>
                <w:sz w:val="12"/>
                <w:szCs w:val="12"/>
                <w:color w:val="auto"/>
              </w:rPr>
              <w:t>(46,698)</w:t>
            </w:r>
          </w:p>
        </w:tc>
        <w:tc>
          <w:tcPr>
            <w:tcW w:w="100" w:type="dxa"/>
            <w:vAlign w:val="bottom"/>
          </w:tcPr>
          <w:p>
            <w:pPr>
              <w:spacing w:after="0"/>
              <w:rPr>
                <w:sz w:val="14"/>
                <w:szCs w:val="14"/>
                <w:color w:val="auto"/>
              </w:rPr>
            </w:pPr>
          </w:p>
        </w:tc>
        <w:tc>
          <w:tcPr>
            <w:tcW w:w="5580" w:type="dxa"/>
            <w:vAlign w:val="bottom"/>
          </w:tcPr>
          <w:p>
            <w:pPr>
              <w:ind w:left="20"/>
              <w:spacing w:after="0"/>
              <w:rPr>
                <w:sz w:val="20"/>
                <w:szCs w:val="20"/>
                <w:color w:val="auto"/>
              </w:rPr>
            </w:pPr>
            <w:r>
              <w:rPr>
                <w:rFonts w:ascii="Arial" w:cs="Arial" w:eastAsia="Arial" w:hAnsi="Arial"/>
                <w:sz w:val="12"/>
                <w:szCs w:val="12"/>
                <w:color w:val="auto"/>
              </w:rPr>
              <w:t>Decrease was due to a decrease in the average consolidation loan balance.</w:t>
            </w:r>
          </w:p>
        </w:tc>
        <w:tc>
          <w:tcPr>
            <w:tcW w:w="0" w:type="dxa"/>
            <w:vAlign w:val="bottom"/>
          </w:tcPr>
          <w:p>
            <w:pPr>
              <w:spacing w:after="0"/>
              <w:rPr>
                <w:sz w:val="1"/>
                <w:szCs w:val="1"/>
                <w:color w:val="auto"/>
              </w:rPr>
            </w:pPr>
          </w:p>
        </w:tc>
      </w:tr>
      <w:tr>
        <w:trPr>
          <w:trHeight w:val="143"/>
        </w:trPr>
        <w:tc>
          <w:tcPr>
            <w:tcW w:w="39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580" w:type="dxa"/>
            <w:vAlign w:val="bottom"/>
            <w:shd w:val="clear" w:color="auto" w:fill="CCEEFF"/>
          </w:tcPr>
          <w:p>
            <w:pPr>
              <w:ind w:left="20"/>
              <w:spacing w:after="0"/>
              <w:rPr>
                <w:sz w:val="20"/>
                <w:szCs w:val="20"/>
                <w:color w:val="auto"/>
              </w:rPr>
            </w:pPr>
            <w:r>
              <w:rPr>
                <w:rFonts w:ascii="Arial" w:cs="Arial" w:eastAsia="Arial" w:hAnsi="Arial"/>
                <w:sz w:val="12"/>
                <w:szCs w:val="12"/>
                <w:color w:val="auto"/>
                <w:w w:val="93"/>
              </w:rPr>
              <w:t>Net discount accretion is due to the Company's purchases of loans at a net discount over the last several years.</w:t>
            </w:r>
          </w:p>
        </w:tc>
        <w:tc>
          <w:tcPr>
            <w:tcW w:w="0" w:type="dxa"/>
            <w:vAlign w:val="bottom"/>
          </w:tcPr>
          <w:p>
            <w:pPr>
              <w:spacing w:after="0"/>
              <w:rPr>
                <w:sz w:val="1"/>
                <w:szCs w:val="1"/>
                <w:color w:val="auto"/>
              </w:rPr>
            </w:pPr>
          </w:p>
        </w:tc>
      </w:tr>
      <w:tr>
        <w:trPr>
          <w:trHeight w:val="130"/>
        </w:trPr>
        <w:tc>
          <w:tcPr>
            <w:tcW w:w="3900" w:type="dxa"/>
            <w:vAlign w:val="bottom"/>
            <w:shd w:val="clear" w:color="auto" w:fill="CCEEFF"/>
          </w:tcPr>
          <w:p>
            <w:pPr>
              <w:ind w:left="20"/>
              <w:spacing w:after="0" w:line="130" w:lineRule="exact"/>
              <w:rPr>
                <w:sz w:val="20"/>
                <w:szCs w:val="20"/>
                <w:color w:val="auto"/>
              </w:rPr>
            </w:pPr>
            <w:r>
              <w:rPr>
                <w:rFonts w:ascii="Arial" w:cs="Arial" w:eastAsia="Arial" w:hAnsi="Arial"/>
                <w:sz w:val="12"/>
                <w:szCs w:val="12"/>
                <w:color w:val="auto"/>
              </w:rPr>
              <w:t>Discount accretion, net of premium and deferred origination costs</w:t>
            </w:r>
          </w:p>
        </w:tc>
        <w:tc>
          <w:tcPr>
            <w:tcW w:w="100" w:type="dxa"/>
            <w:vAlign w:val="bottom"/>
            <w:shd w:val="clear" w:color="auto" w:fill="CCEEFF"/>
          </w:tcPr>
          <w:p>
            <w:pPr>
              <w:spacing w:after="0"/>
              <w:rPr>
                <w:sz w:val="11"/>
                <w:szCs w:val="11"/>
                <w:color w:val="auto"/>
              </w:rPr>
            </w:pPr>
          </w:p>
        </w:tc>
        <w:tc>
          <w:tcPr>
            <w:tcW w:w="800" w:type="dxa"/>
            <w:vAlign w:val="bottom"/>
            <w:vMerge w:val="restart"/>
            <w:shd w:val="clear" w:color="auto" w:fill="CCEEFF"/>
          </w:tcPr>
          <w:p>
            <w:pPr>
              <w:jc w:val="right"/>
              <w:spacing w:after="0"/>
              <w:rPr>
                <w:sz w:val="20"/>
                <w:szCs w:val="20"/>
                <w:color w:val="auto"/>
              </w:rPr>
            </w:pPr>
            <w:r>
              <w:rPr>
                <w:rFonts w:ascii="Arial" w:cs="Arial" w:eastAsia="Arial" w:hAnsi="Arial"/>
                <w:sz w:val="12"/>
                <w:szCs w:val="12"/>
                <w:color w:val="auto"/>
              </w:rPr>
              <w:t>1,375</w:t>
            </w:r>
          </w:p>
        </w:tc>
        <w:tc>
          <w:tcPr>
            <w:tcW w:w="100" w:type="dxa"/>
            <w:vAlign w:val="bottom"/>
            <w:shd w:val="clear" w:color="auto" w:fill="CCEEFF"/>
          </w:tcPr>
          <w:p>
            <w:pPr>
              <w:spacing w:after="0"/>
              <w:rPr>
                <w:sz w:val="11"/>
                <w:szCs w:val="11"/>
                <w:color w:val="auto"/>
              </w:rPr>
            </w:pPr>
          </w:p>
        </w:tc>
        <w:tc>
          <w:tcPr>
            <w:tcW w:w="880" w:type="dxa"/>
            <w:vAlign w:val="bottom"/>
            <w:vMerge w:val="restart"/>
            <w:shd w:val="clear" w:color="auto" w:fill="CCEEFF"/>
          </w:tcPr>
          <w:p>
            <w:pPr>
              <w:jc w:val="right"/>
              <w:spacing w:after="0"/>
              <w:rPr>
                <w:sz w:val="20"/>
                <w:szCs w:val="20"/>
                <w:color w:val="auto"/>
              </w:rPr>
            </w:pPr>
            <w:r>
              <w:rPr>
                <w:rFonts w:ascii="Arial" w:cs="Arial" w:eastAsia="Arial" w:hAnsi="Arial"/>
                <w:sz w:val="12"/>
                <w:szCs w:val="12"/>
                <w:color w:val="auto"/>
              </w:rPr>
              <w:t>3,938</w:t>
            </w:r>
          </w:p>
        </w:tc>
        <w:tc>
          <w:tcPr>
            <w:tcW w:w="100" w:type="dxa"/>
            <w:vAlign w:val="bottom"/>
            <w:shd w:val="clear" w:color="auto" w:fill="CCEEFF"/>
          </w:tcPr>
          <w:p>
            <w:pPr>
              <w:spacing w:after="0"/>
              <w:rPr>
                <w:sz w:val="11"/>
                <w:szCs w:val="11"/>
                <w:color w:val="auto"/>
              </w:rPr>
            </w:pPr>
          </w:p>
        </w:tc>
        <w:tc>
          <w:tcPr>
            <w:tcW w:w="5580" w:type="dxa"/>
            <w:vAlign w:val="bottom"/>
            <w:shd w:val="clear" w:color="auto" w:fill="CCEEFF"/>
          </w:tcPr>
          <w:p>
            <w:pPr>
              <w:ind w:left="20"/>
              <w:spacing w:after="0" w:line="130" w:lineRule="exact"/>
              <w:rPr>
                <w:sz w:val="20"/>
                <w:szCs w:val="20"/>
                <w:color w:val="auto"/>
              </w:rPr>
            </w:pPr>
            <w:r>
              <w:rPr>
                <w:rFonts w:ascii="Arial" w:cs="Arial" w:eastAsia="Arial" w:hAnsi="Arial"/>
                <w:sz w:val="12"/>
                <w:szCs w:val="12"/>
                <w:color w:val="auto"/>
                <w:w w:val="97"/>
              </w:rPr>
              <w:t>However, due to more recent purchases in 2018 and 2019 at a net premium, the net discount accretion has</w:t>
            </w:r>
          </w:p>
        </w:tc>
        <w:tc>
          <w:tcPr>
            <w:tcW w:w="0" w:type="dxa"/>
            <w:vAlign w:val="bottom"/>
          </w:tcPr>
          <w:p>
            <w:pPr>
              <w:spacing w:after="0"/>
              <w:rPr>
                <w:sz w:val="1"/>
                <w:szCs w:val="1"/>
                <w:color w:val="auto"/>
              </w:rPr>
            </w:pPr>
          </w:p>
        </w:tc>
      </w:tr>
      <w:tr>
        <w:trPr>
          <w:trHeight w:val="158"/>
        </w:trPr>
        <w:tc>
          <w:tcPr>
            <w:tcW w:w="3900" w:type="dxa"/>
            <w:vAlign w:val="bottom"/>
            <w:shd w:val="clear" w:color="auto" w:fill="CCEEFF"/>
          </w:tcPr>
          <w:p>
            <w:pPr>
              <w:ind w:left="220"/>
              <w:spacing w:after="0"/>
              <w:rPr>
                <w:sz w:val="20"/>
                <w:szCs w:val="20"/>
                <w:color w:val="auto"/>
              </w:rPr>
            </w:pPr>
            <w:r>
              <w:rPr>
                <w:rFonts w:ascii="Arial" w:cs="Arial" w:eastAsia="Arial" w:hAnsi="Arial"/>
                <w:sz w:val="12"/>
                <w:szCs w:val="12"/>
                <w:color w:val="auto"/>
              </w:rPr>
              <w:t>amortization</w:t>
            </w:r>
          </w:p>
        </w:tc>
        <w:tc>
          <w:tcPr>
            <w:tcW w:w="100" w:type="dxa"/>
            <w:vAlign w:val="bottom"/>
            <w:tcBorders>
              <w:bottom w:val="single" w:sz="8" w:color="auto"/>
            </w:tcBorders>
            <w:shd w:val="clear" w:color="auto" w:fill="CCEEFF"/>
          </w:tcPr>
          <w:p>
            <w:pPr>
              <w:spacing w:after="0"/>
              <w:rPr>
                <w:sz w:val="13"/>
                <w:szCs w:val="13"/>
                <w:color w:val="auto"/>
              </w:rPr>
            </w:pPr>
          </w:p>
        </w:tc>
        <w:tc>
          <w:tcPr>
            <w:tcW w:w="800" w:type="dxa"/>
            <w:vAlign w:val="bottom"/>
            <w:tcBorders>
              <w:bottom w:val="single" w:sz="8" w:color="auto"/>
            </w:tcBorders>
            <w:vMerge w:val="continue"/>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880" w:type="dxa"/>
            <w:vAlign w:val="bottom"/>
            <w:tcBorders>
              <w:bottom w:val="single" w:sz="8" w:color="auto"/>
            </w:tcBorders>
            <w:vMerge w:val="continue"/>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580" w:type="dxa"/>
            <w:vAlign w:val="bottom"/>
            <w:shd w:val="clear" w:color="auto" w:fill="CCEEFF"/>
          </w:tcPr>
          <w:p>
            <w:pPr>
              <w:ind w:left="20"/>
              <w:spacing w:after="0"/>
              <w:rPr>
                <w:sz w:val="20"/>
                <w:szCs w:val="20"/>
                <w:color w:val="auto"/>
              </w:rPr>
            </w:pPr>
            <w:r>
              <w:rPr>
                <w:rFonts w:ascii="Arial" w:cs="Arial" w:eastAsia="Arial" w:hAnsi="Arial"/>
                <w:sz w:val="12"/>
                <w:szCs w:val="12"/>
                <w:color w:val="auto"/>
              </w:rPr>
              <w:t>decreased in 2019 as compared to 2018.</w:t>
            </w:r>
          </w:p>
        </w:tc>
        <w:tc>
          <w:tcPr>
            <w:tcW w:w="0" w:type="dxa"/>
            <w:vAlign w:val="bottom"/>
          </w:tcPr>
          <w:p>
            <w:pPr>
              <w:spacing w:after="0"/>
              <w:rPr>
                <w:sz w:val="1"/>
                <w:szCs w:val="1"/>
                <w:color w:val="auto"/>
              </w:rPr>
            </w:pPr>
          </w:p>
        </w:tc>
      </w:tr>
      <w:tr>
        <w:trPr>
          <w:trHeight w:val="163"/>
        </w:trPr>
        <w:tc>
          <w:tcPr>
            <w:tcW w:w="3900" w:type="dxa"/>
            <w:vAlign w:val="bottom"/>
          </w:tcPr>
          <w:p>
            <w:pPr>
              <w:ind w:left="220"/>
              <w:spacing w:after="0"/>
              <w:rPr>
                <w:sz w:val="20"/>
                <w:szCs w:val="20"/>
                <w:color w:val="auto"/>
              </w:rPr>
            </w:pPr>
            <w:r>
              <w:rPr>
                <w:rFonts w:ascii="Arial" w:cs="Arial" w:eastAsia="Arial" w:hAnsi="Arial"/>
                <w:sz w:val="12"/>
                <w:szCs w:val="12"/>
                <w:color w:val="auto"/>
              </w:rPr>
              <w:t>Variable interest income, net</w:t>
            </w:r>
          </w:p>
        </w:tc>
        <w:tc>
          <w:tcPr>
            <w:tcW w:w="10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2"/>
                <w:szCs w:val="12"/>
                <w:color w:val="auto"/>
              </w:rPr>
              <w:t>231,908</w:t>
            </w:r>
          </w:p>
        </w:tc>
        <w:tc>
          <w:tcPr>
            <w:tcW w:w="100" w:type="dxa"/>
            <w:vAlign w:val="bottom"/>
          </w:tcPr>
          <w:p>
            <w:pPr>
              <w:spacing w:after="0"/>
              <w:rPr>
                <w:sz w:val="14"/>
                <w:szCs w:val="14"/>
                <w:color w:val="auto"/>
              </w:rPr>
            </w:pPr>
          </w:p>
        </w:tc>
        <w:tc>
          <w:tcPr>
            <w:tcW w:w="880" w:type="dxa"/>
            <w:vAlign w:val="bottom"/>
          </w:tcPr>
          <w:p>
            <w:pPr>
              <w:jc w:val="right"/>
              <w:spacing w:after="0"/>
              <w:rPr>
                <w:sz w:val="20"/>
                <w:szCs w:val="20"/>
                <w:color w:val="auto"/>
              </w:rPr>
            </w:pPr>
            <w:r>
              <w:rPr>
                <w:rFonts w:ascii="Arial" w:cs="Arial" w:eastAsia="Arial" w:hAnsi="Arial"/>
                <w:sz w:val="12"/>
                <w:szCs w:val="12"/>
                <w:color w:val="auto"/>
              </w:rPr>
              <w:t>180,476</w:t>
            </w:r>
          </w:p>
        </w:tc>
        <w:tc>
          <w:tcPr>
            <w:tcW w:w="100" w:type="dxa"/>
            <w:vAlign w:val="bottom"/>
          </w:tcPr>
          <w:p>
            <w:pPr>
              <w:spacing w:after="0"/>
              <w:rPr>
                <w:sz w:val="14"/>
                <w:szCs w:val="14"/>
                <w:color w:val="auto"/>
              </w:rPr>
            </w:pPr>
          </w:p>
        </w:tc>
        <w:tc>
          <w:tcPr>
            <w:tcW w:w="55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3900" w:type="dxa"/>
            <w:vAlign w:val="bottom"/>
            <w:shd w:val="clear" w:color="auto" w:fill="CCEEFF"/>
          </w:tcPr>
          <w:p>
            <w:pPr>
              <w:ind w:left="20"/>
              <w:spacing w:after="0"/>
              <w:rPr>
                <w:sz w:val="20"/>
                <w:szCs w:val="20"/>
                <w:color w:val="auto"/>
              </w:rPr>
            </w:pPr>
            <w:r>
              <w:rPr>
                <w:rFonts w:ascii="Arial" w:cs="Arial" w:eastAsia="Arial" w:hAnsi="Arial"/>
                <w:sz w:val="12"/>
                <w:szCs w:val="12"/>
                <w:color w:val="auto"/>
              </w:rPr>
              <w:t>Interest on bonds and notes payable</w:t>
            </w:r>
          </w:p>
        </w:tc>
        <w:tc>
          <w:tcPr>
            <w:tcW w:w="100" w:type="dxa"/>
            <w:vAlign w:val="bottom"/>
            <w:shd w:val="clear" w:color="auto" w:fill="CCEEFF"/>
          </w:tcPr>
          <w:p>
            <w:pPr>
              <w:spacing w:after="0"/>
              <w:rPr>
                <w:sz w:val="15"/>
                <w:szCs w:val="15"/>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2"/>
                <w:szCs w:val="12"/>
                <w:color w:val="auto"/>
              </w:rPr>
              <w:t>(187,957)</w:t>
            </w:r>
          </w:p>
        </w:tc>
        <w:tc>
          <w:tcPr>
            <w:tcW w:w="100" w:type="dxa"/>
            <w:vAlign w:val="bottom"/>
            <w:shd w:val="clear" w:color="auto" w:fill="CCEEFF"/>
          </w:tcPr>
          <w:p>
            <w:pPr>
              <w:spacing w:after="0"/>
              <w:rPr>
                <w:sz w:val="15"/>
                <w:szCs w:val="15"/>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2"/>
                <w:szCs w:val="12"/>
                <w:color w:val="auto"/>
              </w:rPr>
              <w:t>(133,592)</w:t>
            </w:r>
          </w:p>
        </w:tc>
        <w:tc>
          <w:tcPr>
            <w:tcW w:w="100" w:type="dxa"/>
            <w:vAlign w:val="bottom"/>
            <w:shd w:val="clear" w:color="auto" w:fill="CCEEFF"/>
          </w:tcPr>
          <w:p>
            <w:pPr>
              <w:spacing w:after="0"/>
              <w:rPr>
                <w:sz w:val="15"/>
                <w:szCs w:val="15"/>
                <w:color w:val="auto"/>
              </w:rPr>
            </w:pPr>
          </w:p>
        </w:tc>
        <w:tc>
          <w:tcPr>
            <w:tcW w:w="5580" w:type="dxa"/>
            <w:vAlign w:val="bottom"/>
            <w:shd w:val="clear" w:color="auto" w:fill="CCEEFF"/>
          </w:tcPr>
          <w:p>
            <w:pPr>
              <w:ind w:left="20"/>
              <w:spacing w:after="0"/>
              <w:rPr>
                <w:sz w:val="20"/>
                <w:szCs w:val="20"/>
                <w:color w:val="auto"/>
              </w:rPr>
            </w:pPr>
            <w:r>
              <w:rPr>
                <w:rFonts w:ascii="Arial" w:cs="Arial" w:eastAsia="Arial" w:hAnsi="Arial"/>
                <w:sz w:val="12"/>
                <w:szCs w:val="12"/>
                <w:color w:val="auto"/>
                <w:w w:val="95"/>
              </w:rPr>
              <w:t>Increase was due to an increase in cost of funds and an increase in the average balance of debt outstanding.</w:t>
            </w:r>
          </w:p>
        </w:tc>
        <w:tc>
          <w:tcPr>
            <w:tcW w:w="0" w:type="dxa"/>
            <w:vAlign w:val="bottom"/>
          </w:tcPr>
          <w:p>
            <w:pPr>
              <w:spacing w:after="0"/>
              <w:rPr>
                <w:sz w:val="1"/>
                <w:szCs w:val="1"/>
                <w:color w:val="auto"/>
              </w:rPr>
            </w:pPr>
          </w:p>
        </w:tc>
      </w:tr>
      <w:tr>
        <w:trPr>
          <w:trHeight w:val="169"/>
        </w:trPr>
        <w:tc>
          <w:tcPr>
            <w:tcW w:w="3900" w:type="dxa"/>
            <w:vAlign w:val="bottom"/>
            <w:tcBorders>
              <w:bottom w:val="single" w:sz="8" w:color="CCEEFF"/>
            </w:tcBorders>
          </w:tcPr>
          <w:p>
            <w:pPr>
              <w:ind w:left="20"/>
              <w:spacing w:after="0"/>
              <w:rPr>
                <w:sz w:val="20"/>
                <w:szCs w:val="20"/>
                <w:color w:val="auto"/>
              </w:rPr>
            </w:pPr>
            <w:r>
              <w:rPr>
                <w:rFonts w:ascii="Arial" w:cs="Arial" w:eastAsia="Arial" w:hAnsi="Arial"/>
                <w:sz w:val="12"/>
                <w:szCs w:val="12"/>
                <w:color w:val="auto"/>
              </w:rPr>
              <w:t>Derivative settlements, net (a)</w:t>
            </w:r>
          </w:p>
        </w:tc>
        <w:tc>
          <w:tcPr>
            <w:tcW w:w="1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2,334</w:t>
            </w:r>
          </w:p>
        </w:tc>
        <w:tc>
          <w:tcPr>
            <w:tcW w:w="100" w:type="dxa"/>
            <w:vAlign w:val="bottom"/>
            <w:tcBorders>
              <w:bottom w:val="single" w:sz="8" w:color="CCEEFF"/>
            </w:tcBorders>
          </w:tcPr>
          <w:p>
            <w:pPr>
              <w:spacing w:after="0"/>
              <w:rPr>
                <w:sz w:val="14"/>
                <w:szCs w:val="14"/>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(1,664)</w:t>
            </w:r>
          </w:p>
        </w:tc>
        <w:tc>
          <w:tcPr>
            <w:tcW w:w="100" w:type="dxa"/>
            <w:vAlign w:val="bottom"/>
            <w:tcBorders>
              <w:bottom w:val="single" w:sz="8" w:color="CCEEFF"/>
            </w:tcBorders>
          </w:tcPr>
          <w:p>
            <w:pPr>
              <w:spacing w:after="0"/>
              <w:rPr>
                <w:sz w:val="14"/>
                <w:szCs w:val="14"/>
                <w:color w:val="auto"/>
              </w:rPr>
            </w:pPr>
          </w:p>
        </w:tc>
        <w:tc>
          <w:tcPr>
            <w:tcW w:w="5580" w:type="dxa"/>
            <w:vAlign w:val="bottom"/>
            <w:tcBorders>
              <w:bottom w:val="single" w:sz="8" w:color="CCEEFF"/>
            </w:tcBorders>
          </w:tcPr>
          <w:p>
            <w:pPr>
              <w:ind w:left="20"/>
              <w:spacing w:after="0"/>
              <w:rPr>
                <w:sz w:val="20"/>
                <w:szCs w:val="20"/>
                <w:color w:val="auto"/>
              </w:rPr>
            </w:pPr>
            <w:r>
              <w:rPr>
                <w:rFonts w:ascii="Arial" w:cs="Arial" w:eastAsia="Arial" w:hAnsi="Arial"/>
                <w:sz w:val="12"/>
                <w:szCs w:val="12"/>
                <w:color w:val="auto"/>
                <w:w w:val="96"/>
              </w:rPr>
              <w:t>Derivative settlements include the net settlements received (paid) related to the Company’s 1:3 basis swaps.</w:t>
            </w:r>
          </w:p>
        </w:tc>
        <w:tc>
          <w:tcPr>
            <w:tcW w:w="0" w:type="dxa"/>
            <w:vAlign w:val="bottom"/>
          </w:tcPr>
          <w:p>
            <w:pPr>
              <w:spacing w:after="0"/>
              <w:rPr>
                <w:sz w:val="1"/>
                <w:szCs w:val="1"/>
                <w:color w:val="auto"/>
              </w:rPr>
            </w:pPr>
          </w:p>
        </w:tc>
      </w:tr>
      <w:tr>
        <w:trPr>
          <w:trHeight w:val="163"/>
        </w:trPr>
        <w:tc>
          <w:tcPr>
            <w:tcW w:w="3900" w:type="dxa"/>
            <w:vAlign w:val="bottom"/>
            <w:shd w:val="clear" w:color="auto" w:fill="CCEEFF"/>
          </w:tcPr>
          <w:p>
            <w:pPr>
              <w:ind w:left="220"/>
              <w:spacing w:after="0"/>
              <w:rPr>
                <w:sz w:val="20"/>
                <w:szCs w:val="20"/>
                <w:color w:val="auto"/>
              </w:rPr>
            </w:pPr>
            <w:r>
              <w:rPr>
                <w:rFonts w:ascii="Arial" w:cs="Arial" w:eastAsia="Arial" w:hAnsi="Arial"/>
                <w:sz w:val="12"/>
                <w:szCs w:val="12"/>
                <w:color w:val="auto"/>
              </w:rPr>
              <w:t>Variable loan interest margin, net of settlements on derivatives (a)</w:t>
            </w:r>
          </w:p>
        </w:tc>
        <w:tc>
          <w:tcPr>
            <w:tcW w:w="100" w:type="dxa"/>
            <w:vAlign w:val="bottom"/>
            <w:tcBorders>
              <w:bottom w:val="single" w:sz="8" w:color="auto"/>
            </w:tcBorders>
            <w:shd w:val="clear" w:color="auto" w:fill="CCEEFF"/>
          </w:tcPr>
          <w:p>
            <w:pPr>
              <w:spacing w:after="0"/>
              <w:rPr>
                <w:sz w:val="14"/>
                <w:szCs w:val="14"/>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2"/>
                <w:szCs w:val="12"/>
                <w:color w:val="auto"/>
              </w:rPr>
              <w:t>46,285</w:t>
            </w:r>
          </w:p>
        </w:tc>
        <w:tc>
          <w:tcPr>
            <w:tcW w:w="100" w:type="dxa"/>
            <w:vAlign w:val="bottom"/>
            <w:shd w:val="clear" w:color="auto" w:fill="CCEEFF"/>
          </w:tcPr>
          <w:p>
            <w:pPr>
              <w:spacing w:after="0"/>
              <w:rPr>
                <w:sz w:val="14"/>
                <w:szCs w:val="14"/>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2"/>
                <w:szCs w:val="12"/>
                <w:color w:val="auto"/>
              </w:rPr>
              <w:t>45,220</w:t>
            </w:r>
          </w:p>
        </w:tc>
        <w:tc>
          <w:tcPr>
            <w:tcW w:w="100" w:type="dxa"/>
            <w:vAlign w:val="bottom"/>
            <w:shd w:val="clear" w:color="auto" w:fill="CCEEFF"/>
          </w:tcPr>
          <w:p>
            <w:pPr>
              <w:spacing w:after="0"/>
              <w:rPr>
                <w:sz w:val="14"/>
                <w:szCs w:val="14"/>
                <w:color w:val="auto"/>
              </w:rPr>
            </w:pPr>
          </w:p>
        </w:tc>
        <w:tc>
          <w:tcPr>
            <w:tcW w:w="55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900" w:type="dxa"/>
            <w:vAlign w:val="bottom"/>
          </w:tcPr>
          <w:p>
            <w:pPr>
              <w:ind w:left="20"/>
              <w:spacing w:after="0"/>
              <w:rPr>
                <w:sz w:val="20"/>
                <w:szCs w:val="20"/>
                <w:color w:val="auto"/>
              </w:rPr>
            </w:pPr>
            <w:r>
              <w:rPr>
                <w:rFonts w:ascii="Arial" w:cs="Arial" w:eastAsia="Arial" w:hAnsi="Arial"/>
                <w:sz w:val="12"/>
                <w:szCs w:val="12"/>
                <w:color w:val="auto"/>
              </w:rPr>
              <w:t>Fixed rate floor income, gross</w:t>
            </w:r>
          </w:p>
        </w:tc>
        <w:tc>
          <w:tcPr>
            <w:tcW w:w="10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2"/>
                <w:szCs w:val="12"/>
                <w:color w:val="auto"/>
              </w:rPr>
              <w:t>10,425</w:t>
            </w:r>
          </w:p>
        </w:tc>
        <w:tc>
          <w:tcPr>
            <w:tcW w:w="100" w:type="dxa"/>
            <w:vAlign w:val="bottom"/>
          </w:tcPr>
          <w:p>
            <w:pPr>
              <w:spacing w:after="0"/>
              <w:rPr>
                <w:sz w:val="14"/>
                <w:szCs w:val="14"/>
                <w:color w:val="auto"/>
              </w:rPr>
            </w:pPr>
          </w:p>
        </w:tc>
        <w:tc>
          <w:tcPr>
            <w:tcW w:w="880" w:type="dxa"/>
            <w:vAlign w:val="bottom"/>
          </w:tcPr>
          <w:p>
            <w:pPr>
              <w:jc w:val="right"/>
              <w:spacing w:after="0"/>
              <w:rPr>
                <w:sz w:val="20"/>
                <w:szCs w:val="20"/>
                <w:color w:val="auto"/>
              </w:rPr>
            </w:pPr>
            <w:r>
              <w:rPr>
                <w:rFonts w:ascii="Arial" w:cs="Arial" w:eastAsia="Arial" w:hAnsi="Arial"/>
                <w:sz w:val="12"/>
                <w:szCs w:val="12"/>
                <w:color w:val="auto"/>
              </w:rPr>
              <w:t>17,247</w:t>
            </w:r>
          </w:p>
        </w:tc>
        <w:tc>
          <w:tcPr>
            <w:tcW w:w="100" w:type="dxa"/>
            <w:vAlign w:val="bottom"/>
          </w:tcPr>
          <w:p>
            <w:pPr>
              <w:spacing w:after="0"/>
              <w:rPr>
                <w:sz w:val="14"/>
                <w:szCs w:val="14"/>
                <w:color w:val="auto"/>
              </w:rPr>
            </w:pPr>
          </w:p>
        </w:tc>
        <w:tc>
          <w:tcPr>
            <w:tcW w:w="5580" w:type="dxa"/>
            <w:vAlign w:val="bottom"/>
          </w:tcPr>
          <w:p>
            <w:pPr>
              <w:ind w:left="20"/>
              <w:spacing w:after="0"/>
              <w:rPr>
                <w:sz w:val="20"/>
                <w:szCs w:val="20"/>
                <w:color w:val="auto"/>
              </w:rPr>
            </w:pPr>
            <w:r>
              <w:rPr>
                <w:rFonts w:ascii="Arial" w:cs="Arial" w:eastAsia="Arial" w:hAnsi="Arial"/>
                <w:sz w:val="12"/>
                <w:szCs w:val="12"/>
                <w:color w:val="auto"/>
              </w:rPr>
              <w:t>Fixed rate floor income decreased due to higher interest rates in 2019 as compared to 2018.</w:t>
            </w:r>
          </w:p>
        </w:tc>
        <w:tc>
          <w:tcPr>
            <w:tcW w:w="0" w:type="dxa"/>
            <w:vAlign w:val="bottom"/>
          </w:tcPr>
          <w:p>
            <w:pPr>
              <w:spacing w:after="0"/>
              <w:rPr>
                <w:sz w:val="1"/>
                <w:szCs w:val="1"/>
                <w:color w:val="auto"/>
              </w:rPr>
            </w:pPr>
          </w:p>
        </w:tc>
      </w:tr>
      <w:tr>
        <w:trPr>
          <w:trHeight w:val="143"/>
        </w:trPr>
        <w:tc>
          <w:tcPr>
            <w:tcW w:w="39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580" w:type="dxa"/>
            <w:vAlign w:val="bottom"/>
            <w:shd w:val="clear" w:color="auto" w:fill="CCEEFF"/>
          </w:tcPr>
          <w:p>
            <w:pPr>
              <w:ind w:left="20"/>
              <w:spacing w:after="0"/>
              <w:rPr>
                <w:sz w:val="20"/>
                <w:szCs w:val="20"/>
                <w:color w:val="auto"/>
              </w:rPr>
            </w:pPr>
            <w:r>
              <w:rPr>
                <w:rFonts w:ascii="Arial" w:cs="Arial" w:eastAsia="Arial" w:hAnsi="Arial"/>
                <w:sz w:val="12"/>
                <w:szCs w:val="12"/>
                <w:color w:val="auto"/>
                <w:w w:val="98"/>
              </w:rPr>
              <w:t>Derivative settlements include the settlements received related to the Company's floor income interest rate</w:t>
            </w:r>
          </w:p>
        </w:tc>
        <w:tc>
          <w:tcPr>
            <w:tcW w:w="0" w:type="dxa"/>
            <w:vAlign w:val="bottom"/>
          </w:tcPr>
          <w:p>
            <w:pPr>
              <w:spacing w:after="0"/>
              <w:rPr>
                <w:sz w:val="1"/>
                <w:szCs w:val="1"/>
                <w:color w:val="auto"/>
              </w:rPr>
            </w:pPr>
          </w:p>
        </w:tc>
      </w:tr>
      <w:tr>
        <w:trPr>
          <w:trHeight w:val="158"/>
        </w:trPr>
        <w:tc>
          <w:tcPr>
            <w:tcW w:w="3900" w:type="dxa"/>
            <w:vAlign w:val="bottom"/>
            <w:shd w:val="clear" w:color="auto" w:fill="CCEEFF"/>
          </w:tcPr>
          <w:p>
            <w:pPr>
              <w:ind w:left="20"/>
              <w:spacing w:after="0"/>
              <w:rPr>
                <w:sz w:val="20"/>
                <w:szCs w:val="20"/>
                <w:color w:val="auto"/>
              </w:rPr>
            </w:pPr>
            <w:r>
              <w:rPr>
                <w:rFonts w:ascii="Arial" w:cs="Arial" w:eastAsia="Arial" w:hAnsi="Arial"/>
                <w:sz w:val="12"/>
                <w:szCs w:val="12"/>
                <w:color w:val="auto"/>
              </w:rPr>
              <w:t>Derivative settlements, net (a)</w:t>
            </w:r>
          </w:p>
        </w:tc>
        <w:tc>
          <w:tcPr>
            <w:tcW w:w="100" w:type="dxa"/>
            <w:vAlign w:val="bottom"/>
            <w:tcBorders>
              <w:bottom w:val="single" w:sz="8" w:color="auto"/>
            </w:tcBorders>
            <w:shd w:val="clear" w:color="auto" w:fill="CCEEFF"/>
          </w:tcPr>
          <w:p>
            <w:pPr>
              <w:spacing w:after="0"/>
              <w:rPr>
                <w:sz w:val="13"/>
                <w:szCs w:val="13"/>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2"/>
                <w:szCs w:val="12"/>
                <w:color w:val="auto"/>
              </w:rPr>
              <w:t>16,701</w:t>
            </w:r>
          </w:p>
        </w:tc>
        <w:tc>
          <w:tcPr>
            <w:tcW w:w="100" w:type="dxa"/>
            <w:vAlign w:val="bottom"/>
            <w:shd w:val="clear" w:color="auto" w:fill="CCEEFF"/>
          </w:tcPr>
          <w:p>
            <w:pPr>
              <w:spacing w:after="0"/>
              <w:rPr>
                <w:sz w:val="13"/>
                <w:szCs w:val="13"/>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2"/>
                <w:szCs w:val="12"/>
                <w:color w:val="auto"/>
              </w:rPr>
              <w:t>8,590</w:t>
            </w:r>
          </w:p>
        </w:tc>
        <w:tc>
          <w:tcPr>
            <w:tcW w:w="100" w:type="dxa"/>
            <w:vAlign w:val="bottom"/>
            <w:shd w:val="clear" w:color="auto" w:fill="CCEEFF"/>
          </w:tcPr>
          <w:p>
            <w:pPr>
              <w:spacing w:after="0"/>
              <w:rPr>
                <w:sz w:val="13"/>
                <w:szCs w:val="13"/>
                <w:color w:val="auto"/>
              </w:rPr>
            </w:pPr>
          </w:p>
        </w:tc>
        <w:tc>
          <w:tcPr>
            <w:tcW w:w="5580" w:type="dxa"/>
            <w:vAlign w:val="bottom"/>
            <w:shd w:val="clear" w:color="auto" w:fill="CCEEFF"/>
          </w:tcPr>
          <w:p>
            <w:pPr>
              <w:ind w:left="20"/>
              <w:spacing w:after="0"/>
              <w:rPr>
                <w:sz w:val="20"/>
                <w:szCs w:val="20"/>
                <w:color w:val="auto"/>
              </w:rPr>
            </w:pPr>
            <w:r>
              <w:rPr>
                <w:rFonts w:ascii="Arial" w:cs="Arial" w:eastAsia="Arial" w:hAnsi="Arial"/>
                <w:sz w:val="12"/>
                <w:szCs w:val="12"/>
                <w:color w:val="auto"/>
              </w:rPr>
              <w:t>swaps. Increase in settlements due to higher interest rates in 2019 as compared to 2018.</w:t>
            </w:r>
          </w:p>
        </w:tc>
        <w:tc>
          <w:tcPr>
            <w:tcW w:w="0" w:type="dxa"/>
            <w:vAlign w:val="bottom"/>
          </w:tcPr>
          <w:p>
            <w:pPr>
              <w:spacing w:after="0"/>
              <w:rPr>
                <w:sz w:val="1"/>
                <w:szCs w:val="1"/>
                <w:color w:val="auto"/>
              </w:rPr>
            </w:pPr>
          </w:p>
        </w:tc>
      </w:tr>
      <w:tr>
        <w:trPr>
          <w:trHeight w:val="163"/>
        </w:trPr>
        <w:tc>
          <w:tcPr>
            <w:tcW w:w="3900" w:type="dxa"/>
            <w:vAlign w:val="bottom"/>
            <w:tcBorders>
              <w:bottom w:val="single" w:sz="8" w:color="CCEEFF"/>
            </w:tcBorders>
          </w:tcPr>
          <w:p>
            <w:pPr>
              <w:ind w:left="220"/>
              <w:spacing w:after="0"/>
              <w:rPr>
                <w:sz w:val="20"/>
                <w:szCs w:val="20"/>
                <w:color w:val="auto"/>
              </w:rPr>
            </w:pPr>
            <w:r>
              <w:rPr>
                <w:rFonts w:ascii="Arial" w:cs="Arial" w:eastAsia="Arial" w:hAnsi="Arial"/>
                <w:sz w:val="12"/>
                <w:szCs w:val="12"/>
                <w:color w:val="auto"/>
              </w:rPr>
              <w:t>Fixed rate floor income, net of settlements on derivatives (a)</w:t>
            </w:r>
          </w:p>
        </w:tc>
        <w:tc>
          <w:tcPr>
            <w:tcW w:w="1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27,126</w:t>
            </w:r>
          </w:p>
        </w:tc>
        <w:tc>
          <w:tcPr>
            <w:tcW w:w="100" w:type="dxa"/>
            <w:vAlign w:val="bottom"/>
            <w:tcBorders>
              <w:bottom w:val="single" w:sz="8" w:color="CCEEFF"/>
            </w:tcBorders>
          </w:tcPr>
          <w:p>
            <w:pPr>
              <w:spacing w:after="0"/>
              <w:rPr>
                <w:sz w:val="14"/>
                <w:szCs w:val="14"/>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25,837</w:t>
            </w:r>
          </w:p>
        </w:tc>
        <w:tc>
          <w:tcPr>
            <w:tcW w:w="100" w:type="dxa"/>
            <w:vAlign w:val="bottom"/>
            <w:tcBorders>
              <w:bottom w:val="single" w:sz="8" w:color="CCEEFF"/>
            </w:tcBorders>
          </w:tcPr>
          <w:p>
            <w:pPr>
              <w:spacing w:after="0"/>
              <w:rPr>
                <w:sz w:val="14"/>
                <w:szCs w:val="14"/>
                <w:color w:val="auto"/>
              </w:rPr>
            </w:pPr>
          </w:p>
        </w:tc>
        <w:tc>
          <w:tcPr>
            <w:tcW w:w="558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167"/>
        </w:trPr>
        <w:tc>
          <w:tcPr>
            <w:tcW w:w="3900" w:type="dxa"/>
            <w:vAlign w:val="bottom"/>
            <w:shd w:val="clear" w:color="auto" w:fill="CCEEFF"/>
          </w:tcPr>
          <w:p>
            <w:pPr>
              <w:ind w:left="280"/>
              <w:spacing w:after="0"/>
              <w:rPr>
                <w:sz w:val="20"/>
                <w:szCs w:val="20"/>
                <w:color w:val="auto"/>
              </w:rPr>
            </w:pPr>
            <w:r>
              <w:rPr>
                <w:rFonts w:ascii="Arial" w:cs="Arial" w:eastAsia="Arial" w:hAnsi="Arial"/>
                <w:sz w:val="12"/>
                <w:szCs w:val="12"/>
                <w:color w:val="auto"/>
              </w:rPr>
              <w:t>Core loan interest income (a)</w:t>
            </w:r>
          </w:p>
        </w:tc>
        <w:tc>
          <w:tcPr>
            <w:tcW w:w="100" w:type="dxa"/>
            <w:vAlign w:val="bottom"/>
            <w:shd w:val="clear" w:color="auto" w:fill="CCEEFF"/>
          </w:tcPr>
          <w:p>
            <w:pPr>
              <w:spacing w:after="0"/>
              <w:rPr>
                <w:sz w:val="14"/>
                <w:szCs w:val="1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2"/>
                <w:szCs w:val="12"/>
                <w:color w:val="auto"/>
              </w:rPr>
              <w:t>73,411</w:t>
            </w:r>
          </w:p>
        </w:tc>
        <w:tc>
          <w:tcPr>
            <w:tcW w:w="100" w:type="dxa"/>
            <w:vAlign w:val="bottom"/>
            <w:shd w:val="clear" w:color="auto" w:fill="CCEEFF"/>
          </w:tcPr>
          <w:p>
            <w:pPr>
              <w:spacing w:after="0"/>
              <w:rPr>
                <w:sz w:val="14"/>
                <w:szCs w:val="14"/>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2"/>
                <w:szCs w:val="12"/>
                <w:color w:val="auto"/>
              </w:rPr>
              <w:t>71,057</w:t>
            </w:r>
          </w:p>
        </w:tc>
        <w:tc>
          <w:tcPr>
            <w:tcW w:w="100" w:type="dxa"/>
            <w:vAlign w:val="bottom"/>
            <w:shd w:val="clear" w:color="auto" w:fill="CCEEFF"/>
          </w:tcPr>
          <w:p>
            <w:pPr>
              <w:spacing w:after="0"/>
              <w:rPr>
                <w:sz w:val="14"/>
                <w:szCs w:val="14"/>
                <w:color w:val="auto"/>
              </w:rPr>
            </w:pPr>
          </w:p>
        </w:tc>
        <w:tc>
          <w:tcPr>
            <w:tcW w:w="55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0"/>
        </w:trPr>
        <w:tc>
          <w:tcPr>
            <w:tcW w:w="39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580" w:type="dxa"/>
            <w:vAlign w:val="bottom"/>
          </w:tcPr>
          <w:p>
            <w:pPr>
              <w:ind w:left="20"/>
              <w:spacing w:after="0"/>
              <w:rPr>
                <w:sz w:val="20"/>
                <w:szCs w:val="20"/>
                <w:color w:val="auto"/>
              </w:rPr>
            </w:pPr>
            <w:r>
              <w:rPr>
                <w:rFonts w:ascii="Arial" w:cs="Arial" w:eastAsia="Arial" w:hAnsi="Arial"/>
                <w:sz w:val="12"/>
                <w:szCs w:val="12"/>
                <w:color w:val="auto"/>
                <w:w w:val="99"/>
              </w:rPr>
              <w:t>Increase was due to a higher balance of interest-earning investments and higher interest rates in 2019 as</w:t>
            </w:r>
          </w:p>
        </w:tc>
        <w:tc>
          <w:tcPr>
            <w:tcW w:w="0" w:type="dxa"/>
            <w:vAlign w:val="bottom"/>
          </w:tcPr>
          <w:p>
            <w:pPr>
              <w:spacing w:after="0"/>
              <w:rPr>
                <w:sz w:val="1"/>
                <w:szCs w:val="1"/>
                <w:color w:val="auto"/>
              </w:rPr>
            </w:pPr>
          </w:p>
        </w:tc>
      </w:tr>
      <w:tr>
        <w:trPr>
          <w:trHeight w:val="158"/>
        </w:trPr>
        <w:tc>
          <w:tcPr>
            <w:tcW w:w="3900" w:type="dxa"/>
            <w:vAlign w:val="bottom"/>
          </w:tcPr>
          <w:p>
            <w:pPr>
              <w:ind w:left="20"/>
              <w:spacing w:after="0"/>
              <w:rPr>
                <w:sz w:val="20"/>
                <w:szCs w:val="20"/>
                <w:color w:val="auto"/>
              </w:rPr>
            </w:pPr>
            <w:r>
              <w:rPr>
                <w:rFonts w:ascii="Arial" w:cs="Arial" w:eastAsia="Arial" w:hAnsi="Arial"/>
                <w:sz w:val="12"/>
                <w:szCs w:val="12"/>
                <w:color w:val="auto"/>
              </w:rPr>
              <w:t>Investment interest</w:t>
            </w:r>
          </w:p>
        </w:tc>
        <w:tc>
          <w:tcPr>
            <w:tcW w:w="100" w:type="dxa"/>
            <w:vAlign w:val="bottom"/>
          </w:tcPr>
          <w:p>
            <w:pPr>
              <w:spacing w:after="0"/>
              <w:rPr>
                <w:sz w:val="13"/>
                <w:szCs w:val="13"/>
                <w:color w:val="auto"/>
              </w:rPr>
            </w:pPr>
          </w:p>
        </w:tc>
        <w:tc>
          <w:tcPr>
            <w:tcW w:w="800" w:type="dxa"/>
            <w:vAlign w:val="bottom"/>
          </w:tcPr>
          <w:p>
            <w:pPr>
              <w:jc w:val="right"/>
              <w:spacing w:after="0"/>
              <w:rPr>
                <w:sz w:val="20"/>
                <w:szCs w:val="20"/>
                <w:color w:val="auto"/>
              </w:rPr>
            </w:pPr>
            <w:r>
              <w:rPr>
                <w:rFonts w:ascii="Arial" w:cs="Arial" w:eastAsia="Arial" w:hAnsi="Arial"/>
                <w:sz w:val="12"/>
                <w:szCs w:val="12"/>
                <w:color w:val="auto"/>
              </w:rPr>
              <w:t>4,534</w:t>
            </w:r>
          </w:p>
        </w:tc>
        <w:tc>
          <w:tcPr>
            <w:tcW w:w="100" w:type="dxa"/>
            <w:vAlign w:val="bottom"/>
          </w:tcPr>
          <w:p>
            <w:pPr>
              <w:spacing w:after="0"/>
              <w:rPr>
                <w:sz w:val="13"/>
                <w:szCs w:val="13"/>
                <w:color w:val="auto"/>
              </w:rPr>
            </w:pPr>
          </w:p>
        </w:tc>
        <w:tc>
          <w:tcPr>
            <w:tcW w:w="880" w:type="dxa"/>
            <w:vAlign w:val="bottom"/>
          </w:tcPr>
          <w:p>
            <w:pPr>
              <w:jc w:val="right"/>
              <w:spacing w:after="0"/>
              <w:rPr>
                <w:sz w:val="20"/>
                <w:szCs w:val="20"/>
                <w:color w:val="auto"/>
              </w:rPr>
            </w:pPr>
            <w:r>
              <w:rPr>
                <w:rFonts w:ascii="Arial" w:cs="Arial" w:eastAsia="Arial" w:hAnsi="Arial"/>
                <w:sz w:val="12"/>
                <w:szCs w:val="12"/>
                <w:color w:val="auto"/>
              </w:rPr>
              <w:t>2,610</w:t>
            </w:r>
          </w:p>
        </w:tc>
        <w:tc>
          <w:tcPr>
            <w:tcW w:w="100" w:type="dxa"/>
            <w:vAlign w:val="bottom"/>
          </w:tcPr>
          <w:p>
            <w:pPr>
              <w:spacing w:after="0"/>
              <w:rPr>
                <w:sz w:val="13"/>
                <w:szCs w:val="13"/>
                <w:color w:val="auto"/>
              </w:rPr>
            </w:pPr>
          </w:p>
        </w:tc>
        <w:tc>
          <w:tcPr>
            <w:tcW w:w="5580" w:type="dxa"/>
            <w:vAlign w:val="bottom"/>
          </w:tcPr>
          <w:p>
            <w:pPr>
              <w:ind w:left="20"/>
              <w:spacing w:after="0"/>
              <w:rPr>
                <w:sz w:val="20"/>
                <w:szCs w:val="20"/>
                <w:color w:val="auto"/>
              </w:rPr>
            </w:pPr>
            <w:r>
              <w:rPr>
                <w:rFonts w:ascii="Arial" w:cs="Arial" w:eastAsia="Arial" w:hAnsi="Arial"/>
                <w:sz w:val="12"/>
                <w:szCs w:val="12"/>
                <w:color w:val="auto"/>
              </w:rPr>
              <w:t>compared to 2018.</w:t>
            </w:r>
          </w:p>
        </w:tc>
        <w:tc>
          <w:tcPr>
            <w:tcW w:w="0" w:type="dxa"/>
            <w:vAlign w:val="bottom"/>
          </w:tcPr>
          <w:p>
            <w:pPr>
              <w:spacing w:after="0"/>
              <w:rPr>
                <w:sz w:val="1"/>
                <w:szCs w:val="1"/>
                <w:color w:val="auto"/>
              </w:rPr>
            </w:pPr>
          </w:p>
        </w:tc>
      </w:tr>
      <w:tr>
        <w:trPr>
          <w:trHeight w:val="176"/>
        </w:trPr>
        <w:tc>
          <w:tcPr>
            <w:tcW w:w="3900" w:type="dxa"/>
            <w:vAlign w:val="bottom"/>
            <w:shd w:val="clear" w:color="auto" w:fill="CCEEFF"/>
          </w:tcPr>
          <w:p>
            <w:pPr>
              <w:ind w:left="20"/>
              <w:spacing w:after="0"/>
              <w:rPr>
                <w:sz w:val="20"/>
                <w:szCs w:val="20"/>
                <w:color w:val="auto"/>
              </w:rPr>
            </w:pPr>
            <w:r>
              <w:rPr>
                <w:rFonts w:ascii="Arial" w:cs="Arial" w:eastAsia="Arial" w:hAnsi="Arial"/>
                <w:sz w:val="12"/>
                <w:szCs w:val="12"/>
                <w:color w:val="auto"/>
              </w:rPr>
              <w:t>Intercompany interest</w:t>
            </w:r>
          </w:p>
        </w:tc>
        <w:tc>
          <w:tcPr>
            <w:tcW w:w="100" w:type="dxa"/>
            <w:vAlign w:val="bottom"/>
            <w:shd w:val="clear" w:color="auto" w:fill="CCEEFF"/>
          </w:tcPr>
          <w:p>
            <w:pPr>
              <w:spacing w:after="0"/>
              <w:rPr>
                <w:sz w:val="15"/>
                <w:szCs w:val="15"/>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2"/>
                <w:szCs w:val="12"/>
                <w:color w:val="auto"/>
              </w:rPr>
              <w:t>(842)</w:t>
            </w:r>
          </w:p>
        </w:tc>
        <w:tc>
          <w:tcPr>
            <w:tcW w:w="100" w:type="dxa"/>
            <w:vAlign w:val="bottom"/>
            <w:shd w:val="clear" w:color="auto" w:fill="CCEEFF"/>
          </w:tcPr>
          <w:p>
            <w:pPr>
              <w:spacing w:after="0"/>
              <w:rPr>
                <w:sz w:val="15"/>
                <w:szCs w:val="15"/>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2"/>
                <w:szCs w:val="12"/>
                <w:color w:val="auto"/>
              </w:rPr>
              <w:t>(640)</w:t>
            </w:r>
          </w:p>
        </w:tc>
        <w:tc>
          <w:tcPr>
            <w:tcW w:w="100" w:type="dxa"/>
            <w:vAlign w:val="bottom"/>
            <w:shd w:val="clear" w:color="auto" w:fill="CCEEFF"/>
          </w:tcPr>
          <w:p>
            <w:pPr>
              <w:spacing w:after="0"/>
              <w:rPr>
                <w:sz w:val="15"/>
                <w:szCs w:val="15"/>
                <w:color w:val="auto"/>
              </w:rPr>
            </w:pPr>
          </w:p>
        </w:tc>
        <w:tc>
          <w:tcPr>
            <w:tcW w:w="558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40"/>
        </w:trPr>
        <w:tc>
          <w:tcPr>
            <w:tcW w:w="39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580" w:type="dxa"/>
            <w:vAlign w:val="bottom"/>
          </w:tcPr>
          <w:p>
            <w:pPr>
              <w:ind w:left="20"/>
              <w:spacing w:after="0"/>
              <w:rPr>
                <w:sz w:val="20"/>
                <w:szCs w:val="20"/>
                <w:color w:val="auto"/>
              </w:rPr>
            </w:pPr>
            <w:r>
              <w:rPr>
                <w:rFonts w:ascii="Arial" w:cs="Arial" w:eastAsia="Arial" w:hAnsi="Arial"/>
                <w:sz w:val="12"/>
                <w:szCs w:val="12"/>
                <w:color w:val="auto"/>
              </w:rPr>
              <w:t>See "Allowance for Loan Losses and Loan Delinquencies" included above under "Asset Generation and</w:t>
            </w:r>
          </w:p>
        </w:tc>
        <w:tc>
          <w:tcPr>
            <w:tcW w:w="0" w:type="dxa"/>
            <w:vAlign w:val="bottom"/>
          </w:tcPr>
          <w:p>
            <w:pPr>
              <w:spacing w:after="0"/>
              <w:rPr>
                <w:sz w:val="1"/>
                <w:szCs w:val="1"/>
                <w:color w:val="auto"/>
              </w:rPr>
            </w:pPr>
          </w:p>
        </w:tc>
      </w:tr>
      <w:tr>
        <w:trPr>
          <w:trHeight w:val="158"/>
        </w:trPr>
        <w:tc>
          <w:tcPr>
            <w:tcW w:w="3900" w:type="dxa"/>
            <w:vAlign w:val="bottom"/>
          </w:tcPr>
          <w:p>
            <w:pPr>
              <w:ind w:left="20"/>
              <w:spacing w:after="0"/>
              <w:rPr>
                <w:sz w:val="20"/>
                <w:szCs w:val="20"/>
                <w:color w:val="auto"/>
              </w:rPr>
            </w:pPr>
            <w:r>
              <w:rPr>
                <w:rFonts w:ascii="Arial" w:cs="Arial" w:eastAsia="Arial" w:hAnsi="Arial"/>
                <w:sz w:val="12"/>
                <w:szCs w:val="12"/>
                <w:color w:val="auto"/>
              </w:rPr>
              <w:t>Provision for loan losses - federally insured loans</w:t>
            </w:r>
          </w:p>
        </w:tc>
        <w:tc>
          <w:tcPr>
            <w:tcW w:w="100" w:type="dxa"/>
            <w:vAlign w:val="bottom"/>
          </w:tcPr>
          <w:p>
            <w:pPr>
              <w:spacing w:after="0"/>
              <w:rPr>
                <w:sz w:val="13"/>
                <w:szCs w:val="13"/>
                <w:color w:val="auto"/>
              </w:rPr>
            </w:pPr>
          </w:p>
        </w:tc>
        <w:tc>
          <w:tcPr>
            <w:tcW w:w="800" w:type="dxa"/>
            <w:vAlign w:val="bottom"/>
          </w:tcPr>
          <w:p>
            <w:pPr>
              <w:jc w:val="right"/>
              <w:spacing w:after="0"/>
              <w:rPr>
                <w:sz w:val="20"/>
                <w:szCs w:val="20"/>
                <w:color w:val="auto"/>
              </w:rPr>
            </w:pPr>
            <w:r>
              <w:rPr>
                <w:rFonts w:ascii="Arial" w:cs="Arial" w:eastAsia="Arial" w:hAnsi="Arial"/>
                <w:sz w:val="12"/>
                <w:szCs w:val="12"/>
                <w:color w:val="auto"/>
              </w:rPr>
              <w:t>(2,000)</w:t>
            </w:r>
          </w:p>
        </w:tc>
        <w:tc>
          <w:tcPr>
            <w:tcW w:w="100" w:type="dxa"/>
            <w:vAlign w:val="bottom"/>
          </w:tcPr>
          <w:p>
            <w:pPr>
              <w:spacing w:after="0"/>
              <w:rPr>
                <w:sz w:val="13"/>
                <w:szCs w:val="13"/>
                <w:color w:val="auto"/>
              </w:rPr>
            </w:pPr>
          </w:p>
        </w:tc>
        <w:tc>
          <w:tcPr>
            <w:tcW w:w="880" w:type="dxa"/>
            <w:vAlign w:val="bottom"/>
          </w:tcPr>
          <w:p>
            <w:pPr>
              <w:jc w:val="right"/>
              <w:spacing w:after="0"/>
              <w:rPr>
                <w:sz w:val="20"/>
                <w:szCs w:val="20"/>
                <w:color w:val="auto"/>
              </w:rPr>
            </w:pPr>
            <w:r>
              <w:rPr>
                <w:rFonts w:ascii="Arial" w:cs="Arial" w:eastAsia="Arial" w:hAnsi="Arial"/>
                <w:sz w:val="12"/>
                <w:szCs w:val="12"/>
                <w:color w:val="auto"/>
              </w:rPr>
              <w:t>(2,000)</w:t>
            </w:r>
          </w:p>
        </w:tc>
        <w:tc>
          <w:tcPr>
            <w:tcW w:w="100" w:type="dxa"/>
            <w:vAlign w:val="bottom"/>
          </w:tcPr>
          <w:p>
            <w:pPr>
              <w:spacing w:after="0"/>
              <w:rPr>
                <w:sz w:val="13"/>
                <w:szCs w:val="13"/>
                <w:color w:val="auto"/>
              </w:rPr>
            </w:pPr>
          </w:p>
        </w:tc>
        <w:tc>
          <w:tcPr>
            <w:tcW w:w="5580" w:type="dxa"/>
            <w:vAlign w:val="bottom"/>
          </w:tcPr>
          <w:p>
            <w:pPr>
              <w:ind w:left="20"/>
              <w:spacing w:after="0"/>
              <w:rPr>
                <w:sz w:val="20"/>
                <w:szCs w:val="20"/>
                <w:color w:val="auto"/>
              </w:rPr>
            </w:pPr>
            <w:r>
              <w:rPr>
                <w:rFonts w:ascii="Arial" w:cs="Arial" w:eastAsia="Arial" w:hAnsi="Arial"/>
                <w:sz w:val="12"/>
                <w:szCs w:val="12"/>
                <w:color w:val="auto"/>
              </w:rPr>
              <w:t>Management Operating Segment - Results of Operations."</w:t>
            </w:r>
          </w:p>
        </w:tc>
        <w:tc>
          <w:tcPr>
            <w:tcW w:w="0" w:type="dxa"/>
            <w:vAlign w:val="bottom"/>
          </w:tcPr>
          <w:p>
            <w:pPr>
              <w:spacing w:after="0"/>
              <w:rPr>
                <w:sz w:val="1"/>
                <w:szCs w:val="1"/>
                <w:color w:val="auto"/>
              </w:rPr>
            </w:pPr>
          </w:p>
        </w:tc>
      </w:tr>
      <w:tr>
        <w:trPr>
          <w:trHeight w:val="176"/>
        </w:trPr>
        <w:tc>
          <w:tcPr>
            <w:tcW w:w="3900" w:type="dxa"/>
            <w:vAlign w:val="bottom"/>
            <w:shd w:val="clear" w:color="auto" w:fill="CCEEFF"/>
          </w:tcPr>
          <w:p>
            <w:pPr>
              <w:ind w:left="20"/>
              <w:spacing w:after="0"/>
              <w:rPr>
                <w:sz w:val="20"/>
                <w:szCs w:val="20"/>
                <w:color w:val="auto"/>
              </w:rPr>
            </w:pPr>
            <w:r>
              <w:rPr>
                <w:rFonts w:ascii="Arial" w:cs="Arial" w:eastAsia="Arial" w:hAnsi="Arial"/>
                <w:sz w:val="12"/>
                <w:szCs w:val="12"/>
                <w:color w:val="auto"/>
              </w:rPr>
              <w:t>Provision for loan losses - consumer loans</w:t>
            </w:r>
          </w:p>
        </w:tc>
        <w:tc>
          <w:tcPr>
            <w:tcW w:w="100" w:type="dxa"/>
            <w:vAlign w:val="bottom"/>
            <w:tcBorders>
              <w:bottom w:val="single" w:sz="8" w:color="auto"/>
            </w:tcBorders>
            <w:shd w:val="clear" w:color="auto" w:fill="CCEEFF"/>
          </w:tcPr>
          <w:p>
            <w:pPr>
              <w:spacing w:after="0"/>
              <w:rPr>
                <w:sz w:val="15"/>
                <w:szCs w:val="15"/>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2"/>
                <w:szCs w:val="12"/>
                <w:color w:val="auto"/>
              </w:rPr>
              <w:t>(5,000)</w:t>
            </w:r>
          </w:p>
        </w:tc>
        <w:tc>
          <w:tcPr>
            <w:tcW w:w="100" w:type="dxa"/>
            <w:vAlign w:val="bottom"/>
            <w:shd w:val="clear" w:color="auto" w:fill="CCEEFF"/>
          </w:tcPr>
          <w:p>
            <w:pPr>
              <w:spacing w:after="0"/>
              <w:rPr>
                <w:sz w:val="15"/>
                <w:szCs w:val="15"/>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2"/>
                <w:szCs w:val="12"/>
                <w:color w:val="auto"/>
              </w:rPr>
              <w:t>(2,000)</w:t>
            </w:r>
          </w:p>
        </w:tc>
        <w:tc>
          <w:tcPr>
            <w:tcW w:w="100" w:type="dxa"/>
            <w:vAlign w:val="bottom"/>
            <w:shd w:val="clear" w:color="auto" w:fill="CCEEFF"/>
          </w:tcPr>
          <w:p>
            <w:pPr>
              <w:spacing w:after="0"/>
              <w:rPr>
                <w:sz w:val="15"/>
                <w:szCs w:val="15"/>
                <w:color w:val="auto"/>
              </w:rPr>
            </w:pPr>
          </w:p>
        </w:tc>
        <w:tc>
          <w:tcPr>
            <w:tcW w:w="55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99"/>
        </w:trPr>
        <w:tc>
          <w:tcPr>
            <w:tcW w:w="3900" w:type="dxa"/>
            <w:vAlign w:val="bottom"/>
          </w:tcPr>
          <w:p>
            <w:pPr>
              <w:ind w:left="20"/>
              <w:spacing w:after="0" w:line="99" w:lineRule="exact"/>
              <w:rPr>
                <w:sz w:val="20"/>
                <w:szCs w:val="20"/>
                <w:color w:val="auto"/>
              </w:rPr>
            </w:pPr>
            <w:r>
              <w:rPr>
                <w:rFonts w:ascii="Arial" w:cs="Arial" w:eastAsia="Arial" w:hAnsi="Arial"/>
                <w:sz w:val="11"/>
                <w:szCs w:val="11"/>
                <w:color w:val="auto"/>
              </w:rPr>
              <w:t>Net interest income after provision for loan losses (net of settlements on</w:t>
            </w:r>
          </w:p>
        </w:tc>
        <w:tc>
          <w:tcPr>
            <w:tcW w:w="100" w:type="dxa"/>
            <w:vAlign w:val="bottom"/>
            <w:vMerge w:val="restart"/>
          </w:tcPr>
          <w:p>
            <w:pPr>
              <w:jc w:val="right"/>
              <w:spacing w:after="0"/>
              <w:rPr>
                <w:sz w:val="20"/>
                <w:szCs w:val="20"/>
                <w:color w:val="auto"/>
              </w:rPr>
            </w:pPr>
            <w:r>
              <w:rPr>
                <w:rFonts w:ascii="Arial" w:cs="Arial" w:eastAsia="Arial" w:hAnsi="Arial"/>
                <w:sz w:val="12"/>
                <w:szCs w:val="12"/>
                <w:color w:val="auto"/>
                <w:w w:val="89"/>
              </w:rPr>
              <w:t>$</w:t>
            </w:r>
          </w:p>
        </w:tc>
        <w:tc>
          <w:tcPr>
            <w:tcW w:w="800" w:type="dxa"/>
            <w:vAlign w:val="bottom"/>
            <w:vMerge w:val="restart"/>
          </w:tcPr>
          <w:p>
            <w:pPr>
              <w:jc w:val="right"/>
              <w:spacing w:after="0"/>
              <w:rPr>
                <w:sz w:val="20"/>
                <w:szCs w:val="20"/>
                <w:color w:val="auto"/>
              </w:rPr>
            </w:pPr>
            <w:r>
              <w:rPr>
                <w:rFonts w:ascii="Arial" w:cs="Arial" w:eastAsia="Arial" w:hAnsi="Arial"/>
                <w:sz w:val="12"/>
                <w:szCs w:val="12"/>
                <w:color w:val="auto"/>
              </w:rPr>
              <w:t>70,103</w:t>
            </w:r>
          </w:p>
        </w:tc>
        <w:tc>
          <w:tcPr>
            <w:tcW w:w="100" w:type="dxa"/>
            <w:vAlign w:val="bottom"/>
          </w:tcPr>
          <w:p>
            <w:pPr>
              <w:spacing w:after="0"/>
              <w:rPr>
                <w:sz w:val="8"/>
                <w:szCs w:val="8"/>
                <w:color w:val="auto"/>
              </w:rPr>
            </w:pPr>
          </w:p>
        </w:tc>
        <w:tc>
          <w:tcPr>
            <w:tcW w:w="880" w:type="dxa"/>
            <w:vAlign w:val="bottom"/>
            <w:vMerge w:val="restart"/>
          </w:tcPr>
          <w:p>
            <w:pPr>
              <w:jc w:val="right"/>
              <w:spacing w:after="0"/>
              <w:rPr>
                <w:sz w:val="20"/>
                <w:szCs w:val="20"/>
                <w:color w:val="auto"/>
              </w:rPr>
            </w:pPr>
            <w:r>
              <w:rPr>
                <w:rFonts w:ascii="Arial" w:cs="Arial" w:eastAsia="Arial" w:hAnsi="Arial"/>
                <w:sz w:val="12"/>
                <w:szCs w:val="12"/>
                <w:color w:val="auto"/>
              </w:rPr>
              <w:t>69,027</w:t>
            </w:r>
          </w:p>
        </w:tc>
        <w:tc>
          <w:tcPr>
            <w:tcW w:w="100" w:type="dxa"/>
            <w:vAlign w:val="bottom"/>
          </w:tcPr>
          <w:p>
            <w:pPr>
              <w:spacing w:after="0"/>
              <w:rPr>
                <w:sz w:val="8"/>
                <w:szCs w:val="8"/>
                <w:color w:val="auto"/>
              </w:rPr>
            </w:pPr>
          </w:p>
        </w:tc>
        <w:tc>
          <w:tcPr>
            <w:tcW w:w="55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5"/>
        </w:trPr>
        <w:tc>
          <w:tcPr>
            <w:tcW w:w="3900" w:type="dxa"/>
            <w:vAlign w:val="bottom"/>
          </w:tcPr>
          <w:p>
            <w:pPr>
              <w:ind w:left="220"/>
              <w:spacing w:after="0"/>
              <w:rPr>
                <w:sz w:val="20"/>
                <w:szCs w:val="20"/>
                <w:color w:val="auto"/>
              </w:rPr>
            </w:pPr>
            <w:r>
              <w:rPr>
                <w:rFonts w:ascii="Arial" w:cs="Arial" w:eastAsia="Arial" w:hAnsi="Arial"/>
                <w:sz w:val="12"/>
                <w:szCs w:val="12"/>
                <w:color w:val="auto"/>
              </w:rPr>
              <w:t>derivatives) (a)</w:t>
            </w:r>
          </w:p>
        </w:tc>
        <w:tc>
          <w:tcPr>
            <w:tcW w:w="100" w:type="dxa"/>
            <w:vAlign w:val="bottom"/>
            <w:tcBorders>
              <w:bottom w:val="single" w:sz="8" w:color="auto"/>
            </w:tcBorders>
            <w:vMerge w:val="continue"/>
          </w:tcPr>
          <w:p>
            <w:pPr>
              <w:spacing w:after="0"/>
              <w:rPr>
                <w:sz w:val="12"/>
                <w:szCs w:val="12"/>
                <w:color w:val="auto"/>
              </w:rPr>
            </w:pPr>
          </w:p>
        </w:tc>
        <w:tc>
          <w:tcPr>
            <w:tcW w:w="800" w:type="dxa"/>
            <w:vAlign w:val="bottom"/>
            <w:tcBorders>
              <w:bottom w:val="single" w:sz="8" w:color="auto"/>
            </w:tcBorders>
            <w:vMerge w:val="continue"/>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tcBorders>
              <w:bottom w:val="single" w:sz="8" w:color="auto"/>
            </w:tcBorders>
            <w:vMerge w:val="continue"/>
          </w:tcPr>
          <w:p>
            <w:pPr>
              <w:spacing w:after="0"/>
              <w:rPr>
                <w:sz w:val="12"/>
                <w:szCs w:val="12"/>
                <w:color w:val="auto"/>
              </w:rPr>
            </w:pPr>
          </w:p>
        </w:tc>
        <w:tc>
          <w:tcPr>
            <w:tcW w:w="100" w:type="dxa"/>
            <w:vAlign w:val="bottom"/>
          </w:tcPr>
          <w:p>
            <w:pPr>
              <w:spacing w:after="0"/>
              <w:rPr>
                <w:sz w:val="12"/>
                <w:szCs w:val="12"/>
                <w:color w:val="auto"/>
              </w:rPr>
            </w:pPr>
          </w:p>
        </w:tc>
        <w:tc>
          <w:tcPr>
            <w:tcW w:w="55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39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5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3" w:lineRule="exact"/>
        <w:rPr>
          <w:sz w:val="20"/>
          <w:szCs w:val="20"/>
          <w:color w:val="auto"/>
        </w:rPr>
      </w:pPr>
    </w:p>
    <w:p>
      <w:pPr>
        <w:ind w:left="520" w:hanging="514"/>
        <w:spacing w:after="0" w:line="282" w:lineRule="auto"/>
        <w:tabs>
          <w:tab w:leader="none" w:pos="169" w:val="left"/>
        </w:tabs>
        <w:numPr>
          <w:ilvl w:val="0"/>
          <w:numId w:val="29"/>
        </w:numPr>
        <w:rPr>
          <w:rFonts w:ascii="Arial" w:cs="Arial" w:eastAsia="Arial" w:hAnsi="Arial"/>
          <w:sz w:val="11"/>
          <w:szCs w:val="11"/>
          <w:color w:val="auto"/>
        </w:rPr>
      </w:pPr>
      <w:r>
        <w:rPr>
          <w:rFonts w:ascii="Arial" w:cs="Arial" w:eastAsia="Arial" w:hAnsi="Arial"/>
          <w:sz w:val="13"/>
          <w:szCs w:val="13"/>
          <w:color w:val="auto"/>
        </w:rPr>
        <w:t>Derivative settlements represent the cash paid or received during the current period to settle with derivative instrument counterparties the economic effect of the Company's derivative instruments based on their contractual terms. Derivative accounting requires that net settlements on derivatives that do not qualify for "hedge treatment" under GAAP be recorded in a separate income statement line item below net interest income. The Company maintains an overall risk management strategy that incorporates the use of derivative instruments to reduce the economic effect of interest rate volatility. As such, management believes derivative settlements for each applicable period should be evaluated with the Company’s net interest income as presented in this table. Core loan interest income and net interest income after provision for loan losses (net of settlements on derivatives) are non-GAAP financial measures, and the Company reports this non-GAAP information because the Company believes that it provides additional information regarding operational and performance indicators that are closely assessed by management. There is no comprehensive, authoritative guidance for the presentation of such non-GAAP information, which is only meant to supplement GAAP results by providing additional information that management utilizes to assess performance. See note 4 of the notes to consolidated financial statements included under Part I, Item 1 of this report for additional information on the Company's derivative instruments, including the net settlement activity recognized by the Company for each type of derivative referred to in the "Additional information" column of this table, for the periods presented in the table under the caption "Income Statement Impact" in note 4 and in this table.</w:t>
      </w:r>
    </w:p>
    <w:p>
      <w:pPr>
        <w:spacing w:after="0" w:line="200" w:lineRule="exact"/>
        <w:rPr>
          <w:sz w:val="20"/>
          <w:szCs w:val="20"/>
          <w:color w:val="auto"/>
        </w:rPr>
      </w:pPr>
    </w:p>
    <w:p>
      <w:pPr>
        <w:spacing w:after="0" w:line="339"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47</w:t>
      </w:r>
    </w:p>
    <w:p>
      <w:pPr>
        <w:sectPr>
          <w:pgSz w:w="11900" w:h="16838" w:orient="portrait"/>
          <w:cols w:equalWidth="0" w:num="1">
            <w:col w:w="11460"/>
          </w:cols>
          <w:pgMar w:left="220" w:top="743" w:right="219" w:bottom="1440" w:gutter="0" w:footer="0" w:header="0"/>
        </w:sectPr>
      </w:pPr>
    </w:p>
    <w:bookmarkStart w:id="48" w:name="page49"/>
    <w:bookmarkEnd w:id="48"/>
    <w:p>
      <w:pPr>
        <w:spacing w:after="0"/>
        <w:rPr>
          <w:sz w:val="20"/>
          <w:szCs w:val="20"/>
          <w:color w:val="auto"/>
        </w:rPr>
      </w:pPr>
      <w:r>
        <w:rPr>
          <w:rFonts w:ascii="Arial" w:cs="Arial" w:eastAsia="Arial" w:hAnsi="Arial"/>
          <w:sz w:val="14"/>
          <w:szCs w:val="14"/>
          <w:b w:val="1"/>
          <w:bCs w:val="1"/>
          <w:color w:val="auto"/>
        </w:rPr>
        <w:t>LIQUIDITY AND CAPITAL RESOURCES</w:t>
      </w:r>
    </w:p>
    <w:p>
      <w:pPr>
        <w:spacing w:after="0" w:line="145" w:lineRule="exact"/>
        <w:rPr>
          <w:sz w:val="20"/>
          <w:szCs w:val="20"/>
          <w:color w:val="auto"/>
        </w:rPr>
      </w:pPr>
    </w:p>
    <w:p>
      <w:pPr>
        <w:jc w:val="both"/>
        <w:spacing w:after="0" w:line="267" w:lineRule="auto"/>
        <w:rPr>
          <w:sz w:val="20"/>
          <w:szCs w:val="20"/>
          <w:color w:val="auto"/>
        </w:rPr>
      </w:pPr>
      <w:r>
        <w:rPr>
          <w:rFonts w:ascii="Arial" w:cs="Arial" w:eastAsia="Arial" w:hAnsi="Arial"/>
          <w:sz w:val="14"/>
          <w:szCs w:val="14"/>
          <w:color w:val="auto"/>
        </w:rPr>
        <w:t>The Company’s Loan Servicing and Systems and Education Technology, Services, and Payment Processing operating segments are non-capital intensive and both produce positive operating cash flows. As such, a minimal amount of debt and equity capital is allocated to these segments and any liquidity or capital needs are satisfied using cash flow from operations. Therefore, the following Liquidity and Capital Resources discussion is concentrated on the Company’s liquidity and capital needs to meet existing debt obligations in the Asset Generation and Management operating segment and capital needs to expand ALLO's communications network in the Communications operating segment.</w:t>
      </w:r>
    </w:p>
    <w:p>
      <w:pPr>
        <w:spacing w:after="0" w:line="99"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Sources of Liquidity</w:t>
      </w:r>
    </w:p>
    <w:p>
      <w:pPr>
        <w:spacing w:after="0" w:line="145" w:lineRule="exact"/>
        <w:rPr>
          <w:sz w:val="20"/>
          <w:szCs w:val="20"/>
          <w:color w:val="auto"/>
        </w:rPr>
      </w:pPr>
    </w:p>
    <w:p>
      <w:pPr>
        <w:jc w:val="both"/>
        <w:spacing w:after="0" w:line="288" w:lineRule="auto"/>
        <w:rPr>
          <w:sz w:val="20"/>
          <w:szCs w:val="20"/>
          <w:color w:val="auto"/>
        </w:rPr>
      </w:pPr>
      <w:r>
        <w:rPr>
          <w:rFonts w:ascii="Arial" w:cs="Arial" w:eastAsia="Arial" w:hAnsi="Arial"/>
          <w:sz w:val="14"/>
          <w:szCs w:val="14"/>
          <w:color w:val="auto"/>
        </w:rPr>
        <w:t>As of March 31, 2019, the Company had cash and cash equivalents of $74.9 million. The Company also had a portfolio of available-for-sale investments, consisting primarily of student loan asset-backed securities, with a fair value of $52.7 million as of March 31, 2019.</w:t>
      </w:r>
    </w:p>
    <w:p>
      <w:pPr>
        <w:spacing w:after="0" w:line="88" w:lineRule="exact"/>
        <w:rPr>
          <w:sz w:val="20"/>
          <w:szCs w:val="20"/>
          <w:color w:val="auto"/>
        </w:rPr>
      </w:pPr>
    </w:p>
    <w:p>
      <w:pPr>
        <w:jc w:val="both"/>
        <w:spacing w:after="0" w:line="272" w:lineRule="auto"/>
        <w:rPr>
          <w:sz w:val="20"/>
          <w:szCs w:val="20"/>
          <w:color w:val="auto"/>
        </w:rPr>
      </w:pPr>
      <w:r>
        <w:rPr>
          <w:rFonts w:ascii="Arial" w:cs="Arial" w:eastAsia="Arial" w:hAnsi="Arial"/>
          <w:sz w:val="14"/>
          <w:szCs w:val="14"/>
          <w:color w:val="auto"/>
        </w:rPr>
        <w:t>The Company also has a $382.5 million unsecured line of credit that matures on June 22, 2023. As of March 31, 2019, there was $320.0 million outstanding on the unsecured line of credit and $62.5 million was available for future use. The line of credit provides that the Company may increase the aggregate financing commitments, through the existing lenders and/or through new lenders, up to a total of $400.0 million, subject to certain conditions.</w:t>
      </w:r>
    </w:p>
    <w:p>
      <w:pPr>
        <w:spacing w:after="0" w:line="99" w:lineRule="exact"/>
        <w:rPr>
          <w:sz w:val="20"/>
          <w:szCs w:val="20"/>
          <w:color w:val="auto"/>
        </w:rPr>
      </w:pPr>
    </w:p>
    <w:p>
      <w:pPr>
        <w:jc w:val="both"/>
        <w:spacing w:after="0" w:line="294" w:lineRule="auto"/>
        <w:rPr>
          <w:sz w:val="20"/>
          <w:szCs w:val="20"/>
          <w:color w:val="auto"/>
        </w:rPr>
      </w:pPr>
      <w:r>
        <w:rPr>
          <w:rFonts w:ascii="Arial" w:cs="Arial" w:eastAsia="Arial" w:hAnsi="Arial"/>
          <w:sz w:val="13"/>
          <w:szCs w:val="13"/>
          <w:color w:val="auto"/>
        </w:rPr>
        <w:t>In addition, the Company has repurchased certain of its own asset-backed securities (bonds and notes payable) in the secondary market. For accounting purposes, these notes are eliminated in consolidation and are not included in the Company's consolidated financial statements. However, these securities remain legally outstanding at the trust level and the Company could sell these notes to third parties or redeem the notes at par as cash is generated by the trust estate. Upon a sale of these notes to third parties, the Company would obtain cash proceeds equal to the market value of the notes on the date of such sale. As of March 31, 2019, the Company holds $15.0 million (par value) of its own asset-backed securities.</w:t>
      </w:r>
    </w:p>
    <w:p>
      <w:pPr>
        <w:spacing w:after="0" w:line="87" w:lineRule="exact"/>
        <w:rPr>
          <w:sz w:val="20"/>
          <w:szCs w:val="20"/>
          <w:color w:val="auto"/>
        </w:rPr>
      </w:pPr>
    </w:p>
    <w:p>
      <w:pPr>
        <w:jc w:val="both"/>
        <w:spacing w:after="0" w:line="272" w:lineRule="auto"/>
        <w:rPr>
          <w:sz w:val="20"/>
          <w:szCs w:val="20"/>
          <w:color w:val="auto"/>
        </w:rPr>
      </w:pPr>
      <w:r>
        <w:rPr>
          <w:rFonts w:ascii="Arial" w:cs="Arial" w:eastAsia="Arial" w:hAnsi="Arial"/>
          <w:sz w:val="14"/>
          <w:szCs w:val="14"/>
          <w:color w:val="auto"/>
        </w:rPr>
        <w:t>The Company intends to use its liquidity position to capitalize on market opportunities, including FFELP, private education, and consumer loan acquisitions; strategic acquisitions and investments; expansion of ALLO's telecommunications network; and capital management initiatives, including stock repurchases, debt repurchases, and dividend distributions. The timing and size of these opportunities will vary and will have a direct impact on the Company's cash and investment balances.</w:t>
      </w:r>
    </w:p>
    <w:p>
      <w:pPr>
        <w:spacing w:after="0" w:line="95"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Cash Flows</w:t>
      </w:r>
    </w:p>
    <w:p>
      <w:pPr>
        <w:spacing w:after="0" w:line="145" w:lineRule="exact"/>
        <w:rPr>
          <w:sz w:val="20"/>
          <w:szCs w:val="20"/>
          <w:color w:val="auto"/>
        </w:rPr>
      </w:pPr>
    </w:p>
    <w:p>
      <w:pPr>
        <w:jc w:val="both"/>
        <w:spacing w:after="0" w:line="272" w:lineRule="auto"/>
        <w:rPr>
          <w:sz w:val="20"/>
          <w:szCs w:val="20"/>
          <w:color w:val="auto"/>
        </w:rPr>
      </w:pPr>
      <w:r>
        <w:rPr>
          <w:rFonts w:ascii="Arial" w:cs="Arial" w:eastAsia="Arial" w:hAnsi="Arial"/>
          <w:sz w:val="14"/>
          <w:szCs w:val="14"/>
          <w:color w:val="auto"/>
        </w:rPr>
        <w:t>The Company has historically generated positive cash flow from operations. However, during the three months ended March 31, 2019, the Company used $139.7 million in operating activities, compared to generating $58.0 million from operating activities for the same period in 2018. The decrease in cash flows from operating activities for the three months ended March 31, 2019, as compared to the same period in 2018, was due to:</w:t>
      </w:r>
    </w:p>
    <w:p>
      <w:pPr>
        <w:spacing w:after="0" w:line="99" w:lineRule="exact"/>
        <w:rPr>
          <w:sz w:val="20"/>
          <w:szCs w:val="20"/>
          <w:color w:val="auto"/>
        </w:rPr>
      </w:pPr>
    </w:p>
    <w:p>
      <w:pPr>
        <w:ind w:left="1040" w:hanging="517"/>
        <w:spacing w:after="0"/>
        <w:tabs>
          <w:tab w:leader="none" w:pos="1040" w:val="left"/>
        </w:tabs>
        <w:numPr>
          <w:ilvl w:val="0"/>
          <w:numId w:val="30"/>
        </w:numPr>
        <w:rPr>
          <w:rFonts w:ascii="Arial" w:cs="Arial" w:eastAsia="Arial" w:hAnsi="Arial"/>
          <w:sz w:val="14"/>
          <w:szCs w:val="14"/>
          <w:color w:val="auto"/>
        </w:rPr>
      </w:pPr>
      <w:r>
        <w:rPr>
          <w:rFonts w:ascii="Arial" w:cs="Arial" w:eastAsia="Arial" w:hAnsi="Arial"/>
          <w:sz w:val="14"/>
          <w:szCs w:val="14"/>
          <w:color w:val="auto"/>
        </w:rPr>
        <w:t>The decrease in net income;</w:t>
      </w:r>
    </w:p>
    <w:p>
      <w:pPr>
        <w:spacing w:after="0" w:line="12" w:lineRule="exact"/>
        <w:rPr>
          <w:rFonts w:ascii="Arial" w:cs="Arial" w:eastAsia="Arial" w:hAnsi="Arial"/>
          <w:sz w:val="14"/>
          <w:szCs w:val="14"/>
          <w:color w:val="auto"/>
        </w:rPr>
      </w:pPr>
    </w:p>
    <w:p>
      <w:pPr>
        <w:ind w:left="1040" w:hanging="517"/>
        <w:spacing w:after="0"/>
        <w:tabs>
          <w:tab w:leader="none" w:pos="1040" w:val="left"/>
        </w:tabs>
        <w:numPr>
          <w:ilvl w:val="0"/>
          <w:numId w:val="30"/>
        </w:numPr>
        <w:rPr>
          <w:rFonts w:ascii="Arial" w:cs="Arial" w:eastAsia="Arial" w:hAnsi="Arial"/>
          <w:sz w:val="14"/>
          <w:szCs w:val="14"/>
          <w:color w:val="auto"/>
        </w:rPr>
      </w:pPr>
      <w:r>
        <w:rPr>
          <w:rFonts w:ascii="Arial" w:cs="Arial" w:eastAsia="Arial" w:hAnsi="Arial"/>
          <w:sz w:val="14"/>
          <w:szCs w:val="14"/>
          <w:color w:val="auto"/>
        </w:rPr>
        <w:t>The impact of changes to due to customers (as discussed further below);</w:t>
      </w:r>
    </w:p>
    <w:p>
      <w:pPr>
        <w:ind w:left="1040" w:hanging="517"/>
        <w:spacing w:after="0"/>
        <w:tabs>
          <w:tab w:leader="none" w:pos="1040" w:val="left"/>
        </w:tabs>
        <w:numPr>
          <w:ilvl w:val="0"/>
          <w:numId w:val="30"/>
        </w:numPr>
        <w:rPr>
          <w:rFonts w:ascii="Arial" w:cs="Arial" w:eastAsia="Arial" w:hAnsi="Arial"/>
          <w:sz w:val="14"/>
          <w:szCs w:val="14"/>
          <w:color w:val="auto"/>
        </w:rPr>
      </w:pPr>
      <w:r>
        <w:rPr>
          <w:rFonts w:ascii="Arial" w:cs="Arial" w:eastAsia="Arial" w:hAnsi="Arial"/>
          <w:sz w:val="14"/>
          <w:szCs w:val="14"/>
          <w:color w:val="auto"/>
        </w:rPr>
        <w:t>Adjustments to net income for the impact of deferred taxes;</w:t>
      </w:r>
    </w:p>
    <w:p>
      <w:pPr>
        <w:ind w:left="1040" w:hanging="517"/>
        <w:spacing w:after="0"/>
        <w:tabs>
          <w:tab w:leader="none" w:pos="1040" w:val="left"/>
        </w:tabs>
        <w:numPr>
          <w:ilvl w:val="0"/>
          <w:numId w:val="30"/>
        </w:numPr>
        <w:rPr>
          <w:rFonts w:ascii="Arial" w:cs="Arial" w:eastAsia="Arial" w:hAnsi="Arial"/>
          <w:sz w:val="13"/>
          <w:szCs w:val="13"/>
          <w:color w:val="auto"/>
        </w:rPr>
      </w:pPr>
      <w:r>
        <w:rPr>
          <w:rFonts w:ascii="Arial" w:cs="Arial" w:eastAsia="Arial" w:hAnsi="Arial"/>
          <w:sz w:val="13"/>
          <w:szCs w:val="13"/>
          <w:color w:val="auto"/>
        </w:rPr>
        <w:t>Net payments to the clearinghouse in 2019 of $14.0 million compared to net proceeds received in 2018 of $62.7 million related to the Company's derivative portfolio; and</w:t>
      </w:r>
    </w:p>
    <w:p>
      <w:pPr>
        <w:spacing w:after="0" w:line="20" w:lineRule="exact"/>
        <w:rPr>
          <w:rFonts w:ascii="Arial" w:cs="Arial" w:eastAsia="Arial" w:hAnsi="Arial"/>
          <w:sz w:val="13"/>
          <w:szCs w:val="13"/>
          <w:color w:val="auto"/>
        </w:rPr>
      </w:pPr>
    </w:p>
    <w:p>
      <w:pPr>
        <w:ind w:left="1040" w:hanging="517"/>
        <w:spacing w:after="0"/>
        <w:tabs>
          <w:tab w:leader="none" w:pos="1040" w:val="left"/>
        </w:tabs>
        <w:numPr>
          <w:ilvl w:val="0"/>
          <w:numId w:val="30"/>
        </w:numPr>
        <w:rPr>
          <w:rFonts w:ascii="Arial" w:cs="Arial" w:eastAsia="Arial" w:hAnsi="Arial"/>
          <w:sz w:val="14"/>
          <w:szCs w:val="14"/>
          <w:color w:val="auto"/>
        </w:rPr>
      </w:pPr>
      <w:r>
        <w:rPr>
          <w:rFonts w:ascii="Arial" w:cs="Arial" w:eastAsia="Arial" w:hAnsi="Arial"/>
          <w:sz w:val="14"/>
          <w:szCs w:val="14"/>
          <w:color w:val="auto"/>
        </w:rPr>
        <w:t>The impact of changes to accounts receivable and other assets during the three months ended March 31, 2019 as compared to the same period in 2018.</w:t>
      </w:r>
    </w:p>
    <w:p>
      <w:pPr>
        <w:spacing w:after="0" w:line="131" w:lineRule="exact"/>
        <w:rPr>
          <w:sz w:val="20"/>
          <w:szCs w:val="20"/>
          <w:color w:val="auto"/>
        </w:rPr>
      </w:pPr>
    </w:p>
    <w:p>
      <w:pPr>
        <w:spacing w:after="0"/>
        <w:rPr>
          <w:sz w:val="20"/>
          <w:szCs w:val="20"/>
          <w:color w:val="auto"/>
        </w:rPr>
      </w:pPr>
      <w:r>
        <w:rPr>
          <w:rFonts w:ascii="Arial" w:cs="Arial" w:eastAsia="Arial" w:hAnsi="Arial"/>
          <w:sz w:val="14"/>
          <w:szCs w:val="14"/>
          <w:color w:val="auto"/>
        </w:rPr>
        <w:t>These factors were partially offset by:</w:t>
      </w:r>
    </w:p>
    <w:p>
      <w:pPr>
        <w:spacing w:after="0" w:line="141" w:lineRule="exact"/>
        <w:rPr>
          <w:sz w:val="20"/>
          <w:szCs w:val="20"/>
          <w:color w:val="auto"/>
        </w:rPr>
      </w:pPr>
    </w:p>
    <w:p>
      <w:pPr>
        <w:ind w:left="1040" w:hanging="517"/>
        <w:spacing w:after="0"/>
        <w:tabs>
          <w:tab w:leader="none" w:pos="1040" w:val="left"/>
        </w:tabs>
        <w:numPr>
          <w:ilvl w:val="0"/>
          <w:numId w:val="31"/>
        </w:numPr>
        <w:rPr>
          <w:rFonts w:ascii="Arial" w:cs="Arial" w:eastAsia="Arial" w:hAnsi="Arial"/>
          <w:sz w:val="14"/>
          <w:szCs w:val="14"/>
          <w:color w:val="auto"/>
        </w:rPr>
      </w:pPr>
      <w:r>
        <w:rPr>
          <w:rFonts w:ascii="Arial" w:cs="Arial" w:eastAsia="Arial" w:hAnsi="Arial"/>
          <w:sz w:val="14"/>
          <w:szCs w:val="14"/>
          <w:color w:val="auto"/>
        </w:rPr>
        <w:t>The adjustments to net income for derivative market value adjustments; and</w:t>
      </w:r>
    </w:p>
    <w:p>
      <w:pPr>
        <w:spacing w:after="0" w:line="12" w:lineRule="exact"/>
        <w:rPr>
          <w:rFonts w:ascii="Arial" w:cs="Arial" w:eastAsia="Arial" w:hAnsi="Arial"/>
          <w:sz w:val="14"/>
          <w:szCs w:val="14"/>
          <w:color w:val="auto"/>
        </w:rPr>
      </w:pPr>
    </w:p>
    <w:p>
      <w:pPr>
        <w:ind w:left="1040" w:hanging="517"/>
        <w:spacing w:after="0"/>
        <w:tabs>
          <w:tab w:leader="none" w:pos="1040" w:val="left"/>
        </w:tabs>
        <w:numPr>
          <w:ilvl w:val="0"/>
          <w:numId w:val="31"/>
        </w:numPr>
        <w:rPr>
          <w:rFonts w:ascii="Arial" w:cs="Arial" w:eastAsia="Arial" w:hAnsi="Arial"/>
          <w:sz w:val="14"/>
          <w:szCs w:val="14"/>
          <w:color w:val="auto"/>
        </w:rPr>
      </w:pPr>
      <w:r>
        <w:rPr>
          <w:rFonts w:ascii="Arial" w:cs="Arial" w:eastAsia="Arial" w:hAnsi="Arial"/>
          <w:sz w:val="14"/>
          <w:szCs w:val="14"/>
          <w:color w:val="auto"/>
        </w:rPr>
        <w:t>The impact of changes to accrued interest receivable and other liabilities during the three months ended March 31, 2019 as compared to the same period in 2018.</w:t>
      </w:r>
    </w:p>
    <w:p>
      <w:pPr>
        <w:spacing w:after="0" w:line="129" w:lineRule="exact"/>
        <w:rPr>
          <w:sz w:val="20"/>
          <w:szCs w:val="20"/>
          <w:color w:val="auto"/>
        </w:rPr>
      </w:pPr>
    </w:p>
    <w:p>
      <w:pPr>
        <w:jc w:val="both"/>
        <w:spacing w:after="0" w:line="263" w:lineRule="auto"/>
        <w:rPr>
          <w:sz w:val="20"/>
          <w:szCs w:val="20"/>
          <w:color w:val="auto"/>
        </w:rPr>
      </w:pPr>
      <w:r>
        <w:rPr>
          <w:rFonts w:ascii="Arial" w:cs="Arial" w:eastAsia="Arial" w:hAnsi="Arial"/>
          <w:sz w:val="14"/>
          <w:szCs w:val="14"/>
          <w:color w:val="auto"/>
        </w:rPr>
        <w:t>As part of the Company’s Education Technology, Services, and Payment Processing operating segment, the Company collects tuition payments and subsequently remits these payments to the appropriate schools. Cash collected for customers and the related liability are included in the Company’s consolidated balance sheet. These accounts fluctuate with the fall and spring school terms based on the timing of when the Company collects tuition payments from customers and remits such payments to schools, resulting in these balances being significantly lower as of March 31 as compared to the balances as of December 31. The acquisition of TMS in November 2018 increased the magnitude of the change in these account balances. The “due to customers” liability account decreased $153.2 million for the three months ended March 31, 2019 as compared to decreasing $58.6 million for the same period in 2018. These decreases negatively impacted cash provided by/used in operating activities in the Company’s consolidated statements of cash flows for these periods.</w:t>
      </w:r>
    </w:p>
    <w:p>
      <w:pPr>
        <w:spacing w:after="0" w:line="200" w:lineRule="exact"/>
        <w:rPr>
          <w:sz w:val="20"/>
          <w:szCs w:val="20"/>
          <w:color w:val="auto"/>
        </w:rPr>
      </w:pPr>
    </w:p>
    <w:p>
      <w:pPr>
        <w:spacing w:after="0" w:line="347"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48</w:t>
      </w:r>
    </w:p>
    <w:p>
      <w:pPr>
        <w:sectPr>
          <w:pgSz w:w="11900" w:h="16838" w:orient="portrait"/>
          <w:cols w:equalWidth="0" w:num="1">
            <w:col w:w="11460"/>
          </w:cols>
          <w:pgMar w:left="220" w:top="739" w:right="219" w:bottom="1440" w:gutter="0" w:footer="0" w:header="0"/>
        </w:sectPr>
      </w:pPr>
    </w:p>
    <w:bookmarkStart w:id="49" w:name="page50"/>
    <w:bookmarkEnd w:id="49"/>
    <w:p>
      <w:pPr>
        <w:jc w:val="both"/>
        <w:spacing w:after="0" w:line="267" w:lineRule="auto"/>
        <w:rPr>
          <w:sz w:val="20"/>
          <w:szCs w:val="20"/>
          <w:color w:val="auto"/>
        </w:rPr>
      </w:pPr>
      <w:r>
        <w:rPr>
          <w:rFonts w:ascii="Arial" w:cs="Arial" w:eastAsia="Arial" w:hAnsi="Arial"/>
          <w:sz w:val="14"/>
          <w:szCs w:val="14"/>
          <w:color w:val="auto"/>
        </w:rPr>
        <w:t>The primary items included in the statement of cash flows for investing activities are the purchase and repayment of loans. The primary items included in financing activities are the proceeds from the issuance of and payments on bonds and notes payable used to fund loans. Cash provided by investing activities and used in financing activities for the three months ended March 31, 2019 was $386.3 million and $387.4 million, respectively. Cash provided by investing activities and used in financing activities for the three months ended March 31, 2018 was $102.3 million and $177.1 million, respectively. Investing and financing activities are further addressed in the discussion that follows.</w:t>
      </w:r>
    </w:p>
    <w:p>
      <w:pPr>
        <w:spacing w:after="0" w:line="99" w:lineRule="exact"/>
        <w:rPr>
          <w:sz w:val="20"/>
          <w:szCs w:val="20"/>
          <w:color w:val="auto"/>
        </w:rPr>
      </w:pPr>
    </w:p>
    <w:p>
      <w:pPr>
        <w:ind w:right="3720"/>
        <w:spacing w:after="0" w:line="490" w:lineRule="auto"/>
        <w:rPr>
          <w:sz w:val="20"/>
          <w:szCs w:val="20"/>
          <w:color w:val="auto"/>
        </w:rPr>
      </w:pPr>
      <w:r>
        <w:rPr>
          <w:rFonts w:ascii="Arial" w:cs="Arial" w:eastAsia="Arial" w:hAnsi="Arial"/>
          <w:sz w:val="12"/>
          <w:szCs w:val="12"/>
          <w:b w:val="1"/>
          <w:bCs w:val="1"/>
          <w:color w:val="auto"/>
        </w:rPr>
        <w:t xml:space="preserve">Liquidity Needs and Sources of Liquidity Available to Satisfy Debt Obligations Secured by Loan Assets and Related Collateral </w:t>
      </w:r>
      <w:r>
        <w:rPr>
          <w:rFonts w:ascii="Arial" w:cs="Arial" w:eastAsia="Arial" w:hAnsi="Arial"/>
          <w:sz w:val="12"/>
          <w:szCs w:val="12"/>
          <w:color w:val="auto"/>
        </w:rPr>
        <w:t>The following table shows the Company's debt obligations outstanding that are secured by loan assets and related collateral.</w:t>
      </w:r>
    </w:p>
    <w:p>
      <w:pPr>
        <w:spacing w:after="0" w:line="1" w:lineRule="exact"/>
        <w:rPr>
          <w:sz w:val="20"/>
          <w:szCs w:val="20"/>
          <w:color w:val="auto"/>
        </w:rPr>
      </w:pPr>
    </w:p>
    <w:tbl>
      <w:tblPr>
        <w:tblLayout w:type="fixed"/>
        <w:tblInd w:w="980" w:type="dxa"/>
        <w:tblCellMar>
          <w:top w:w="0" w:type="dxa"/>
          <w:left w:w="0" w:type="dxa"/>
          <w:bottom w:w="0" w:type="dxa"/>
          <w:right w:w="0" w:type="dxa"/>
        </w:tblCellMar>
      </w:tblPr>
      <w:tr>
        <w:trPr>
          <w:trHeight w:val="167"/>
        </w:trPr>
        <w:tc>
          <w:tcPr>
            <w:tcW w:w="54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820" w:type="dxa"/>
            <w:vAlign w:val="bottom"/>
            <w:gridSpan w:val="3"/>
          </w:tcPr>
          <w:p>
            <w:pPr>
              <w:ind w:left="1160"/>
              <w:spacing w:after="0"/>
              <w:rPr>
                <w:sz w:val="20"/>
                <w:szCs w:val="20"/>
                <w:color w:val="auto"/>
              </w:rPr>
            </w:pPr>
            <w:r>
              <w:rPr>
                <w:rFonts w:ascii="Arial" w:cs="Arial" w:eastAsia="Arial" w:hAnsi="Arial"/>
                <w:sz w:val="13"/>
                <w:szCs w:val="13"/>
                <w:b w:val="1"/>
                <w:bCs w:val="1"/>
                <w:color w:val="auto"/>
              </w:rPr>
              <w:t>As of March 31, 2019</w:t>
            </w:r>
          </w:p>
        </w:tc>
      </w:tr>
      <w:tr>
        <w:trPr>
          <w:trHeight w:val="27"/>
        </w:trPr>
        <w:tc>
          <w:tcPr>
            <w:tcW w:w="54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00" w:type="dxa"/>
            <w:vAlign w:val="bottom"/>
            <w:tcBorders>
              <w:bottom w:val="single" w:sz="8" w:color="auto"/>
            </w:tcBorders>
          </w:tcPr>
          <w:p>
            <w:pPr>
              <w:spacing w:after="0"/>
              <w:rPr>
                <w:sz w:val="2"/>
                <w:szCs w:val="2"/>
                <w:color w:val="auto"/>
              </w:rPr>
            </w:pPr>
          </w:p>
        </w:tc>
      </w:tr>
      <w:tr>
        <w:trPr>
          <w:trHeight w:val="193"/>
        </w:trPr>
        <w:tc>
          <w:tcPr>
            <w:tcW w:w="540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720" w:type="dxa"/>
            <w:vAlign w:val="bottom"/>
            <w:tcBorders>
              <w:bottom w:val="single" w:sz="8" w:color="auto"/>
            </w:tcBorders>
          </w:tcPr>
          <w:p>
            <w:pPr>
              <w:jc w:val="right"/>
              <w:ind w:right="475"/>
              <w:spacing w:after="0"/>
              <w:rPr>
                <w:sz w:val="20"/>
                <w:szCs w:val="20"/>
                <w:color w:val="auto"/>
              </w:rPr>
            </w:pPr>
            <w:r>
              <w:rPr>
                <w:rFonts w:ascii="Arial" w:cs="Arial" w:eastAsia="Arial" w:hAnsi="Arial"/>
                <w:sz w:val="13"/>
                <w:szCs w:val="13"/>
                <w:b w:val="1"/>
                <w:bCs w:val="1"/>
                <w:color w:val="auto"/>
              </w:rPr>
              <w:t>Carrying amount</w:t>
            </w:r>
          </w:p>
        </w:tc>
        <w:tc>
          <w:tcPr>
            <w:tcW w:w="100" w:type="dxa"/>
            <w:vAlign w:val="bottom"/>
            <w:tcBorders>
              <w:bottom w:val="single" w:sz="8" w:color="CCEEFF"/>
            </w:tcBorders>
          </w:tcPr>
          <w:p>
            <w:pPr>
              <w:spacing w:after="0"/>
              <w:rPr>
                <w:sz w:val="16"/>
                <w:szCs w:val="16"/>
                <w:color w:val="auto"/>
              </w:rPr>
            </w:pPr>
          </w:p>
        </w:tc>
        <w:tc>
          <w:tcPr>
            <w:tcW w:w="2000" w:type="dxa"/>
            <w:vAlign w:val="bottom"/>
            <w:tcBorders>
              <w:bottom w:val="single" w:sz="8" w:color="auto"/>
            </w:tcBorders>
          </w:tcPr>
          <w:p>
            <w:pPr>
              <w:ind w:left="600"/>
              <w:spacing w:after="0"/>
              <w:rPr>
                <w:sz w:val="20"/>
                <w:szCs w:val="20"/>
                <w:color w:val="auto"/>
              </w:rPr>
            </w:pPr>
            <w:r>
              <w:rPr>
                <w:rFonts w:ascii="Arial" w:cs="Arial" w:eastAsia="Arial" w:hAnsi="Arial"/>
                <w:sz w:val="13"/>
                <w:szCs w:val="13"/>
                <w:b w:val="1"/>
                <w:bCs w:val="1"/>
                <w:color w:val="auto"/>
              </w:rPr>
              <w:t>Final maturity</w:t>
            </w:r>
          </w:p>
        </w:tc>
      </w:tr>
      <w:tr>
        <w:trPr>
          <w:trHeight w:val="178"/>
        </w:trPr>
        <w:tc>
          <w:tcPr>
            <w:tcW w:w="54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Bonds and notes issued in asset-backed securitizations</w:t>
            </w:r>
          </w:p>
        </w:tc>
        <w:tc>
          <w:tcPr>
            <w:tcW w:w="300" w:type="dxa"/>
            <w:vAlign w:val="bottom"/>
            <w:tcBorders>
              <w:bottom w:val="single" w:sz="8" w:color="CCEEFF"/>
            </w:tcBorders>
            <w:shd w:val="clear" w:color="auto" w:fill="CCEEFF"/>
          </w:tcPr>
          <w:p>
            <w:pPr>
              <w:jc w:val="right"/>
              <w:ind w:right="192"/>
              <w:spacing w:after="0"/>
              <w:rPr>
                <w:sz w:val="20"/>
                <w:szCs w:val="20"/>
                <w:color w:val="auto"/>
              </w:rPr>
            </w:pPr>
            <w:r>
              <w:rPr>
                <w:rFonts w:ascii="Arial" w:cs="Arial" w:eastAsia="Arial" w:hAnsi="Arial"/>
                <w:sz w:val="10"/>
                <w:szCs w:val="10"/>
                <w:color w:val="auto"/>
                <w:w w:val="71"/>
              </w:rPr>
              <w:t>$</w:t>
            </w:r>
          </w:p>
        </w:tc>
        <w:tc>
          <w:tcPr>
            <w:tcW w:w="1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20,862,951</w:t>
            </w:r>
          </w:p>
        </w:tc>
        <w:tc>
          <w:tcPr>
            <w:tcW w:w="2100" w:type="dxa"/>
            <w:vAlign w:val="bottom"/>
            <w:tcBorders>
              <w:bottom w:val="single" w:sz="8" w:color="CCEEFF"/>
            </w:tcBorders>
            <w:gridSpan w:val="2"/>
            <w:shd w:val="clear" w:color="auto" w:fill="CCEEFF"/>
          </w:tcPr>
          <w:p>
            <w:pPr>
              <w:jc w:val="right"/>
              <w:ind w:right="455"/>
              <w:spacing w:after="0"/>
              <w:rPr>
                <w:sz w:val="20"/>
                <w:szCs w:val="20"/>
                <w:color w:val="auto"/>
              </w:rPr>
            </w:pPr>
            <w:r>
              <w:rPr>
                <w:rFonts w:ascii="Arial" w:cs="Arial" w:eastAsia="Arial" w:hAnsi="Arial"/>
                <w:sz w:val="13"/>
                <w:szCs w:val="13"/>
                <w:color w:val="auto"/>
              </w:rPr>
              <w:t>11/25/24 - 4/25/67</w:t>
            </w:r>
          </w:p>
        </w:tc>
      </w:tr>
      <w:tr>
        <w:trPr>
          <w:trHeight w:val="178"/>
        </w:trPr>
        <w:tc>
          <w:tcPr>
            <w:tcW w:w="5400" w:type="dxa"/>
            <w:vAlign w:val="bottom"/>
          </w:tcPr>
          <w:p>
            <w:pPr>
              <w:spacing w:after="0"/>
              <w:rPr>
                <w:sz w:val="20"/>
                <w:szCs w:val="20"/>
                <w:color w:val="auto"/>
              </w:rPr>
            </w:pPr>
            <w:r>
              <w:rPr>
                <w:rFonts w:ascii="Arial" w:cs="Arial" w:eastAsia="Arial" w:hAnsi="Arial"/>
                <w:sz w:val="13"/>
                <w:szCs w:val="13"/>
                <w:color w:val="auto"/>
              </w:rPr>
              <w:t>FFELP and consumer loan warehouse facilities</w:t>
            </w:r>
          </w:p>
        </w:tc>
        <w:tc>
          <w:tcPr>
            <w:tcW w:w="300" w:type="dxa"/>
            <w:vAlign w:val="bottom"/>
          </w:tcPr>
          <w:p>
            <w:pPr>
              <w:spacing w:after="0"/>
              <w:rPr>
                <w:sz w:val="15"/>
                <w:szCs w:val="15"/>
                <w:color w:val="auto"/>
              </w:rPr>
            </w:pPr>
          </w:p>
        </w:tc>
        <w:tc>
          <w:tcPr>
            <w:tcW w:w="1720" w:type="dxa"/>
            <w:vAlign w:val="bottom"/>
          </w:tcPr>
          <w:p>
            <w:pPr>
              <w:jc w:val="right"/>
              <w:spacing w:after="0"/>
              <w:rPr>
                <w:sz w:val="20"/>
                <w:szCs w:val="20"/>
                <w:color w:val="auto"/>
              </w:rPr>
            </w:pPr>
            <w:r>
              <w:rPr>
                <w:rFonts w:ascii="Arial" w:cs="Arial" w:eastAsia="Arial" w:hAnsi="Arial"/>
                <w:sz w:val="13"/>
                <w:szCs w:val="13"/>
                <w:color w:val="auto"/>
              </w:rPr>
              <w:t>856,390</w:t>
            </w:r>
          </w:p>
        </w:tc>
        <w:tc>
          <w:tcPr>
            <w:tcW w:w="2100" w:type="dxa"/>
            <w:vAlign w:val="bottom"/>
            <w:gridSpan w:val="2"/>
          </w:tcPr>
          <w:p>
            <w:pPr>
              <w:jc w:val="right"/>
              <w:ind w:right="495"/>
              <w:spacing w:after="0"/>
              <w:rPr>
                <w:sz w:val="20"/>
                <w:szCs w:val="20"/>
                <w:color w:val="auto"/>
              </w:rPr>
            </w:pPr>
            <w:r>
              <w:rPr>
                <w:rFonts w:ascii="Arial" w:cs="Arial" w:eastAsia="Arial" w:hAnsi="Arial"/>
                <w:sz w:val="13"/>
                <w:szCs w:val="13"/>
                <w:color w:val="auto"/>
              </w:rPr>
              <w:t>5/20/20 / 1/10/22</w:t>
            </w:r>
          </w:p>
        </w:tc>
      </w:tr>
      <w:tr>
        <w:trPr>
          <w:trHeight w:val="27"/>
        </w:trPr>
        <w:tc>
          <w:tcPr>
            <w:tcW w:w="54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0" w:type="dxa"/>
            <w:vAlign w:val="bottom"/>
            <w:tcBorders>
              <w:bottom w:val="single" w:sz="8" w:color="CCEEFF"/>
            </w:tcBorders>
          </w:tcPr>
          <w:p>
            <w:pPr>
              <w:spacing w:after="0"/>
              <w:rPr>
                <w:sz w:val="2"/>
                <w:szCs w:val="2"/>
                <w:color w:val="auto"/>
              </w:rPr>
            </w:pPr>
          </w:p>
        </w:tc>
      </w:tr>
      <w:tr>
        <w:trPr>
          <w:trHeight w:val="221"/>
        </w:trPr>
        <w:tc>
          <w:tcPr>
            <w:tcW w:w="5400" w:type="dxa"/>
            <w:vAlign w:val="bottom"/>
            <w:tcBorders>
              <w:bottom w:val="single" w:sz="8" w:color="CCEEFF"/>
            </w:tcBorders>
            <w:shd w:val="clear" w:color="auto" w:fill="CCEEFF"/>
          </w:tcPr>
          <w:p>
            <w:pPr>
              <w:spacing w:after="0"/>
              <w:rPr>
                <w:sz w:val="18"/>
                <w:szCs w:val="18"/>
                <w:color w:val="auto"/>
              </w:rPr>
            </w:pPr>
          </w:p>
        </w:tc>
        <w:tc>
          <w:tcPr>
            <w:tcW w:w="300" w:type="dxa"/>
            <w:vAlign w:val="bottom"/>
            <w:tcBorders>
              <w:bottom w:val="single" w:sz="8" w:color="CCEEFF"/>
            </w:tcBorders>
            <w:shd w:val="clear" w:color="auto" w:fill="CCEEFF"/>
          </w:tcPr>
          <w:p>
            <w:pPr>
              <w:jc w:val="right"/>
              <w:ind w:right="192"/>
              <w:spacing w:after="0"/>
              <w:rPr>
                <w:sz w:val="20"/>
                <w:szCs w:val="20"/>
                <w:color w:val="auto"/>
              </w:rPr>
            </w:pPr>
            <w:r>
              <w:rPr>
                <w:rFonts w:ascii="Arial" w:cs="Arial" w:eastAsia="Arial" w:hAnsi="Arial"/>
                <w:sz w:val="10"/>
                <w:szCs w:val="10"/>
                <w:color w:val="auto"/>
                <w:w w:val="71"/>
              </w:rPr>
              <w:t>$</w:t>
            </w:r>
          </w:p>
        </w:tc>
        <w:tc>
          <w:tcPr>
            <w:tcW w:w="1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21,719,341</w:t>
            </w:r>
          </w:p>
        </w:tc>
        <w:tc>
          <w:tcPr>
            <w:tcW w:w="100" w:type="dxa"/>
            <w:vAlign w:val="bottom"/>
            <w:tcBorders>
              <w:bottom w:val="single" w:sz="8" w:color="CCEEFF"/>
            </w:tcBorders>
            <w:shd w:val="clear" w:color="auto" w:fill="CCEEFF"/>
          </w:tcPr>
          <w:p>
            <w:pPr>
              <w:spacing w:after="0"/>
              <w:rPr>
                <w:sz w:val="18"/>
                <w:szCs w:val="18"/>
                <w:color w:val="auto"/>
              </w:rPr>
            </w:pPr>
          </w:p>
        </w:tc>
        <w:tc>
          <w:tcPr>
            <w:tcW w:w="2000" w:type="dxa"/>
            <w:vAlign w:val="bottom"/>
            <w:tcBorders>
              <w:bottom w:val="single" w:sz="8" w:color="CCEEFF"/>
            </w:tcBorders>
            <w:shd w:val="clear" w:color="auto" w:fill="CCEEFF"/>
          </w:tcPr>
          <w:p>
            <w:pPr>
              <w:spacing w:after="0"/>
              <w:rPr>
                <w:sz w:val="18"/>
                <w:szCs w:val="18"/>
                <w:color w:val="auto"/>
              </w:rPr>
            </w:pPr>
          </w:p>
        </w:tc>
      </w:tr>
      <w:tr>
        <w:trPr>
          <w:trHeight w:val="20"/>
        </w:trPr>
        <w:tc>
          <w:tcPr>
            <w:tcW w:w="54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7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0" w:type="dxa"/>
            <w:vAlign w:val="bottom"/>
            <w:tcBorders>
              <w:top w:val="single" w:sz="8" w:color="CCEEFF"/>
            </w:tcBorders>
          </w:tcPr>
          <w:p>
            <w:pPr>
              <w:spacing w:after="0" w:line="20" w:lineRule="exact"/>
              <w:rPr>
                <w:sz w:val="1"/>
                <w:szCs w:val="1"/>
                <w:color w:val="auto"/>
              </w:rPr>
            </w:pPr>
          </w:p>
        </w:tc>
      </w:tr>
    </w:tbl>
    <w:p>
      <w:pPr>
        <w:spacing w:after="0" w:line="119" w:lineRule="exact"/>
        <w:rPr>
          <w:sz w:val="20"/>
          <w:szCs w:val="20"/>
          <w:color w:val="auto"/>
        </w:rPr>
      </w:pPr>
    </w:p>
    <w:p>
      <w:pPr>
        <w:spacing w:after="0"/>
        <w:rPr>
          <w:sz w:val="20"/>
          <w:szCs w:val="20"/>
          <w:color w:val="auto"/>
        </w:rPr>
      </w:pPr>
      <w:r>
        <w:rPr>
          <w:rFonts w:ascii="Arial" w:cs="Arial" w:eastAsia="Arial" w:hAnsi="Arial"/>
          <w:sz w:val="14"/>
          <w:szCs w:val="14"/>
          <w:b w:val="1"/>
          <w:bCs w:val="1"/>
          <w:i w:val="1"/>
          <w:iCs w:val="1"/>
          <w:color w:val="auto"/>
        </w:rPr>
        <w:t>Bonds and Notes Issued in Asset-backed Securitizations</w:t>
      </w:r>
    </w:p>
    <w:p>
      <w:pPr>
        <w:spacing w:after="0" w:line="141" w:lineRule="exact"/>
        <w:rPr>
          <w:sz w:val="20"/>
          <w:szCs w:val="20"/>
          <w:color w:val="auto"/>
        </w:rPr>
      </w:pPr>
    </w:p>
    <w:p>
      <w:pPr>
        <w:jc w:val="both"/>
        <w:spacing w:after="0" w:line="294" w:lineRule="auto"/>
        <w:rPr>
          <w:sz w:val="20"/>
          <w:szCs w:val="20"/>
          <w:color w:val="auto"/>
        </w:rPr>
      </w:pPr>
      <w:r>
        <w:rPr>
          <w:rFonts w:ascii="Arial" w:cs="Arial" w:eastAsia="Arial" w:hAnsi="Arial"/>
          <w:sz w:val="13"/>
          <w:szCs w:val="13"/>
          <w:color w:val="auto"/>
        </w:rPr>
        <w:t>The majority of the Company’s portfolio of student loans is funded in asset-backed securitizations that are structured to substantially match the maturity of the funded assets, thereby minimizing liquidity risk. Cash generated from student loans funded in asset-backed securitizations provide the sources of liquidity to satisfy all obligations related to the outstanding bonds and notes issued in such securitizations. In addition, due to (i) the difference between the yield the Company receives on the loans and cost of financing within these transactions, and (ii) the servicing and administration fees the Company earns from these transactions, the Company has created a portfolio that will generate earnings and significant cash flow over the life of these transactions.</w:t>
      </w:r>
    </w:p>
    <w:p>
      <w:pPr>
        <w:spacing w:after="0" w:line="87" w:lineRule="exact"/>
        <w:rPr>
          <w:sz w:val="20"/>
          <w:szCs w:val="20"/>
          <w:color w:val="auto"/>
        </w:rPr>
      </w:pPr>
    </w:p>
    <w:p>
      <w:pPr>
        <w:jc w:val="both"/>
        <w:spacing w:after="0" w:line="288" w:lineRule="auto"/>
        <w:rPr>
          <w:sz w:val="20"/>
          <w:szCs w:val="20"/>
          <w:color w:val="auto"/>
        </w:rPr>
      </w:pPr>
      <w:r>
        <w:rPr>
          <w:rFonts w:ascii="Arial" w:cs="Arial" w:eastAsia="Arial" w:hAnsi="Arial"/>
          <w:sz w:val="14"/>
          <w:szCs w:val="14"/>
          <w:color w:val="auto"/>
        </w:rPr>
        <w:t>As of March 31, 2019, based on cash flow models developed to reflect management’s current estimate of, among other factors, prepayments, defaults, deferment, forbearance, and interest rates, the Company currently expects future undiscounted cash flows from its portfolio to be approximately $2.16 billion as detailed below.</w:t>
      </w:r>
    </w:p>
    <w:p>
      <w:pPr>
        <w:spacing w:after="0" w:line="88" w:lineRule="exact"/>
        <w:rPr>
          <w:sz w:val="20"/>
          <w:szCs w:val="20"/>
          <w:color w:val="auto"/>
        </w:rPr>
      </w:pPr>
    </w:p>
    <w:p>
      <w:pPr>
        <w:jc w:val="both"/>
        <w:spacing w:after="0" w:line="302" w:lineRule="auto"/>
        <w:rPr>
          <w:sz w:val="20"/>
          <w:szCs w:val="20"/>
          <w:color w:val="auto"/>
        </w:rPr>
      </w:pPr>
      <w:r>
        <w:rPr>
          <w:rFonts w:ascii="Arial" w:cs="Arial" w:eastAsia="Arial" w:hAnsi="Arial"/>
          <w:sz w:val="13"/>
          <w:szCs w:val="13"/>
          <w:color w:val="auto"/>
        </w:rPr>
        <w:t>The forecasted cash flow presented below includes all loans funded in asset-backed securitizations as of March 31, 2019. As of March 31, 2019, the Company had $21.0 billion of loans included in asset-backed securitizations, which represented 95.3 percent of its total loan portfolio. The forecasted cash flow does not include cash flows that the Company expects to receive related to loans funded in its warehouse facilities as of March 31, 2019, private education and consumer loans funded with operating cash, and loans acquired subsequent to March 31, 2019.</w:t>
      </w:r>
    </w:p>
    <w:p>
      <w:pPr>
        <w:spacing w:after="0" w:line="200" w:lineRule="exact"/>
        <w:rPr>
          <w:sz w:val="20"/>
          <w:szCs w:val="20"/>
          <w:color w:val="auto"/>
        </w:rPr>
      </w:pPr>
    </w:p>
    <w:p>
      <w:pPr>
        <w:spacing w:after="0" w:line="281"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49</w:t>
      </w:r>
    </w:p>
    <w:p>
      <w:pPr>
        <w:sectPr>
          <w:pgSz w:w="11900" w:h="16838" w:orient="portrait"/>
          <w:cols w:equalWidth="0" w:num="1">
            <w:col w:w="11460"/>
          </w:cols>
          <w:pgMar w:left="220" w:top="743" w:right="219" w:bottom="1440" w:gutter="0" w:footer="0" w:header="0"/>
        </w:sectPr>
      </w:pPr>
    </w:p>
    <w:bookmarkStart w:id="50" w:name="page51"/>
    <w:bookmarkEnd w:id="50"/>
    <w:p>
      <w:pPr>
        <w:jc w:val="center"/>
        <w:spacing w:after="0"/>
        <w:rPr>
          <w:sz w:val="20"/>
          <w:szCs w:val="20"/>
          <w:color w:val="auto"/>
        </w:rPr>
      </w:pPr>
      <w:r>
        <w:rPr>
          <w:rFonts w:ascii="Arial" w:cs="Arial" w:eastAsia="Arial" w:hAnsi="Arial"/>
          <w:sz w:val="14"/>
          <w:szCs w:val="14"/>
          <w:b w:val="1"/>
          <w:bCs w:val="1"/>
          <w:color w:val="auto"/>
        </w:rPr>
        <w:t>Asset-backed Securitization Cash Flow Forecast</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$2.16 billion</w:t>
      </w:r>
    </w:p>
    <w:p>
      <w:pPr>
        <w:spacing w:after="0" w:line="11"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(dollars in millions)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1304290</wp:posOffset>
            </wp:positionH>
            <wp:positionV relativeFrom="paragraph">
              <wp:posOffset>8255</wp:posOffset>
            </wp:positionV>
            <wp:extent cx="4680585" cy="239522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4680585" cy="23952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jc w:val="both"/>
        <w:spacing w:after="0" w:line="267" w:lineRule="auto"/>
        <w:rPr>
          <w:sz w:val="20"/>
          <w:szCs w:val="20"/>
          <w:color w:val="auto"/>
        </w:rPr>
      </w:pPr>
      <w:r>
        <w:rPr>
          <w:rFonts w:ascii="Arial" w:cs="Arial" w:eastAsia="Arial" w:hAnsi="Arial"/>
          <w:sz w:val="14"/>
          <w:szCs w:val="14"/>
          <w:color w:val="auto"/>
        </w:rPr>
        <w:t>The forecasted future undiscounted cash flows of approximately $2.16 billion include approximately $1.32 billion (as of March 31, 2019) of overcollateralization included in the asset-backed securitizations. These excess net asset positions are reflected variously in the following balances in the consolidated balance sheet: "loans receivable," "restricted cash," and "accrued interest receivable." The difference between the total estimated future undiscounted cash flows and the overcollateralization of approximately $0.84 billion, or approximately $0.64 billion after income taxes based on the estimated effective tax rate, is expected to be accretive to the Company's March 31, 2019 balance of consolidated shareholders' equity.</w:t>
      </w:r>
    </w:p>
    <w:p>
      <w:pPr>
        <w:spacing w:after="0" w:line="103" w:lineRule="exact"/>
        <w:rPr>
          <w:sz w:val="20"/>
          <w:szCs w:val="20"/>
          <w:color w:val="auto"/>
        </w:rPr>
      </w:pPr>
    </w:p>
    <w:p>
      <w:pPr>
        <w:jc w:val="both"/>
        <w:spacing w:after="0" w:line="267" w:lineRule="auto"/>
        <w:rPr>
          <w:sz w:val="20"/>
          <w:szCs w:val="20"/>
          <w:color w:val="auto"/>
        </w:rPr>
      </w:pPr>
      <w:r>
        <w:rPr>
          <w:rFonts w:ascii="Arial" w:cs="Arial" w:eastAsia="Arial" w:hAnsi="Arial"/>
          <w:sz w:val="14"/>
          <w:szCs w:val="14"/>
          <w:color w:val="auto"/>
        </w:rPr>
        <w:t>Certain of the Company’s asset-backed securitizations are structured as “Turbo Transactions” which require all cash generated from the student loans (including excess spread) to be directed toward payment of interest and any outstanding principal generally until such time as all principal on the notes has been paid in full. Once the notes in such transactions are paid in full, the remaining unencumbered student loans (and other remaining assets, if any) in the securitization will be released to the Company, at which time the Company will have the option to refinance or sell these assets, or retain them on the balance sheet as unencumbered assets.</w:t>
      </w:r>
    </w:p>
    <w:p>
      <w:pPr>
        <w:spacing w:after="0" w:line="103" w:lineRule="exact"/>
        <w:rPr>
          <w:sz w:val="20"/>
          <w:szCs w:val="20"/>
          <w:color w:val="auto"/>
        </w:rPr>
      </w:pPr>
    </w:p>
    <w:p>
      <w:pPr>
        <w:jc w:val="both"/>
        <w:spacing w:after="0" w:line="289" w:lineRule="auto"/>
        <w:rPr>
          <w:sz w:val="20"/>
          <w:szCs w:val="20"/>
          <w:color w:val="auto"/>
        </w:rPr>
      </w:pPr>
      <w:r>
        <w:rPr>
          <w:rFonts w:ascii="Arial" w:cs="Arial" w:eastAsia="Arial" w:hAnsi="Arial"/>
          <w:sz w:val="13"/>
          <w:szCs w:val="13"/>
          <w:color w:val="auto"/>
        </w:rPr>
        <w:t>The estimated forecasted cash flow as of March 31, 2019 ($2.16 billion) increased $0.06 billion from the Company's estimated forecasted cash flow as of December 31, 2018 ($2.10 billion). This increase was due to additional estimated cash flows from the completion of an asset-backed securitization during the first quarter of 2019; a change in call mechanic assumptions regarding the Turbo Transactions that resulted in the estimated release of unencumbered assets from these transactions being deferred to later periods, resulting in additional estimated cash flows from assets included in these transactions; and a decrease in the forward yield curve, which increased the amount of expected fixed rate floor income to be earned on loans in the asset-backed securitizations. These amounts were partially offset by the amount of cash released from the asset-backed securitizations during the first quarter of 2019.</w:t>
      </w:r>
    </w:p>
    <w:p>
      <w:pPr>
        <w:spacing w:after="0" w:line="91" w:lineRule="exact"/>
        <w:rPr>
          <w:sz w:val="20"/>
          <w:szCs w:val="20"/>
          <w:color w:val="auto"/>
        </w:rPr>
      </w:pPr>
    </w:p>
    <w:p>
      <w:pPr>
        <w:spacing w:after="0"/>
        <w:rPr>
          <w:sz w:val="20"/>
          <w:szCs w:val="20"/>
          <w:color w:val="auto"/>
        </w:rPr>
      </w:pPr>
      <w:r>
        <w:rPr>
          <w:rFonts w:ascii="Arial" w:cs="Arial" w:eastAsia="Arial" w:hAnsi="Arial"/>
          <w:sz w:val="14"/>
          <w:szCs w:val="14"/>
          <w:color w:val="auto"/>
        </w:rPr>
        <w:t>The Company uses various assumptions, including prepayments and future interest rates, when preparing its cash flow forecast. These assumptions are further discussed below.</w:t>
      </w:r>
    </w:p>
    <w:p>
      <w:pPr>
        <w:spacing w:after="0" w:line="141" w:lineRule="exact"/>
        <w:rPr>
          <w:sz w:val="20"/>
          <w:szCs w:val="20"/>
          <w:color w:val="auto"/>
        </w:rPr>
      </w:pPr>
    </w:p>
    <w:p>
      <w:pPr>
        <w:jc w:val="both"/>
        <w:spacing w:after="0" w:line="264" w:lineRule="auto"/>
        <w:rPr>
          <w:sz w:val="20"/>
          <w:szCs w:val="20"/>
          <w:color w:val="auto"/>
        </w:rPr>
      </w:pPr>
      <w:r>
        <w:rPr>
          <w:rFonts w:ascii="Arial" w:cs="Arial" w:eastAsia="Arial" w:hAnsi="Arial"/>
          <w:sz w:val="14"/>
          <w:szCs w:val="14"/>
          <w:u w:val="single" w:color="auto"/>
          <w:color w:val="auto"/>
        </w:rPr>
        <w:t>Prepayments</w:t>
      </w:r>
      <w:r>
        <w:rPr>
          <w:rFonts w:ascii="Arial" w:cs="Arial" w:eastAsia="Arial" w:hAnsi="Arial"/>
          <w:sz w:val="14"/>
          <w:szCs w:val="14"/>
          <w:color w:val="auto"/>
        </w:rPr>
        <w:t>: The primary variable in establishing a life of loan estimate is the level and timing of prepayments. Prepayment rates equal the amount of loans that prepay annually as a percentage of the beginning of period balance, net of scheduled principal payments. A number of factors can affect estimated prepayment rates, including the level of consolidation activity, borrower default rates, and utilization of debt management options such as income-based repayment, deferments, and forbearance. Should any of these factors change, management may revise its assumptions, which in turn would impact the projected future cash flow. The Company’s cash flow forecast above assumes prepayment rates that are generally consistent with those utilized in the Company’s recent asset-backed securitization transactions. If management used a prepayment rate</w:t>
      </w:r>
    </w:p>
    <w:p>
      <w:pPr>
        <w:spacing w:after="0" w:line="200" w:lineRule="exact"/>
        <w:rPr>
          <w:sz w:val="20"/>
          <w:szCs w:val="20"/>
          <w:color w:val="auto"/>
        </w:rPr>
      </w:pPr>
    </w:p>
    <w:p>
      <w:pPr>
        <w:spacing w:after="0" w:line="348"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50</w:t>
      </w:r>
    </w:p>
    <w:p>
      <w:pPr>
        <w:sectPr>
          <w:pgSz w:w="11900" w:h="16838" w:orient="portrait"/>
          <w:cols w:equalWidth="0" w:num="1">
            <w:col w:w="11460"/>
          </w:cols>
          <w:pgMar w:left="220" w:top="739" w:right="219" w:bottom="1440" w:gutter="0" w:footer="0" w:header="0"/>
        </w:sectPr>
      </w:pPr>
    </w:p>
    <w:bookmarkStart w:id="51" w:name="page52"/>
    <w:bookmarkEnd w:id="51"/>
    <w:p>
      <w:pPr>
        <w:spacing w:after="0"/>
        <w:rPr>
          <w:sz w:val="20"/>
          <w:szCs w:val="20"/>
          <w:color w:val="auto"/>
        </w:rPr>
      </w:pPr>
      <w:r>
        <w:rPr>
          <w:rFonts w:ascii="Arial" w:cs="Arial" w:eastAsia="Arial" w:hAnsi="Arial"/>
          <w:sz w:val="14"/>
          <w:szCs w:val="14"/>
          <w:color w:val="auto"/>
        </w:rPr>
        <w:t>assumption two times greater than what was used to forecast the cash flow, the cash flow forecast would be reduced by approximately $130 million to $160 million.</w:t>
      </w:r>
    </w:p>
    <w:p>
      <w:pPr>
        <w:spacing w:after="0" w:line="141" w:lineRule="exact"/>
        <w:rPr>
          <w:sz w:val="20"/>
          <w:szCs w:val="20"/>
          <w:color w:val="auto"/>
        </w:rPr>
      </w:pPr>
    </w:p>
    <w:p>
      <w:pPr>
        <w:jc w:val="both"/>
        <w:spacing w:after="0" w:line="289" w:lineRule="auto"/>
        <w:rPr>
          <w:sz w:val="20"/>
          <w:szCs w:val="20"/>
          <w:color w:val="auto"/>
        </w:rPr>
      </w:pPr>
      <w:r>
        <w:rPr>
          <w:rFonts w:ascii="Arial" w:cs="Arial" w:eastAsia="Arial" w:hAnsi="Arial"/>
          <w:sz w:val="13"/>
          <w:szCs w:val="13"/>
          <w:u w:val="single" w:color="auto"/>
          <w:color w:val="auto"/>
        </w:rPr>
        <w:t>Interest rates</w:t>
      </w:r>
      <w:r>
        <w:rPr>
          <w:rFonts w:ascii="Arial" w:cs="Arial" w:eastAsia="Arial" w:hAnsi="Arial"/>
          <w:sz w:val="13"/>
          <w:szCs w:val="13"/>
          <w:color w:val="auto"/>
        </w:rPr>
        <w:t>: The Company funds a large portion of its student loans with three-month LIBOR indexed floating rate securities. Meanwhile, the interest earned on the Company’s student loan assets is indexed primarily to a one-month LIBOR rate. The different interest rate characteristics of the Company’s loan assets and liabilities funding these assets result in basis risk. The Company’s cash flow forecast assumes three-month LIBOR will exceed one-month LIBOR by 12 basis points for the life of the portfolio, which approximates the historical relationship between these indices. If the forecast is computed assuming a spread of 24 basis points between three-month and one-month LIBOR for the life of the portfolio, the cash flow forecast would be reduced by approximately $100 million to $120 million. As the percentage of the Company's outstanding debt financed by three-month LIBOR declines, the Company's basis risk will be reduced.</w:t>
      </w:r>
    </w:p>
    <w:p>
      <w:pPr>
        <w:spacing w:after="0" w:line="91" w:lineRule="exact"/>
        <w:rPr>
          <w:sz w:val="20"/>
          <w:szCs w:val="20"/>
          <w:color w:val="auto"/>
        </w:rPr>
      </w:pPr>
    </w:p>
    <w:p>
      <w:pPr>
        <w:jc w:val="both"/>
        <w:spacing w:after="0" w:line="272" w:lineRule="auto"/>
        <w:rPr>
          <w:sz w:val="20"/>
          <w:szCs w:val="20"/>
          <w:color w:val="auto"/>
        </w:rPr>
      </w:pPr>
      <w:r>
        <w:rPr>
          <w:rFonts w:ascii="Arial" w:cs="Arial" w:eastAsia="Arial" w:hAnsi="Arial"/>
          <w:sz w:val="14"/>
          <w:szCs w:val="14"/>
          <w:color w:val="auto"/>
        </w:rPr>
        <w:t>There is significant uncertainty regarding the availability of LIBOR as a benchmark rate after 2021, and any market transition away from the current LIBOR framework could result in significant changes to the forecasted cash flows from the Company's asset-backed securitizations. See Item 1A, "Risk Factors - Loan Portfolio - Interest rate risk - replacement of LIBOR as a benchmark rate" in the Company's 2018 Annual Report.</w:t>
      </w:r>
    </w:p>
    <w:p>
      <w:pPr>
        <w:spacing w:after="0" w:line="99" w:lineRule="exact"/>
        <w:rPr>
          <w:sz w:val="20"/>
          <w:szCs w:val="20"/>
          <w:color w:val="auto"/>
        </w:rPr>
      </w:pPr>
    </w:p>
    <w:p>
      <w:pPr>
        <w:jc w:val="both"/>
        <w:spacing w:after="0" w:line="267" w:lineRule="auto"/>
        <w:rPr>
          <w:sz w:val="20"/>
          <w:szCs w:val="20"/>
          <w:color w:val="auto"/>
        </w:rPr>
      </w:pPr>
      <w:r>
        <w:rPr>
          <w:rFonts w:ascii="Arial" w:cs="Arial" w:eastAsia="Arial" w:hAnsi="Arial"/>
          <w:sz w:val="14"/>
          <w:szCs w:val="14"/>
          <w:color w:val="auto"/>
        </w:rPr>
        <w:t>The Company uses the current forward interest rate yield curve to forecast cash flows. A change in the forward interest rate curve would impact the future cash flows generated from the portfolio. An increase in future interest rates will reduce the amount of fixed rate floor income the Company is currently receiving. The Company attempts to mitigate the impact of a rise in short-term rates by hedging interest rate risks. The forecasted cash flow does not include cash flows the Company expects to pay/receive related to derivative instruments used by the Company to manage interest rate risk. See Item 3, "Quantitative and Qualitative Disclosures About Market Risk — Interest Rate Risk."</w:t>
      </w:r>
    </w:p>
    <w:p>
      <w:pPr>
        <w:spacing w:after="0" w:line="103" w:lineRule="exact"/>
        <w:rPr>
          <w:sz w:val="20"/>
          <w:szCs w:val="20"/>
          <w:color w:val="auto"/>
        </w:rPr>
      </w:pPr>
    </w:p>
    <w:p>
      <w:pPr>
        <w:spacing w:after="0"/>
        <w:rPr>
          <w:sz w:val="20"/>
          <w:szCs w:val="20"/>
          <w:color w:val="auto"/>
        </w:rPr>
      </w:pPr>
      <w:r>
        <w:rPr>
          <w:rFonts w:ascii="Arial" w:cs="Arial" w:eastAsia="Arial" w:hAnsi="Arial"/>
          <w:sz w:val="14"/>
          <w:szCs w:val="14"/>
          <w:b w:val="1"/>
          <w:bCs w:val="1"/>
          <w:i w:val="1"/>
          <w:iCs w:val="1"/>
          <w:color w:val="auto"/>
        </w:rPr>
        <w:t>FFELP and Consumer Loan Warehouse Facilities</w:t>
      </w:r>
    </w:p>
    <w:p>
      <w:pPr>
        <w:spacing w:after="0" w:line="141" w:lineRule="exact"/>
        <w:rPr>
          <w:sz w:val="20"/>
          <w:szCs w:val="20"/>
          <w:color w:val="auto"/>
        </w:rPr>
      </w:pPr>
    </w:p>
    <w:p>
      <w:pPr>
        <w:jc w:val="both"/>
        <w:spacing w:after="0" w:line="261" w:lineRule="auto"/>
        <w:rPr>
          <w:sz w:val="20"/>
          <w:szCs w:val="20"/>
          <w:color w:val="auto"/>
        </w:rPr>
      </w:pPr>
      <w:r>
        <w:rPr>
          <w:rFonts w:ascii="Arial" w:cs="Arial" w:eastAsia="Arial" w:hAnsi="Arial"/>
          <w:sz w:val="14"/>
          <w:szCs w:val="14"/>
          <w:color w:val="auto"/>
        </w:rPr>
        <w:t>The Company funds a portion of its FFELP loan acquisitions using its FFELP warehouse facilities. Student loan warehousing allows the Company to buy and manage student loans prior to transferring them into more permanent financing arrangements. As of March 31, 2019, the Company had two FFELP warehouse facilities with an aggregate maximum financing amount available of $1.00 billion, of which $0.79 billion was outstanding, and $0.21 billion was available for additional funding. One warehouse facility has a static advance rate until the expiration date of the liquidity provisions (May 20, 2019). In the event the liquidity provisions are not extended, the valuation agent has the right to perform a one-time mark to market on the underlying loans funded in this facility, subject to a floor. The loans would then be funded at this new advance rate until the final maturity date of the facility (May 20, 2020). The other warehouse facility has static advance rates that requires initial equity for loan funding and does not require increased equity based on market movements. As of March 31, 2019, the Company had $50.6 million advanced as equity support on these facilities. For further discussion of the Company's FFELP warehouse facilities outstanding at March 31, 2019, see note 3 of the notes to consolidated financial statements included under Part I, Item 1 of this report.</w:t>
      </w:r>
    </w:p>
    <w:p>
      <w:pPr>
        <w:spacing w:after="0" w:line="108" w:lineRule="exact"/>
        <w:rPr>
          <w:sz w:val="20"/>
          <w:szCs w:val="20"/>
          <w:color w:val="auto"/>
        </w:rPr>
      </w:pPr>
    </w:p>
    <w:p>
      <w:pPr>
        <w:jc w:val="both"/>
        <w:spacing w:after="0" w:line="272" w:lineRule="auto"/>
        <w:rPr>
          <w:sz w:val="20"/>
          <w:szCs w:val="20"/>
          <w:color w:val="auto"/>
        </w:rPr>
      </w:pPr>
      <w:r>
        <w:rPr>
          <w:rFonts w:ascii="Arial" w:cs="Arial" w:eastAsia="Arial" w:hAnsi="Arial"/>
          <w:sz w:val="14"/>
          <w:szCs w:val="14"/>
          <w:color w:val="auto"/>
        </w:rPr>
        <w:t>On January 11, 2019, the Company closed on a consumer loan warehouse facility with an aggregate maximum financing amount available of $100.0 million, an advance rate of 70 or 75 percent depending on type of collateral and subject to certain concentration limits, and a maturity date of January 10, 2022. As of March 31, 2019, $63.7 million was outstanding under this facility and $36.3 million was available for future funding. Additionally, as of March 31, 2019, the Company had $26.5 million advanced as equity support under this facility.</w:t>
      </w:r>
    </w:p>
    <w:p>
      <w:pPr>
        <w:spacing w:after="0" w:line="99" w:lineRule="exact"/>
        <w:rPr>
          <w:sz w:val="20"/>
          <w:szCs w:val="20"/>
          <w:color w:val="auto"/>
        </w:rPr>
      </w:pPr>
    </w:p>
    <w:p>
      <w:pPr>
        <w:jc w:val="both"/>
        <w:spacing w:after="0" w:line="288" w:lineRule="auto"/>
        <w:rPr>
          <w:sz w:val="20"/>
          <w:szCs w:val="20"/>
          <w:color w:val="auto"/>
        </w:rPr>
      </w:pPr>
      <w:r>
        <w:rPr>
          <w:rFonts w:ascii="Arial" w:cs="Arial" w:eastAsia="Arial" w:hAnsi="Arial"/>
          <w:sz w:val="14"/>
          <w:szCs w:val="14"/>
          <w:color w:val="auto"/>
        </w:rPr>
        <w:t>Upon termination or expiration of the FFELP and consumer loan warehouse facilities, the Company would expect to access the securitization market, obtain replacement warehouse facilities, use operating cash, consider the sale of assets, or transfer collateral to satisfy any remaining obligations.</w:t>
      </w:r>
    </w:p>
    <w:p>
      <w:pPr>
        <w:spacing w:after="0" w:line="84"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Other Uses of Liquidity</w:t>
      </w:r>
    </w:p>
    <w:p>
      <w:pPr>
        <w:spacing w:after="0" w:line="145" w:lineRule="exact"/>
        <w:rPr>
          <w:sz w:val="20"/>
          <w:szCs w:val="20"/>
          <w:color w:val="auto"/>
        </w:rPr>
      </w:pPr>
    </w:p>
    <w:p>
      <w:pPr>
        <w:jc w:val="both"/>
        <w:spacing w:after="0" w:line="272" w:lineRule="auto"/>
        <w:rPr>
          <w:sz w:val="20"/>
          <w:szCs w:val="20"/>
          <w:color w:val="auto"/>
        </w:rPr>
      </w:pPr>
      <w:r>
        <w:rPr>
          <w:rFonts w:ascii="Arial" w:cs="Arial" w:eastAsia="Arial" w:hAnsi="Arial"/>
          <w:sz w:val="14"/>
          <w:szCs w:val="14"/>
          <w:color w:val="auto"/>
        </w:rPr>
        <w:t>Effective July 1, 2010, no new loan originations can be made under the FFEL Program and all new federal loan originations must be made through the Federal Direct Loan Program. As a result, the Company no longer originates new FFELP loans, but continues to acquire FFELP loan portfolios from third parties and believes additional loan purchase opportunities exist, including opportunities to purchase private education and consumer loans.</w:t>
      </w:r>
    </w:p>
    <w:p>
      <w:pPr>
        <w:spacing w:after="0" w:line="99" w:lineRule="exact"/>
        <w:rPr>
          <w:sz w:val="20"/>
          <w:szCs w:val="20"/>
          <w:color w:val="auto"/>
        </w:rPr>
      </w:pPr>
    </w:p>
    <w:p>
      <w:pPr>
        <w:jc w:val="both"/>
        <w:spacing w:after="0" w:line="328" w:lineRule="auto"/>
        <w:rPr>
          <w:sz w:val="20"/>
          <w:szCs w:val="20"/>
          <w:color w:val="auto"/>
        </w:rPr>
      </w:pPr>
      <w:r>
        <w:rPr>
          <w:rFonts w:ascii="Arial" w:cs="Arial" w:eastAsia="Arial" w:hAnsi="Arial"/>
          <w:sz w:val="13"/>
          <w:szCs w:val="13"/>
          <w:color w:val="auto"/>
        </w:rPr>
        <w:t>The Company plans to fund additional loan acquisitions using current cash and investments; using its Union Bank participation agreement (as described below); using its FFELP and consumer loan warehouse facilities (as described above); increasing the capacity under existing and/or establishing new warehouse facilities; and continuing to access the asset-backed securities market.</w:t>
      </w:r>
    </w:p>
    <w:p>
      <w:pPr>
        <w:spacing w:after="0" w:line="200" w:lineRule="exact"/>
        <w:rPr>
          <w:sz w:val="20"/>
          <w:szCs w:val="20"/>
          <w:color w:val="auto"/>
        </w:rPr>
      </w:pPr>
    </w:p>
    <w:p>
      <w:pPr>
        <w:spacing w:after="0" w:line="307"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51</w:t>
      </w:r>
    </w:p>
    <w:p>
      <w:pPr>
        <w:sectPr>
          <w:pgSz w:w="11900" w:h="16838" w:orient="portrait"/>
          <w:cols w:equalWidth="0" w:num="1">
            <w:col w:w="11460"/>
          </w:cols>
          <w:pgMar w:left="220" w:top="743" w:right="219" w:bottom="1440" w:gutter="0" w:footer="0" w:header="0"/>
        </w:sectPr>
      </w:pPr>
    </w:p>
    <w:bookmarkStart w:id="52" w:name="page53"/>
    <w:bookmarkEnd w:id="52"/>
    <w:p>
      <w:pPr>
        <w:spacing w:after="0"/>
        <w:rPr>
          <w:sz w:val="20"/>
          <w:szCs w:val="20"/>
          <w:color w:val="auto"/>
        </w:rPr>
      </w:pPr>
      <w:r>
        <w:rPr>
          <w:rFonts w:ascii="Arial" w:cs="Arial" w:eastAsia="Arial" w:hAnsi="Arial"/>
          <w:sz w:val="14"/>
          <w:szCs w:val="14"/>
          <w:b w:val="1"/>
          <w:bCs w:val="1"/>
          <w:i w:val="1"/>
          <w:iCs w:val="1"/>
          <w:color w:val="auto"/>
        </w:rPr>
        <w:t>Union Bank Participation Agreement</w:t>
      </w:r>
    </w:p>
    <w:p>
      <w:pPr>
        <w:spacing w:after="0" w:line="141" w:lineRule="exact"/>
        <w:rPr>
          <w:sz w:val="20"/>
          <w:szCs w:val="20"/>
          <w:color w:val="auto"/>
        </w:rPr>
      </w:pPr>
    </w:p>
    <w:p>
      <w:pPr>
        <w:jc w:val="both"/>
        <w:spacing w:after="0" w:line="263" w:lineRule="auto"/>
        <w:rPr>
          <w:sz w:val="20"/>
          <w:szCs w:val="20"/>
          <w:color w:val="auto"/>
        </w:rPr>
      </w:pPr>
      <w:r>
        <w:rPr>
          <w:rFonts w:ascii="Arial" w:cs="Arial" w:eastAsia="Arial" w:hAnsi="Arial"/>
          <w:sz w:val="14"/>
          <w:szCs w:val="14"/>
          <w:color w:val="auto"/>
        </w:rPr>
        <w:t>The Company maintains an agreement with Union Bank, a related party, as trustee for various grantor trusts, under which Union Bank has agreed to purchase from the Company participation interests in student loans. As of March 31, 2019, $583.8 million of loans were subject to outstanding participation interests held by Union Bank, as trustee, under this agreement. The agreement automatically renews annually and is terminable by either party upon five business days' notice. This agreement provides beneficiaries of Union Bank’s grantor trusts with access to investments in interests in student loans, while providing liquidity to the Company. The Company can participate loans to Union Bank to the extent of availability under the grantor trusts, up to $750.0 million or an amount in excess of $750.0 million if mutually agreed to by both parties. Loans participated under this agreement have been accounted for by the Company as loan sales. Accordingly, the participation interests sold are not included on the Company’s consolidated balance sheets.</w:t>
      </w:r>
    </w:p>
    <w:p>
      <w:pPr>
        <w:spacing w:after="0" w:line="105" w:lineRule="exact"/>
        <w:rPr>
          <w:sz w:val="20"/>
          <w:szCs w:val="20"/>
          <w:color w:val="auto"/>
        </w:rPr>
      </w:pPr>
    </w:p>
    <w:p>
      <w:pPr>
        <w:spacing w:after="0"/>
        <w:rPr>
          <w:sz w:val="20"/>
          <w:szCs w:val="20"/>
          <w:color w:val="auto"/>
        </w:rPr>
      </w:pPr>
      <w:r>
        <w:rPr>
          <w:rFonts w:ascii="Arial" w:cs="Arial" w:eastAsia="Arial" w:hAnsi="Arial"/>
          <w:sz w:val="14"/>
          <w:szCs w:val="14"/>
          <w:b w:val="1"/>
          <w:bCs w:val="1"/>
          <w:i w:val="1"/>
          <w:iCs w:val="1"/>
          <w:color w:val="auto"/>
        </w:rPr>
        <w:t>Asset-Backed Securities Transactions</w:t>
      </w:r>
    </w:p>
    <w:p>
      <w:pPr>
        <w:spacing w:after="0" w:line="141" w:lineRule="exact"/>
        <w:rPr>
          <w:sz w:val="20"/>
          <w:szCs w:val="20"/>
          <w:color w:val="auto"/>
        </w:rPr>
      </w:pPr>
    </w:p>
    <w:p>
      <w:pPr>
        <w:jc w:val="both"/>
        <w:ind w:right="40"/>
        <w:spacing w:after="0" w:line="272" w:lineRule="auto"/>
        <w:rPr>
          <w:sz w:val="20"/>
          <w:szCs w:val="20"/>
          <w:color w:val="auto"/>
        </w:rPr>
      </w:pPr>
      <w:r>
        <w:rPr>
          <w:rFonts w:ascii="Arial" w:cs="Arial" w:eastAsia="Arial" w:hAnsi="Arial"/>
          <w:sz w:val="14"/>
          <w:szCs w:val="14"/>
          <w:color w:val="auto"/>
        </w:rPr>
        <w:t>On February 27, 2019, the Company completed an asset-backed securitization totaling $496.8 million (par value). See note 3 of the notes to consolidated financial statements included under Part I, Item I of this report for additional information on this securitization. In addition, on April 30, 2019, the Company completed an asset-backed securitization totaling $416.1 million (par value). The proceeds from these transactions were used primarily to refinance student loans included in the Company's FFELP warehouse facilities.</w:t>
      </w:r>
    </w:p>
    <w:p>
      <w:pPr>
        <w:spacing w:after="0" w:line="99" w:lineRule="exact"/>
        <w:rPr>
          <w:sz w:val="20"/>
          <w:szCs w:val="20"/>
          <w:color w:val="auto"/>
        </w:rPr>
      </w:pPr>
    </w:p>
    <w:p>
      <w:pPr>
        <w:jc w:val="both"/>
        <w:ind w:right="60"/>
        <w:spacing w:after="0" w:line="288" w:lineRule="auto"/>
        <w:rPr>
          <w:sz w:val="20"/>
          <w:szCs w:val="20"/>
          <w:color w:val="auto"/>
        </w:rPr>
      </w:pPr>
      <w:r>
        <w:rPr>
          <w:rFonts w:ascii="Arial" w:cs="Arial" w:eastAsia="Arial" w:hAnsi="Arial"/>
          <w:sz w:val="14"/>
          <w:szCs w:val="14"/>
          <w:color w:val="auto"/>
        </w:rPr>
        <w:t>Depending on future market conditions, the Company currently anticipates continuing to access the asset-backed securitization market. Such asset-backed securitization transactions would be used to refinance loans included in its warehouse facilities, loans purchased from third parties, and/or student loans in its existing asset-backed securitizations.</w:t>
      </w:r>
    </w:p>
    <w:p>
      <w:pPr>
        <w:spacing w:after="0" w:line="84"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Liquidity Impact Related to Hedging Activities</w:t>
      </w:r>
    </w:p>
    <w:p>
      <w:pPr>
        <w:spacing w:after="0" w:line="145" w:lineRule="exact"/>
        <w:rPr>
          <w:sz w:val="20"/>
          <w:szCs w:val="20"/>
          <w:color w:val="auto"/>
        </w:rPr>
      </w:pPr>
    </w:p>
    <w:p>
      <w:pPr>
        <w:jc w:val="both"/>
        <w:spacing w:after="0" w:line="284" w:lineRule="auto"/>
        <w:rPr>
          <w:sz w:val="20"/>
          <w:szCs w:val="20"/>
          <w:color w:val="auto"/>
        </w:rPr>
      </w:pPr>
      <w:r>
        <w:rPr>
          <w:rFonts w:ascii="Arial" w:cs="Arial" w:eastAsia="Arial" w:hAnsi="Arial"/>
          <w:sz w:val="13"/>
          <w:szCs w:val="13"/>
          <w:color w:val="auto"/>
        </w:rPr>
        <w:t>The Company utilizes derivative instruments to manage interest rate sensitivity. By using derivative instruments, the Company is exposed to market risk which could impact its liquidity. Based on the derivative portfolio outstanding as of March 31, 2019, the Company does not currently anticipate any movement in interest rates having a material impact on its capital or liquidity profile, nor does the Company expect that any movement in interest rates would have a material impact on its ability to meet potential collateral deposits with its counterparties and/or variation margin payments with its third-party clearinghouse. However, if interest rates move materially and negatively impact the fair value of the Company's derivative portfolio or if the Company enters into additional derivatives for which the fair value becomes negative, the Company could be required to deposit additional collateral with its derivative instrument counterparties and/or pay variation margin to a third-party clearinghouse. The collateral deposits or variation margin, if significant, could negatively impact the Company's liquidity and capital resources. In addition, clearing rules require the Company to post amounts of liquid collateral when executing new derivative instruments, which could prevent or limit the Company from utilizing additional derivative instruments to manage interest rate sensitivity and risks. See note 4 of the notes to consolidated financial statements included under Part I, Item 1 of this report for additional information on the Company's derivative portfolio.</w:t>
      </w:r>
    </w:p>
    <w:p>
      <w:pPr>
        <w:spacing w:after="0" w:line="90"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Liquidity Impact Related to the Communications Operating Segment</w:t>
      </w:r>
    </w:p>
    <w:p>
      <w:pPr>
        <w:spacing w:after="0" w:line="145" w:lineRule="exact"/>
        <w:rPr>
          <w:sz w:val="20"/>
          <w:szCs w:val="20"/>
          <w:color w:val="auto"/>
        </w:rPr>
      </w:pPr>
    </w:p>
    <w:p>
      <w:pPr>
        <w:jc w:val="both"/>
        <w:spacing w:after="0" w:line="262" w:lineRule="auto"/>
        <w:rPr>
          <w:sz w:val="20"/>
          <w:szCs w:val="20"/>
          <w:color w:val="auto"/>
        </w:rPr>
      </w:pPr>
      <w:r>
        <w:rPr>
          <w:rFonts w:ascii="Arial" w:cs="Arial" w:eastAsia="Arial" w:hAnsi="Arial"/>
          <w:sz w:val="14"/>
          <w:szCs w:val="14"/>
          <w:color w:val="auto"/>
        </w:rPr>
        <w:t>ALLO has made significant investments in its communications network and currently provides fiber directly to homes and businesses in eight communities in Nebraska and one in Colorado. ALLO plans to continue to increase market share and revenue in its existing markets and is currently evaluating opportunities to expand to other communities in the Midwest. ALLO began providing services in Lincoln, Nebraska in September 2016 as part of a multi-year project to pass substantially all commercial and residential properties in the community. As of the end of the first quarter of 2019, the build-out of the Lincoln community is substantially complete. For the three months ended March 31, 2019, ALLO's capital expenditures were $12.0 million. The Company anticipates total ALLO network capital expenditures for the remainder of 2019 (April 1, 2019 - December 31, 2019) will be approximately $40 million. However, this amount could change based on customer demand for ALLO's services. The Company currently plans to use cash from operating activities and its third-party unsecured line of credit to fund ALLO's capital expenditures, as well as potentially other third-party financing alternatives.</w:t>
      </w:r>
    </w:p>
    <w:p>
      <w:pPr>
        <w:spacing w:after="0" w:line="102"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Other Debt Facilities</w:t>
      </w:r>
    </w:p>
    <w:p>
      <w:pPr>
        <w:spacing w:after="0" w:line="145" w:lineRule="exact"/>
        <w:rPr>
          <w:sz w:val="20"/>
          <w:szCs w:val="20"/>
          <w:color w:val="auto"/>
        </w:rPr>
      </w:pPr>
    </w:p>
    <w:p>
      <w:pPr>
        <w:jc w:val="both"/>
        <w:spacing w:after="0" w:line="272" w:lineRule="auto"/>
        <w:rPr>
          <w:sz w:val="20"/>
          <w:szCs w:val="20"/>
          <w:color w:val="auto"/>
        </w:rPr>
      </w:pPr>
      <w:r>
        <w:rPr>
          <w:rFonts w:ascii="Arial" w:cs="Arial" w:eastAsia="Arial" w:hAnsi="Arial"/>
          <w:sz w:val="14"/>
          <w:szCs w:val="14"/>
          <w:color w:val="auto"/>
        </w:rPr>
        <w:t>As discussed above, the Company has a $382.5 million unsecured line of credit with a maturity date of June 22, 2023. As of March 31, 2019, the unsecured line of credit had $320.0 million outstanding and $62.5 million was available for future use. Upon the maturity date in 2023, there can be no assurance that the Company will be able to maintain this line of credit, increase the amount outstanding under the line, or find alternative funding if necessary.</w:t>
      </w:r>
    </w:p>
    <w:p>
      <w:pPr>
        <w:spacing w:after="0" w:line="200" w:lineRule="exact"/>
        <w:rPr>
          <w:sz w:val="20"/>
          <w:szCs w:val="20"/>
          <w:color w:val="auto"/>
        </w:rPr>
      </w:pPr>
    </w:p>
    <w:p>
      <w:pPr>
        <w:spacing w:after="0" w:line="341"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52</w:t>
      </w:r>
    </w:p>
    <w:p>
      <w:pPr>
        <w:sectPr>
          <w:pgSz w:w="11900" w:h="16838" w:orient="portrait"/>
          <w:cols w:equalWidth="0" w:num="1">
            <w:col w:w="11460"/>
          </w:cols>
          <w:pgMar w:left="220" w:top="743" w:right="219" w:bottom="1440" w:gutter="0" w:footer="0" w:header="0"/>
        </w:sectPr>
      </w:pPr>
    </w:p>
    <w:bookmarkStart w:id="53" w:name="page54"/>
    <w:bookmarkEnd w:id="53"/>
    <w:p>
      <w:pPr>
        <w:jc w:val="both"/>
        <w:spacing w:after="0" w:line="288" w:lineRule="auto"/>
        <w:rPr>
          <w:sz w:val="20"/>
          <w:szCs w:val="20"/>
          <w:color w:val="auto"/>
        </w:rPr>
      </w:pPr>
      <w:r>
        <w:rPr>
          <w:rFonts w:ascii="Arial" w:cs="Arial" w:eastAsia="Arial" w:hAnsi="Arial"/>
          <w:sz w:val="14"/>
          <w:szCs w:val="14"/>
          <w:color w:val="auto"/>
        </w:rPr>
        <w:t>The Company has issued Junior Subordinated Hybrid Securities (the "Hybrid Securities") that have a final maturity of September 15, 2061. The Hybrid Securities are unsecured obligations of the Company. As of March 31, 2019, the Company had $20.4 million of Hybrid Securities that remain outstanding.</w:t>
      </w:r>
    </w:p>
    <w:p>
      <w:pPr>
        <w:spacing w:after="0" w:line="88" w:lineRule="exact"/>
        <w:rPr>
          <w:sz w:val="20"/>
          <w:szCs w:val="20"/>
          <w:color w:val="auto"/>
        </w:rPr>
      </w:pPr>
    </w:p>
    <w:p>
      <w:pPr>
        <w:jc w:val="both"/>
        <w:spacing w:after="0" w:line="272" w:lineRule="auto"/>
        <w:rPr>
          <w:sz w:val="20"/>
          <w:szCs w:val="20"/>
          <w:color w:val="auto"/>
        </w:rPr>
      </w:pPr>
      <w:r>
        <w:rPr>
          <w:rFonts w:ascii="Arial" w:cs="Arial" w:eastAsia="Arial" w:hAnsi="Arial"/>
          <w:sz w:val="14"/>
          <w:szCs w:val="14"/>
          <w:color w:val="auto"/>
        </w:rPr>
        <w:t>The Company entered into a repurchase agreement in both 2017 and 2018, the proceeds of which are collateralized by FFELP asset-backed security investments and private education loans, respectively. As of March 31, 2019, $40.6 million and $41.4 million were subject to these repurchase agreements, respectively. Upon termination or expiration of the repurchase agreements, the Company would use cash proceeds or transfer collateral to satisfy any outstanding obligations subject to the agreements.</w:t>
      </w:r>
    </w:p>
    <w:p>
      <w:pPr>
        <w:spacing w:after="0" w:line="99" w:lineRule="exact"/>
        <w:rPr>
          <w:sz w:val="20"/>
          <w:szCs w:val="20"/>
          <w:color w:val="auto"/>
        </w:rPr>
      </w:pPr>
    </w:p>
    <w:p>
      <w:pPr>
        <w:ind w:right="1980"/>
        <w:spacing w:after="0" w:line="449" w:lineRule="auto"/>
        <w:rPr>
          <w:sz w:val="20"/>
          <w:szCs w:val="20"/>
          <w:color w:val="auto"/>
        </w:rPr>
      </w:pPr>
      <w:r>
        <w:rPr>
          <w:rFonts w:ascii="Arial" w:cs="Arial" w:eastAsia="Arial" w:hAnsi="Arial"/>
          <w:sz w:val="14"/>
          <w:szCs w:val="14"/>
          <w:color w:val="auto"/>
        </w:rPr>
        <w:t xml:space="preserve">For further discussion of these debt facilities described above, see note 3 of the notes to consolidated financial statements included under Part I, Item 1 of this report. </w:t>
      </w:r>
      <w:r>
        <w:rPr>
          <w:rFonts w:ascii="Arial" w:cs="Arial" w:eastAsia="Arial" w:hAnsi="Arial"/>
          <w:sz w:val="14"/>
          <w:szCs w:val="14"/>
          <w:b w:val="1"/>
          <w:bCs w:val="1"/>
          <w:color w:val="auto"/>
        </w:rPr>
        <w:t>Stock Repurchases</w:t>
      </w:r>
    </w:p>
    <w:p>
      <w:pPr>
        <w:spacing w:after="0" w:line="1" w:lineRule="exact"/>
        <w:rPr>
          <w:sz w:val="20"/>
          <w:szCs w:val="20"/>
          <w:color w:val="auto"/>
        </w:rPr>
      </w:pPr>
    </w:p>
    <w:p>
      <w:pPr>
        <w:jc w:val="both"/>
        <w:spacing w:after="0" w:line="267" w:lineRule="auto"/>
        <w:rPr>
          <w:sz w:val="20"/>
          <w:szCs w:val="20"/>
          <w:color w:val="auto"/>
        </w:rPr>
      </w:pPr>
      <w:r>
        <w:rPr>
          <w:rFonts w:ascii="Arial" w:cs="Arial" w:eastAsia="Arial" w:hAnsi="Arial"/>
          <w:sz w:val="14"/>
          <w:szCs w:val="14"/>
          <w:color w:val="auto"/>
        </w:rPr>
        <w:t>In 2016, the Board of Directors authorized a stock repurchase program to repurchase up to a total of five million shares of the Company's Class A common stock during the three-year period ending May 25, 2019. Shares repurchased by the Company during the three months ended March 31, 2019 are shown below. Certain of these repurchases were made pursuant to a trading plan adopted by the Company in accordance with Rule 10b5-1 under the Securities Exchange Act of 1934. For additional information on stock repurchases during the first quarter of 2019, see "Stock Repurchases" under Part II, Item 2 of this report.</w:t>
      </w:r>
    </w:p>
    <w:p>
      <w:pPr>
        <w:spacing w:after="0" w:line="81" w:lineRule="exact"/>
        <w:rPr>
          <w:sz w:val="20"/>
          <w:szCs w:val="20"/>
          <w:color w:val="auto"/>
        </w:rPr>
      </w:pPr>
    </w:p>
    <w:tbl>
      <w:tblPr>
        <w:tblLayout w:type="fixed"/>
        <w:tblInd w:w="760" w:type="dxa"/>
        <w:tblCellMar>
          <w:top w:w="0" w:type="dxa"/>
          <w:left w:w="0" w:type="dxa"/>
          <w:bottom w:w="0" w:type="dxa"/>
          <w:right w:w="0" w:type="dxa"/>
        </w:tblCellMar>
      </w:tblPr>
      <w:tr>
        <w:trPr>
          <w:trHeight w:val="162"/>
        </w:trPr>
        <w:tc>
          <w:tcPr>
            <w:tcW w:w="3900" w:type="dxa"/>
            <w:vAlign w:val="bottom"/>
          </w:tcPr>
          <w:p>
            <w:pPr>
              <w:spacing w:after="0"/>
              <w:rPr>
                <w:sz w:val="14"/>
                <w:szCs w:val="14"/>
                <w:color w:val="auto"/>
              </w:rPr>
            </w:pPr>
          </w:p>
        </w:tc>
        <w:tc>
          <w:tcPr>
            <w:tcW w:w="19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740" w:type="dxa"/>
            <w:vAlign w:val="bottom"/>
            <w:gridSpan w:val="2"/>
          </w:tcPr>
          <w:p>
            <w:pPr>
              <w:jc w:val="center"/>
              <w:ind w:right="440"/>
              <w:spacing w:after="0"/>
              <w:rPr>
                <w:sz w:val="20"/>
                <w:szCs w:val="20"/>
                <w:color w:val="auto"/>
              </w:rPr>
            </w:pPr>
            <w:r>
              <w:rPr>
                <w:rFonts w:ascii="Arial" w:cs="Arial" w:eastAsia="Arial" w:hAnsi="Arial"/>
                <w:sz w:val="13"/>
                <w:szCs w:val="13"/>
                <w:b w:val="1"/>
                <w:bCs w:val="1"/>
                <w:color w:val="auto"/>
                <w:w w:val="87"/>
              </w:rPr>
              <w:t>Purchase price</w:t>
            </w:r>
          </w:p>
        </w:tc>
        <w:tc>
          <w:tcPr>
            <w:tcW w:w="1980" w:type="dxa"/>
            <w:vAlign w:val="bottom"/>
          </w:tcPr>
          <w:p>
            <w:pPr>
              <w:jc w:val="center"/>
              <w:spacing w:after="0"/>
              <w:rPr>
                <w:sz w:val="20"/>
                <w:szCs w:val="20"/>
                <w:color w:val="auto"/>
              </w:rPr>
            </w:pPr>
            <w:r>
              <w:rPr>
                <w:rFonts w:ascii="Arial" w:cs="Arial" w:eastAsia="Arial" w:hAnsi="Arial"/>
                <w:sz w:val="13"/>
                <w:szCs w:val="13"/>
                <w:b w:val="1"/>
                <w:bCs w:val="1"/>
                <w:color w:val="auto"/>
                <w:w w:val="86"/>
              </w:rPr>
              <w:t>Average price of shares</w:t>
            </w:r>
          </w:p>
        </w:tc>
      </w:tr>
      <w:tr>
        <w:trPr>
          <w:trHeight w:val="167"/>
        </w:trPr>
        <w:tc>
          <w:tcPr>
            <w:tcW w:w="3900" w:type="dxa"/>
            <w:vAlign w:val="bottom"/>
          </w:tcPr>
          <w:p>
            <w:pPr>
              <w:spacing w:after="0"/>
              <w:rPr>
                <w:sz w:val="14"/>
                <w:szCs w:val="14"/>
                <w:color w:val="auto"/>
              </w:rPr>
            </w:pPr>
          </w:p>
        </w:tc>
        <w:tc>
          <w:tcPr>
            <w:tcW w:w="2020" w:type="dxa"/>
            <w:vAlign w:val="bottom"/>
            <w:gridSpan w:val="2"/>
          </w:tcPr>
          <w:p>
            <w:pPr>
              <w:ind w:left="260"/>
              <w:spacing w:after="0"/>
              <w:rPr>
                <w:sz w:val="20"/>
                <w:szCs w:val="20"/>
                <w:color w:val="auto"/>
              </w:rPr>
            </w:pPr>
            <w:r>
              <w:rPr>
                <w:rFonts w:ascii="Arial" w:cs="Arial" w:eastAsia="Arial" w:hAnsi="Arial"/>
                <w:sz w:val="13"/>
                <w:szCs w:val="13"/>
                <w:b w:val="1"/>
                <w:bCs w:val="1"/>
                <w:color w:val="auto"/>
              </w:rPr>
              <w:t>Total shares repurchased</w:t>
            </w:r>
          </w:p>
        </w:tc>
        <w:tc>
          <w:tcPr>
            <w:tcW w:w="320" w:type="dxa"/>
            <w:vAlign w:val="bottom"/>
          </w:tcPr>
          <w:p>
            <w:pPr>
              <w:spacing w:after="0"/>
              <w:rPr>
                <w:sz w:val="14"/>
                <w:szCs w:val="14"/>
                <w:color w:val="auto"/>
              </w:rPr>
            </w:pPr>
          </w:p>
        </w:tc>
        <w:tc>
          <w:tcPr>
            <w:tcW w:w="1740" w:type="dxa"/>
            <w:vAlign w:val="bottom"/>
            <w:gridSpan w:val="2"/>
          </w:tcPr>
          <w:p>
            <w:pPr>
              <w:jc w:val="center"/>
              <w:ind w:right="420"/>
              <w:spacing w:after="0"/>
              <w:rPr>
                <w:sz w:val="20"/>
                <w:szCs w:val="20"/>
                <w:color w:val="auto"/>
              </w:rPr>
            </w:pPr>
            <w:r>
              <w:rPr>
                <w:rFonts w:ascii="Arial" w:cs="Arial" w:eastAsia="Arial" w:hAnsi="Arial"/>
                <w:sz w:val="13"/>
                <w:szCs w:val="13"/>
                <w:b w:val="1"/>
                <w:bCs w:val="1"/>
                <w:color w:val="auto"/>
                <w:w w:val="89"/>
              </w:rPr>
              <w:t>(in thousands)</w:t>
            </w:r>
          </w:p>
        </w:tc>
        <w:tc>
          <w:tcPr>
            <w:tcW w:w="1980" w:type="dxa"/>
            <w:vAlign w:val="bottom"/>
          </w:tcPr>
          <w:p>
            <w:pPr>
              <w:jc w:val="center"/>
              <w:spacing w:after="0"/>
              <w:rPr>
                <w:sz w:val="20"/>
                <w:szCs w:val="20"/>
                <w:color w:val="auto"/>
              </w:rPr>
            </w:pPr>
            <w:r>
              <w:rPr>
                <w:rFonts w:ascii="Arial" w:cs="Arial" w:eastAsia="Arial" w:hAnsi="Arial"/>
                <w:sz w:val="13"/>
                <w:szCs w:val="13"/>
                <w:b w:val="1"/>
                <w:bCs w:val="1"/>
                <w:color w:val="auto"/>
                <w:w w:val="88"/>
              </w:rPr>
              <w:t>repurchased (per share)</w:t>
            </w:r>
          </w:p>
        </w:tc>
      </w:tr>
      <w:tr>
        <w:trPr>
          <w:trHeight w:val="27"/>
        </w:trPr>
        <w:tc>
          <w:tcPr>
            <w:tcW w:w="3900" w:type="dxa"/>
            <w:vAlign w:val="bottom"/>
            <w:tcBorders>
              <w:bottom w:val="single" w:sz="8" w:color="CCEEFF"/>
            </w:tcBorders>
          </w:tcPr>
          <w:p>
            <w:pPr>
              <w:spacing w:after="0"/>
              <w:rPr>
                <w:sz w:val="2"/>
                <w:szCs w:val="2"/>
                <w:color w:val="auto"/>
              </w:rPr>
            </w:pPr>
          </w:p>
        </w:tc>
        <w:tc>
          <w:tcPr>
            <w:tcW w:w="19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980" w:type="dxa"/>
            <w:vAlign w:val="bottom"/>
            <w:tcBorders>
              <w:bottom w:val="single" w:sz="8" w:color="auto"/>
            </w:tcBorders>
          </w:tcPr>
          <w:p>
            <w:pPr>
              <w:spacing w:after="0"/>
              <w:rPr>
                <w:sz w:val="2"/>
                <w:szCs w:val="2"/>
                <w:color w:val="auto"/>
              </w:rPr>
            </w:pPr>
          </w:p>
        </w:tc>
      </w:tr>
      <w:tr>
        <w:trPr>
          <w:trHeight w:val="169"/>
        </w:trPr>
        <w:tc>
          <w:tcPr>
            <w:tcW w:w="3900" w:type="dxa"/>
            <w:vAlign w:val="bottom"/>
            <w:shd w:val="clear" w:color="auto" w:fill="CCEEFF"/>
          </w:tcPr>
          <w:p>
            <w:pPr>
              <w:spacing w:after="0"/>
              <w:rPr>
                <w:sz w:val="20"/>
                <w:szCs w:val="20"/>
                <w:color w:val="auto"/>
              </w:rPr>
            </w:pPr>
            <w:r>
              <w:rPr>
                <w:rFonts w:ascii="Arial" w:cs="Arial" w:eastAsia="Arial" w:hAnsi="Arial"/>
                <w:sz w:val="13"/>
                <w:szCs w:val="13"/>
                <w:color w:val="auto"/>
              </w:rPr>
              <w:t>Quarter ended March 31, 2019</w:t>
            </w:r>
          </w:p>
        </w:tc>
        <w:tc>
          <w:tcPr>
            <w:tcW w:w="19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301,327</w:t>
            </w:r>
          </w:p>
        </w:tc>
        <w:tc>
          <w:tcPr>
            <w:tcW w:w="80" w:type="dxa"/>
            <w:vAlign w:val="bottom"/>
            <w:shd w:val="clear" w:color="auto" w:fill="CCEEFF"/>
          </w:tcPr>
          <w:p>
            <w:pPr>
              <w:spacing w:after="0"/>
              <w:rPr>
                <w:sz w:val="14"/>
                <w:szCs w:val="14"/>
                <w:color w:val="auto"/>
              </w:rPr>
            </w:pPr>
          </w:p>
        </w:tc>
        <w:tc>
          <w:tcPr>
            <w:tcW w:w="320" w:type="dxa"/>
            <w:vAlign w:val="bottom"/>
            <w:shd w:val="clear" w:color="auto" w:fill="CCEEFF"/>
          </w:tcPr>
          <w:p>
            <w:pPr>
              <w:jc w:val="right"/>
              <w:ind w:right="175"/>
              <w:spacing w:after="0"/>
              <w:rPr>
                <w:sz w:val="20"/>
                <w:szCs w:val="20"/>
                <w:color w:val="auto"/>
              </w:rPr>
            </w:pPr>
            <w:r>
              <w:rPr>
                <w:rFonts w:ascii="Arial" w:cs="Arial" w:eastAsia="Arial" w:hAnsi="Arial"/>
                <w:sz w:val="13"/>
                <w:szCs w:val="13"/>
                <w:color w:val="auto"/>
                <w:w w:val="82"/>
              </w:rPr>
              <w:t>$</w:t>
            </w:r>
          </w:p>
        </w:tc>
        <w:tc>
          <w:tcPr>
            <w:tcW w:w="16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16,358</w:t>
            </w:r>
          </w:p>
        </w:tc>
        <w:tc>
          <w:tcPr>
            <w:tcW w:w="100" w:type="dxa"/>
            <w:vAlign w:val="bottom"/>
            <w:shd w:val="clear" w:color="auto" w:fill="CCEEFF"/>
          </w:tcPr>
          <w:p>
            <w:pPr>
              <w:spacing w:after="0"/>
              <w:rPr>
                <w:sz w:val="14"/>
                <w:szCs w:val="14"/>
                <w:color w:val="auto"/>
              </w:rPr>
            </w:pPr>
          </w:p>
        </w:tc>
        <w:tc>
          <w:tcPr>
            <w:tcW w:w="19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54.29</w:t>
            </w:r>
          </w:p>
        </w:tc>
      </w:tr>
      <w:tr>
        <w:trPr>
          <w:trHeight w:val="27"/>
        </w:trPr>
        <w:tc>
          <w:tcPr>
            <w:tcW w:w="3900" w:type="dxa"/>
            <w:vAlign w:val="bottom"/>
            <w:shd w:val="clear" w:color="auto" w:fill="CCEEFF"/>
          </w:tcPr>
          <w:p>
            <w:pPr>
              <w:spacing w:after="0"/>
              <w:rPr>
                <w:sz w:val="2"/>
                <w:szCs w:val="2"/>
                <w:color w:val="auto"/>
              </w:rPr>
            </w:pPr>
          </w:p>
        </w:tc>
        <w:tc>
          <w:tcPr>
            <w:tcW w:w="194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320" w:type="dxa"/>
            <w:vAlign w:val="bottom"/>
            <w:shd w:val="clear" w:color="auto" w:fill="CCEEFF"/>
          </w:tcPr>
          <w:p>
            <w:pPr>
              <w:spacing w:after="0"/>
              <w:rPr>
                <w:sz w:val="2"/>
                <w:szCs w:val="2"/>
                <w:color w:val="auto"/>
              </w:rPr>
            </w:pPr>
          </w:p>
        </w:tc>
        <w:tc>
          <w:tcPr>
            <w:tcW w:w="16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980" w:type="dxa"/>
            <w:vAlign w:val="bottom"/>
            <w:shd w:val="clear" w:color="auto" w:fill="CCEEFF"/>
          </w:tcPr>
          <w:p>
            <w:pPr>
              <w:spacing w:after="0"/>
              <w:rPr>
                <w:sz w:val="2"/>
                <w:szCs w:val="2"/>
                <w:color w:val="auto"/>
              </w:rPr>
            </w:pPr>
          </w:p>
        </w:tc>
      </w:tr>
    </w:tbl>
    <w:p>
      <w:pPr>
        <w:spacing w:after="0" w:line="205" w:lineRule="exact"/>
        <w:rPr>
          <w:sz w:val="20"/>
          <w:szCs w:val="20"/>
          <w:color w:val="auto"/>
        </w:rPr>
      </w:pPr>
    </w:p>
    <w:p>
      <w:pPr>
        <w:jc w:val="both"/>
        <w:spacing w:after="0" w:line="267" w:lineRule="auto"/>
        <w:rPr>
          <w:sz w:val="20"/>
          <w:szCs w:val="20"/>
          <w:color w:val="auto"/>
        </w:rPr>
      </w:pPr>
      <w:r>
        <w:rPr>
          <w:rFonts w:ascii="Arial" w:cs="Arial" w:eastAsia="Arial" w:hAnsi="Arial"/>
          <w:sz w:val="14"/>
          <w:szCs w:val="14"/>
          <w:color w:val="auto"/>
        </w:rPr>
        <w:t>As of March 31, 2019, 2,028,025 shares remained authorized for repurchase under the Company's stock repurchase program. On May 8, 2019, the Board of Directors authorized a new stock repurchase program to repurchase up to a total of five million shares of the Company's Class A common stock during the three-year period ending May 7, 2022. The five million shares authorized under the new program include the remaining unrepurchased shares from the prior program, which the new program replaces. Shares may be repurchased from time to time depending on various factors, including share prices and other potential uses of liquidity.</w:t>
      </w:r>
    </w:p>
    <w:p>
      <w:pPr>
        <w:spacing w:after="0" w:line="185"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Dividends</w:t>
      </w:r>
    </w:p>
    <w:p>
      <w:pPr>
        <w:spacing w:after="0" w:line="145" w:lineRule="exact"/>
        <w:rPr>
          <w:sz w:val="20"/>
          <w:szCs w:val="20"/>
          <w:color w:val="auto"/>
        </w:rPr>
      </w:pPr>
    </w:p>
    <w:p>
      <w:pPr>
        <w:jc w:val="both"/>
        <w:spacing w:after="0" w:line="272" w:lineRule="auto"/>
        <w:rPr>
          <w:sz w:val="20"/>
          <w:szCs w:val="20"/>
          <w:color w:val="auto"/>
        </w:rPr>
      </w:pPr>
      <w:r>
        <w:rPr>
          <w:rFonts w:ascii="Arial" w:cs="Arial" w:eastAsia="Arial" w:hAnsi="Arial"/>
          <w:sz w:val="14"/>
          <w:szCs w:val="14"/>
          <w:color w:val="auto"/>
        </w:rPr>
        <w:t>On March 15, 2019, the Company paid a first quarter 2019 cash dividend on the Company's Class A and Class B common stock of $0.18 per share. In addition, the Company's Board of Directors has declared a second quarter 2019 cash dividend on the Company's outstanding shares of Class A and Class B common stock of $0.18 per share. The second quarter cash dividend will be paid on June 14, 2019 to shareholders of record at the close of business on May 31, 2019.</w:t>
      </w:r>
    </w:p>
    <w:p>
      <w:pPr>
        <w:spacing w:after="0" w:line="99" w:lineRule="exact"/>
        <w:rPr>
          <w:sz w:val="20"/>
          <w:szCs w:val="20"/>
          <w:color w:val="auto"/>
        </w:rPr>
      </w:pPr>
    </w:p>
    <w:p>
      <w:pPr>
        <w:jc w:val="both"/>
        <w:spacing w:after="0" w:line="272" w:lineRule="auto"/>
        <w:rPr>
          <w:sz w:val="20"/>
          <w:szCs w:val="20"/>
          <w:color w:val="auto"/>
        </w:rPr>
      </w:pPr>
      <w:r>
        <w:rPr>
          <w:rFonts w:ascii="Arial" w:cs="Arial" w:eastAsia="Arial" w:hAnsi="Arial"/>
          <w:sz w:val="14"/>
          <w:szCs w:val="14"/>
          <w:color w:val="auto"/>
        </w:rPr>
        <w:t>The Company currently plans to continue making regular quarterly dividend payments, subject to future earnings, capital requirements, financial condition, and other factors. In addition, the payment of dividends is subject to the terms of the Company’s outstanding Hybrid Securities, which generally provide that if the Company defers interest payments on those securities it cannot pay dividends on its capital stock.</w:t>
      </w:r>
    </w:p>
    <w:p>
      <w:pPr>
        <w:spacing w:after="0" w:line="95"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RECENT ACCOUNTING PRONOUNCEMENTS</w:t>
      </w:r>
    </w:p>
    <w:p>
      <w:pPr>
        <w:spacing w:after="0" w:line="145" w:lineRule="exact"/>
        <w:rPr>
          <w:sz w:val="20"/>
          <w:szCs w:val="20"/>
          <w:color w:val="auto"/>
        </w:rPr>
      </w:pPr>
    </w:p>
    <w:p>
      <w:pPr>
        <w:spacing w:after="0"/>
        <w:rPr>
          <w:sz w:val="20"/>
          <w:szCs w:val="20"/>
          <w:color w:val="auto"/>
        </w:rPr>
      </w:pPr>
      <w:r>
        <w:rPr>
          <w:rFonts w:ascii="Arial" w:cs="Arial" w:eastAsia="Arial" w:hAnsi="Arial"/>
          <w:sz w:val="14"/>
          <w:szCs w:val="14"/>
          <w:b w:val="1"/>
          <w:bCs w:val="1"/>
          <w:i w:val="1"/>
          <w:iCs w:val="1"/>
          <w:color w:val="auto"/>
        </w:rPr>
        <w:t>Allowance for Loan Losses</w:t>
      </w:r>
    </w:p>
    <w:p>
      <w:pPr>
        <w:spacing w:after="0" w:line="141" w:lineRule="exact"/>
        <w:rPr>
          <w:sz w:val="20"/>
          <w:szCs w:val="20"/>
          <w:color w:val="auto"/>
        </w:rPr>
      </w:pPr>
    </w:p>
    <w:p>
      <w:pPr>
        <w:jc w:val="both"/>
        <w:spacing w:after="0" w:line="264" w:lineRule="auto"/>
        <w:rPr>
          <w:sz w:val="20"/>
          <w:szCs w:val="20"/>
          <w:color w:val="auto"/>
        </w:rPr>
      </w:pPr>
      <w:r>
        <w:rPr>
          <w:rFonts w:ascii="Arial" w:cs="Arial" w:eastAsia="Arial" w:hAnsi="Arial"/>
          <w:sz w:val="14"/>
          <w:szCs w:val="14"/>
          <w:color w:val="auto"/>
        </w:rPr>
        <w:t>In June 2016, the FASB issued accounting guidance regarding the measurement of credit losses on financial instruments, which will change the way entities recognize impairment of many financial assets by requiring immediate recognition of estimated credit losses expected to occur over the asset's remaining life. The Company currently uses an incurred loss model when calculating its allowance for loan losses. As a result, the Company expects the new guidance will increase the allowance for loan losses. This guidance will be effective for the Company beginning January 1, 2020. This standard represents a significant departure from existing GAAP, and may result in significant changes to the Company's accounting for the allowance for loan losses. The Company is evaluating the impact this pronouncement will have on its ongoing financial reporting.</w:t>
      </w: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53</w:t>
      </w:r>
    </w:p>
    <w:p>
      <w:pPr>
        <w:sectPr>
          <w:pgSz w:w="11900" w:h="16838" w:orient="portrait"/>
          <w:cols w:equalWidth="0" w:num="1">
            <w:col w:w="11460"/>
          </w:cols>
          <w:pgMar w:left="220" w:top="743" w:right="219" w:bottom="1440" w:gutter="0" w:footer="0" w:header="0"/>
        </w:sectPr>
      </w:pPr>
    </w:p>
    <w:bookmarkStart w:id="54" w:name="page55"/>
    <w:bookmarkEnd w:id="54"/>
    <w:p>
      <w:pPr>
        <w:spacing w:after="0"/>
        <w:rPr>
          <w:sz w:val="20"/>
          <w:szCs w:val="20"/>
          <w:color w:val="auto"/>
        </w:rPr>
      </w:pPr>
      <w:r>
        <w:rPr>
          <w:rFonts w:ascii="Arial" w:cs="Arial" w:eastAsia="Arial" w:hAnsi="Arial"/>
          <w:sz w:val="14"/>
          <w:szCs w:val="14"/>
          <w:b w:val="1"/>
          <w:bCs w:val="1"/>
          <w:color w:val="auto"/>
        </w:rPr>
        <w:t>ITEM 3. QUANTITATIVE AND QUALITATIVE DISCLOSURES ABOUT MARKET RISK</w:t>
      </w:r>
    </w:p>
    <w:p>
      <w:pPr>
        <w:spacing w:after="0" w:line="141"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(All dollars are in thousands, except share amounts, unless otherwise noted)</w:t>
      </w:r>
    </w:p>
    <w:p>
      <w:pPr>
        <w:spacing w:after="0" w:line="141"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Interest Rate Risk</w:t>
      </w:r>
    </w:p>
    <w:p>
      <w:pPr>
        <w:spacing w:after="0" w:line="145" w:lineRule="exact"/>
        <w:rPr>
          <w:sz w:val="20"/>
          <w:szCs w:val="20"/>
          <w:color w:val="auto"/>
        </w:rPr>
      </w:pPr>
    </w:p>
    <w:p>
      <w:pPr>
        <w:spacing w:after="0"/>
        <w:rPr>
          <w:sz w:val="20"/>
          <w:szCs w:val="20"/>
          <w:color w:val="auto"/>
        </w:rPr>
      </w:pPr>
      <w:r>
        <w:rPr>
          <w:rFonts w:ascii="Arial" w:cs="Arial" w:eastAsia="Arial" w:hAnsi="Arial"/>
          <w:sz w:val="13"/>
          <w:szCs w:val="13"/>
          <w:color w:val="auto"/>
        </w:rPr>
        <w:t>The Company’s primary market risk exposure arises from fluctuations in its borrowing and lending rates, the spread between which could impact the Company due to shifts in market interest rates.</w:t>
      </w:r>
    </w:p>
    <w:p>
      <w:pPr>
        <w:spacing w:after="0" w:line="152" w:lineRule="exact"/>
        <w:rPr>
          <w:sz w:val="20"/>
          <w:szCs w:val="20"/>
          <w:color w:val="auto"/>
        </w:rPr>
      </w:pPr>
    </w:p>
    <w:p>
      <w:pPr>
        <w:spacing w:after="0"/>
        <w:rPr>
          <w:sz w:val="20"/>
          <w:szCs w:val="20"/>
          <w:color w:val="auto"/>
        </w:rPr>
      </w:pPr>
      <w:r>
        <w:rPr>
          <w:rFonts w:ascii="Arial" w:cs="Arial" w:eastAsia="Arial" w:hAnsi="Arial"/>
          <w:sz w:val="14"/>
          <w:szCs w:val="14"/>
          <w:color w:val="auto"/>
        </w:rPr>
        <w:t>The following table sets forth the Company’s loan assets and debt instruments by rate characteristics:</w:t>
      </w:r>
    </w:p>
    <w:p>
      <w:pPr>
        <w:spacing w:after="0" w:line="98" w:lineRule="exact"/>
        <w:rPr>
          <w:sz w:val="20"/>
          <w:szCs w:val="20"/>
          <w:color w:val="auto"/>
        </w:rPr>
      </w:pPr>
    </w:p>
    <w:tbl>
      <w:tblPr>
        <w:tblLayout w:type="fixed"/>
        <w:tblInd w:w="500" w:type="dxa"/>
        <w:tblCellMar>
          <w:top w:w="0" w:type="dxa"/>
          <w:left w:w="0" w:type="dxa"/>
          <w:bottom w:w="0" w:type="dxa"/>
          <w:right w:w="0" w:type="dxa"/>
        </w:tblCellMar>
      </w:tblPr>
      <w:tr>
        <w:trPr>
          <w:trHeight w:val="167"/>
        </w:trPr>
        <w:tc>
          <w:tcPr>
            <w:tcW w:w="44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200" w:type="dxa"/>
            <w:vAlign w:val="bottom"/>
            <w:gridSpan w:val="3"/>
          </w:tcPr>
          <w:p>
            <w:pPr>
              <w:ind w:left="600"/>
              <w:spacing w:after="0"/>
              <w:rPr>
                <w:sz w:val="20"/>
                <w:szCs w:val="20"/>
                <w:color w:val="auto"/>
              </w:rPr>
            </w:pPr>
            <w:r>
              <w:rPr>
                <w:rFonts w:ascii="Arial" w:cs="Arial" w:eastAsia="Arial" w:hAnsi="Arial"/>
                <w:sz w:val="13"/>
                <w:szCs w:val="13"/>
                <w:b w:val="1"/>
                <w:bCs w:val="1"/>
                <w:color w:val="auto"/>
              </w:rPr>
              <w:t>As of March 31, 2019</w:t>
            </w:r>
          </w:p>
        </w:tc>
        <w:tc>
          <w:tcPr>
            <w:tcW w:w="3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540" w:type="dxa"/>
            <w:vAlign w:val="bottom"/>
            <w:gridSpan w:val="3"/>
          </w:tcPr>
          <w:p>
            <w:pPr>
              <w:jc w:val="right"/>
              <w:ind w:right="595"/>
              <w:spacing w:after="0"/>
              <w:rPr>
                <w:sz w:val="20"/>
                <w:szCs w:val="20"/>
                <w:color w:val="auto"/>
              </w:rPr>
            </w:pPr>
            <w:r>
              <w:rPr>
                <w:rFonts w:ascii="Arial" w:cs="Arial" w:eastAsia="Arial" w:hAnsi="Arial"/>
                <w:sz w:val="13"/>
                <w:szCs w:val="13"/>
                <w:b w:val="1"/>
                <w:bCs w:val="1"/>
                <w:color w:val="auto"/>
              </w:rPr>
              <w:t>As of December 31, 2018</w:t>
            </w:r>
          </w:p>
        </w:tc>
        <w:tc>
          <w:tcPr>
            <w:tcW w:w="140" w:type="dxa"/>
            <w:vAlign w:val="bottom"/>
          </w:tcPr>
          <w:p>
            <w:pPr>
              <w:spacing w:after="0"/>
              <w:rPr>
                <w:sz w:val="14"/>
                <w:szCs w:val="14"/>
                <w:color w:val="auto"/>
              </w:rPr>
            </w:pPr>
          </w:p>
        </w:tc>
      </w:tr>
      <w:tr>
        <w:trPr>
          <w:trHeight w:val="27"/>
        </w:trPr>
        <w:tc>
          <w:tcPr>
            <w:tcW w:w="44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gridSpan w:val="2"/>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gridSpan w:val="2"/>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r>
      <w:tr>
        <w:trPr>
          <w:trHeight w:val="169"/>
        </w:trPr>
        <w:tc>
          <w:tcPr>
            <w:tcW w:w="44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220" w:type="dxa"/>
            <w:vAlign w:val="bottom"/>
            <w:gridSpan w:val="2"/>
          </w:tcPr>
          <w:p>
            <w:pPr>
              <w:ind w:left="200"/>
              <w:spacing w:after="0"/>
              <w:rPr>
                <w:sz w:val="20"/>
                <w:szCs w:val="20"/>
                <w:color w:val="auto"/>
              </w:rPr>
            </w:pPr>
            <w:r>
              <w:rPr>
                <w:rFonts w:ascii="Arial" w:cs="Arial" w:eastAsia="Arial" w:hAnsi="Arial"/>
                <w:sz w:val="13"/>
                <w:szCs w:val="13"/>
                <w:b w:val="1"/>
                <w:bCs w:val="1"/>
                <w:color w:val="auto"/>
              </w:rPr>
              <w:t>Dollars</w:t>
            </w:r>
          </w:p>
        </w:tc>
        <w:tc>
          <w:tcPr>
            <w:tcW w:w="980" w:type="dxa"/>
            <w:vAlign w:val="bottom"/>
          </w:tcPr>
          <w:p>
            <w:pPr>
              <w:ind w:left="520"/>
              <w:spacing w:after="0"/>
              <w:rPr>
                <w:sz w:val="20"/>
                <w:szCs w:val="20"/>
                <w:color w:val="auto"/>
              </w:rPr>
            </w:pPr>
            <w:r>
              <w:rPr>
                <w:rFonts w:ascii="Arial" w:cs="Arial" w:eastAsia="Arial" w:hAnsi="Arial"/>
                <w:sz w:val="13"/>
                <w:szCs w:val="13"/>
                <w:b w:val="1"/>
                <w:bCs w:val="1"/>
                <w:color w:val="auto"/>
                <w:w w:val="92"/>
              </w:rPr>
              <w:t>Percent</w:t>
            </w:r>
          </w:p>
        </w:tc>
        <w:tc>
          <w:tcPr>
            <w:tcW w:w="3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220" w:type="dxa"/>
            <w:vAlign w:val="bottom"/>
            <w:gridSpan w:val="2"/>
          </w:tcPr>
          <w:p>
            <w:pPr>
              <w:ind w:left="220"/>
              <w:spacing w:after="0"/>
              <w:rPr>
                <w:sz w:val="20"/>
                <w:szCs w:val="20"/>
                <w:color w:val="auto"/>
              </w:rPr>
            </w:pPr>
            <w:r>
              <w:rPr>
                <w:rFonts w:ascii="Arial" w:cs="Arial" w:eastAsia="Arial" w:hAnsi="Arial"/>
                <w:sz w:val="13"/>
                <w:szCs w:val="13"/>
                <w:b w:val="1"/>
                <w:bCs w:val="1"/>
                <w:color w:val="auto"/>
              </w:rPr>
              <w:t>Dollars</w:t>
            </w:r>
          </w:p>
        </w:tc>
        <w:tc>
          <w:tcPr>
            <w:tcW w:w="1320" w:type="dxa"/>
            <w:vAlign w:val="bottom"/>
          </w:tcPr>
          <w:p>
            <w:pPr>
              <w:jc w:val="right"/>
              <w:ind w:right="315"/>
              <w:spacing w:after="0"/>
              <w:rPr>
                <w:sz w:val="20"/>
                <w:szCs w:val="20"/>
                <w:color w:val="auto"/>
              </w:rPr>
            </w:pPr>
            <w:r>
              <w:rPr>
                <w:rFonts w:ascii="Arial" w:cs="Arial" w:eastAsia="Arial" w:hAnsi="Arial"/>
                <w:sz w:val="13"/>
                <w:szCs w:val="13"/>
                <w:b w:val="1"/>
                <w:bCs w:val="1"/>
                <w:color w:val="auto"/>
              </w:rPr>
              <w:t>Percent</w:t>
            </w:r>
          </w:p>
        </w:tc>
        <w:tc>
          <w:tcPr>
            <w:tcW w:w="140" w:type="dxa"/>
            <w:vAlign w:val="bottom"/>
          </w:tcPr>
          <w:p>
            <w:pPr>
              <w:spacing w:after="0"/>
              <w:rPr>
                <w:sz w:val="14"/>
                <w:szCs w:val="14"/>
                <w:color w:val="auto"/>
              </w:rPr>
            </w:pPr>
          </w:p>
        </w:tc>
      </w:tr>
      <w:tr>
        <w:trPr>
          <w:trHeight w:val="27"/>
        </w:trPr>
        <w:tc>
          <w:tcPr>
            <w:tcW w:w="44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r>
      <w:tr>
        <w:trPr>
          <w:trHeight w:val="176"/>
        </w:trPr>
        <w:tc>
          <w:tcPr>
            <w:tcW w:w="44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Fixed-rate loan assets</w:t>
            </w:r>
          </w:p>
        </w:tc>
        <w:tc>
          <w:tcPr>
            <w:tcW w:w="300" w:type="dxa"/>
            <w:vAlign w:val="bottom"/>
            <w:tcBorders>
              <w:bottom w:val="single" w:sz="8" w:color="CCEEFF"/>
            </w:tcBorders>
            <w:shd w:val="clear" w:color="auto" w:fill="CCEEFF"/>
          </w:tcPr>
          <w:p>
            <w:pPr>
              <w:jc w:val="right"/>
              <w:ind w:right="155"/>
              <w:spacing w:after="0"/>
              <w:rPr>
                <w:sz w:val="20"/>
                <w:szCs w:val="20"/>
                <w:color w:val="auto"/>
              </w:rPr>
            </w:pPr>
            <w:r>
              <w:rPr>
                <w:rFonts w:ascii="Arial" w:cs="Arial" w:eastAsia="Arial" w:hAnsi="Arial"/>
                <w:sz w:val="13"/>
                <w:szCs w:val="13"/>
                <w:color w:val="auto"/>
                <w:w w:val="82"/>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2,740,929</w:t>
            </w:r>
          </w:p>
        </w:tc>
        <w:tc>
          <w:tcPr>
            <w:tcW w:w="100" w:type="dxa"/>
            <w:vAlign w:val="bottom"/>
            <w:tcBorders>
              <w:bottom w:val="single" w:sz="8" w:color="CCEEFF"/>
            </w:tcBorders>
            <w:shd w:val="clear" w:color="auto" w:fill="CCEEFF"/>
          </w:tcPr>
          <w:p>
            <w:pPr>
              <w:spacing w:after="0"/>
              <w:rPr>
                <w:sz w:val="15"/>
                <w:szCs w:val="15"/>
                <w:color w:val="auto"/>
              </w:rPr>
            </w:pPr>
          </w:p>
        </w:tc>
        <w:tc>
          <w:tcPr>
            <w:tcW w:w="980" w:type="dxa"/>
            <w:vAlign w:val="bottom"/>
            <w:tcBorders>
              <w:bottom w:val="single" w:sz="8" w:color="CCEEFF"/>
            </w:tcBorders>
            <w:shd w:val="clear" w:color="auto" w:fill="CCEEFF"/>
          </w:tcPr>
          <w:p>
            <w:pPr>
              <w:spacing w:after="0"/>
              <w:rPr>
                <w:sz w:val="15"/>
                <w:szCs w:val="15"/>
                <w:color w:val="auto"/>
              </w:rPr>
            </w:pPr>
          </w:p>
        </w:tc>
        <w:tc>
          <w:tcPr>
            <w:tcW w:w="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12.4</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w w:val="86"/>
              </w:rPr>
              <w:t>%</w:t>
            </w:r>
          </w:p>
        </w:tc>
        <w:tc>
          <w:tcPr>
            <w:tcW w:w="100" w:type="dxa"/>
            <w:vAlign w:val="bottom"/>
            <w:tcBorders>
              <w:bottom w:val="single" w:sz="8" w:color="CCEEFF"/>
            </w:tcBorders>
            <w:shd w:val="clear" w:color="auto" w:fill="CCEEFF"/>
          </w:tcPr>
          <w:p>
            <w:pPr>
              <w:spacing w:after="0"/>
              <w:rPr>
                <w:sz w:val="15"/>
                <w:szCs w:val="15"/>
                <w:color w:val="auto"/>
              </w:rPr>
            </w:pPr>
          </w:p>
        </w:tc>
        <w:tc>
          <w:tcPr>
            <w:tcW w:w="300" w:type="dxa"/>
            <w:vAlign w:val="bottom"/>
            <w:tcBorders>
              <w:bottom w:val="single" w:sz="8" w:color="CCEEFF"/>
            </w:tcBorders>
            <w:shd w:val="clear" w:color="auto" w:fill="CCEEFF"/>
          </w:tcPr>
          <w:p>
            <w:pPr>
              <w:jc w:val="right"/>
              <w:ind w:right="155"/>
              <w:spacing w:after="0"/>
              <w:rPr>
                <w:sz w:val="20"/>
                <w:szCs w:val="20"/>
                <w:color w:val="auto"/>
              </w:rPr>
            </w:pPr>
            <w:r>
              <w:rPr>
                <w:rFonts w:ascii="Arial" w:cs="Arial" w:eastAsia="Arial" w:hAnsi="Arial"/>
                <w:sz w:val="13"/>
                <w:szCs w:val="13"/>
                <w:color w:val="auto"/>
                <w:w w:val="82"/>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2,792,734</w:t>
            </w:r>
          </w:p>
        </w:tc>
        <w:tc>
          <w:tcPr>
            <w:tcW w:w="100" w:type="dxa"/>
            <w:vAlign w:val="bottom"/>
            <w:tcBorders>
              <w:bottom w:val="single" w:sz="8" w:color="CCEEFF"/>
            </w:tcBorders>
            <w:shd w:val="clear" w:color="auto" w:fill="CCEEFF"/>
          </w:tcPr>
          <w:p>
            <w:pPr>
              <w:spacing w:after="0"/>
              <w:rPr>
                <w:sz w:val="15"/>
                <w:szCs w:val="15"/>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12.4</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w:t>
            </w:r>
          </w:p>
        </w:tc>
      </w:tr>
      <w:tr>
        <w:trPr>
          <w:trHeight w:val="178"/>
        </w:trPr>
        <w:tc>
          <w:tcPr>
            <w:tcW w:w="4400" w:type="dxa"/>
            <w:vAlign w:val="bottom"/>
          </w:tcPr>
          <w:p>
            <w:pPr>
              <w:ind w:left="20"/>
              <w:spacing w:after="0"/>
              <w:rPr>
                <w:sz w:val="20"/>
                <w:szCs w:val="20"/>
                <w:color w:val="auto"/>
              </w:rPr>
            </w:pPr>
            <w:r>
              <w:rPr>
                <w:rFonts w:ascii="Arial" w:cs="Arial" w:eastAsia="Arial" w:hAnsi="Arial"/>
                <w:sz w:val="13"/>
                <w:szCs w:val="13"/>
                <w:color w:val="auto"/>
              </w:rPr>
              <w:t>Variable-rate loan assets</w:t>
            </w:r>
          </w:p>
        </w:tc>
        <w:tc>
          <w:tcPr>
            <w:tcW w:w="300" w:type="dxa"/>
            <w:vAlign w:val="bottom"/>
          </w:tcPr>
          <w:p>
            <w:pPr>
              <w:spacing w:after="0"/>
              <w:rPr>
                <w:sz w:val="15"/>
                <w:szCs w:val="15"/>
                <w:color w:val="auto"/>
              </w:rPr>
            </w:pPr>
          </w:p>
        </w:tc>
        <w:tc>
          <w:tcPr>
            <w:tcW w:w="1120" w:type="dxa"/>
            <w:vAlign w:val="bottom"/>
          </w:tcPr>
          <w:p>
            <w:pPr>
              <w:jc w:val="right"/>
              <w:spacing w:after="0"/>
              <w:rPr>
                <w:sz w:val="20"/>
                <w:szCs w:val="20"/>
                <w:color w:val="auto"/>
              </w:rPr>
            </w:pPr>
            <w:r>
              <w:rPr>
                <w:rFonts w:ascii="Arial" w:cs="Arial" w:eastAsia="Arial" w:hAnsi="Arial"/>
                <w:sz w:val="13"/>
                <w:szCs w:val="13"/>
                <w:color w:val="auto"/>
              </w:rPr>
              <w:t>19,341,714</w:t>
            </w:r>
          </w:p>
        </w:tc>
        <w:tc>
          <w:tcPr>
            <w:tcW w:w="10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340" w:type="dxa"/>
            <w:vAlign w:val="bottom"/>
          </w:tcPr>
          <w:p>
            <w:pPr>
              <w:jc w:val="right"/>
              <w:spacing w:after="0"/>
              <w:rPr>
                <w:sz w:val="20"/>
                <w:szCs w:val="20"/>
                <w:color w:val="auto"/>
              </w:rPr>
            </w:pPr>
            <w:r>
              <w:rPr>
                <w:rFonts w:ascii="Arial" w:cs="Arial" w:eastAsia="Arial" w:hAnsi="Arial"/>
                <w:sz w:val="13"/>
                <w:szCs w:val="13"/>
                <w:color w:val="auto"/>
              </w:rPr>
              <w:t>87.6</w:t>
            </w: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120" w:type="dxa"/>
            <w:vAlign w:val="bottom"/>
          </w:tcPr>
          <w:p>
            <w:pPr>
              <w:jc w:val="right"/>
              <w:spacing w:after="0"/>
              <w:rPr>
                <w:sz w:val="20"/>
                <w:szCs w:val="20"/>
                <w:color w:val="auto"/>
              </w:rPr>
            </w:pPr>
            <w:r>
              <w:rPr>
                <w:rFonts w:ascii="Arial" w:cs="Arial" w:eastAsia="Arial" w:hAnsi="Arial"/>
                <w:sz w:val="13"/>
                <w:szCs w:val="13"/>
                <w:color w:val="auto"/>
              </w:rPr>
              <w:t>19,727,764</w:t>
            </w:r>
          </w:p>
        </w:tc>
        <w:tc>
          <w:tcPr>
            <w:tcW w:w="100" w:type="dxa"/>
            <w:vAlign w:val="bottom"/>
          </w:tcPr>
          <w:p>
            <w:pPr>
              <w:spacing w:after="0"/>
              <w:rPr>
                <w:sz w:val="15"/>
                <w:szCs w:val="15"/>
                <w:color w:val="auto"/>
              </w:rPr>
            </w:pPr>
          </w:p>
        </w:tc>
        <w:tc>
          <w:tcPr>
            <w:tcW w:w="1320" w:type="dxa"/>
            <w:vAlign w:val="bottom"/>
          </w:tcPr>
          <w:p>
            <w:pPr>
              <w:jc w:val="right"/>
              <w:spacing w:after="0"/>
              <w:rPr>
                <w:sz w:val="20"/>
                <w:szCs w:val="20"/>
                <w:color w:val="auto"/>
              </w:rPr>
            </w:pPr>
            <w:r>
              <w:rPr>
                <w:rFonts w:ascii="Arial" w:cs="Arial" w:eastAsia="Arial" w:hAnsi="Arial"/>
                <w:sz w:val="13"/>
                <w:szCs w:val="13"/>
                <w:color w:val="auto"/>
              </w:rPr>
              <w:t>87.6</w:t>
            </w:r>
          </w:p>
        </w:tc>
        <w:tc>
          <w:tcPr>
            <w:tcW w:w="140" w:type="dxa"/>
            <w:vAlign w:val="bottom"/>
          </w:tcPr>
          <w:p>
            <w:pPr>
              <w:spacing w:after="0"/>
              <w:rPr>
                <w:sz w:val="15"/>
                <w:szCs w:val="15"/>
                <w:color w:val="auto"/>
              </w:rPr>
            </w:pPr>
          </w:p>
        </w:tc>
      </w:tr>
      <w:tr>
        <w:trPr>
          <w:trHeight w:val="27"/>
        </w:trPr>
        <w:tc>
          <w:tcPr>
            <w:tcW w:w="44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r>
      <w:tr>
        <w:trPr>
          <w:trHeight w:val="218"/>
        </w:trPr>
        <w:tc>
          <w:tcPr>
            <w:tcW w:w="4400" w:type="dxa"/>
            <w:vAlign w:val="bottom"/>
            <w:tcBorders>
              <w:bottom w:val="single" w:sz="8" w:color="CCEEFF"/>
            </w:tcBorders>
            <w:shd w:val="clear" w:color="auto" w:fill="CCEEFF"/>
          </w:tcPr>
          <w:p>
            <w:pPr>
              <w:ind w:left="80"/>
              <w:spacing w:after="0"/>
              <w:rPr>
                <w:sz w:val="20"/>
                <w:szCs w:val="20"/>
                <w:color w:val="auto"/>
              </w:rPr>
            </w:pPr>
            <w:r>
              <w:rPr>
                <w:rFonts w:ascii="Arial" w:cs="Arial" w:eastAsia="Arial" w:hAnsi="Arial"/>
                <w:sz w:val="13"/>
                <w:szCs w:val="13"/>
                <w:color w:val="auto"/>
              </w:rPr>
              <w:t>Total</w:t>
            </w:r>
          </w:p>
        </w:tc>
        <w:tc>
          <w:tcPr>
            <w:tcW w:w="300" w:type="dxa"/>
            <w:vAlign w:val="bottom"/>
            <w:tcBorders>
              <w:bottom w:val="single" w:sz="8" w:color="auto"/>
            </w:tcBorders>
            <w:shd w:val="clear" w:color="auto" w:fill="CCEEFF"/>
          </w:tcPr>
          <w:p>
            <w:pPr>
              <w:jc w:val="right"/>
              <w:ind w:right="155"/>
              <w:spacing w:after="0"/>
              <w:rPr>
                <w:sz w:val="20"/>
                <w:szCs w:val="20"/>
                <w:color w:val="auto"/>
              </w:rPr>
            </w:pPr>
            <w:r>
              <w:rPr>
                <w:rFonts w:ascii="Arial" w:cs="Arial" w:eastAsia="Arial" w:hAnsi="Arial"/>
                <w:sz w:val="13"/>
                <w:szCs w:val="13"/>
                <w:color w:val="auto"/>
                <w:w w:val="82"/>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22,082,643</w:t>
            </w:r>
          </w:p>
        </w:tc>
        <w:tc>
          <w:tcPr>
            <w:tcW w:w="100" w:type="dxa"/>
            <w:vAlign w:val="bottom"/>
            <w:tcBorders>
              <w:bottom w:val="single" w:sz="8" w:color="CCEEFF"/>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spacing w:after="0"/>
              <w:rPr>
                <w:sz w:val="18"/>
                <w:szCs w:val="18"/>
                <w:color w:val="auto"/>
              </w:rPr>
            </w:pPr>
          </w:p>
        </w:tc>
        <w:tc>
          <w:tcPr>
            <w:tcW w:w="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92"/>
              </w:rPr>
              <w:t>100.0</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6"/>
              </w:rPr>
              <w:t>%</w:t>
            </w:r>
          </w:p>
        </w:tc>
        <w:tc>
          <w:tcPr>
            <w:tcW w:w="100" w:type="dxa"/>
            <w:vAlign w:val="bottom"/>
            <w:tcBorders>
              <w:bottom w:val="single" w:sz="8" w:color="CCEEFF"/>
            </w:tcBorders>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jc w:val="right"/>
              <w:ind w:right="155"/>
              <w:spacing w:after="0"/>
              <w:rPr>
                <w:sz w:val="20"/>
                <w:szCs w:val="20"/>
                <w:color w:val="auto"/>
              </w:rPr>
            </w:pPr>
            <w:r>
              <w:rPr>
                <w:rFonts w:ascii="Arial" w:cs="Arial" w:eastAsia="Arial" w:hAnsi="Arial"/>
                <w:sz w:val="13"/>
                <w:szCs w:val="13"/>
                <w:color w:val="auto"/>
                <w:w w:val="82"/>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22,520,498</w:t>
            </w:r>
          </w:p>
        </w:tc>
        <w:tc>
          <w:tcPr>
            <w:tcW w:w="100" w:type="dxa"/>
            <w:vAlign w:val="bottom"/>
            <w:tcBorders>
              <w:bottom w:val="single" w:sz="8" w:color="CCEEFF"/>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100.0</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r>
      <w:tr>
        <w:trPr>
          <w:trHeight w:val="20"/>
        </w:trPr>
        <w:tc>
          <w:tcPr>
            <w:tcW w:w="44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32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r>
      <w:tr>
        <w:trPr>
          <w:trHeight w:val="149"/>
        </w:trPr>
        <w:tc>
          <w:tcPr>
            <w:tcW w:w="44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140" w:type="dxa"/>
            <w:vAlign w:val="bottom"/>
          </w:tcPr>
          <w:p>
            <w:pPr>
              <w:spacing w:after="0"/>
              <w:rPr>
                <w:sz w:val="12"/>
                <w:szCs w:val="12"/>
                <w:color w:val="auto"/>
              </w:rPr>
            </w:pPr>
          </w:p>
        </w:tc>
      </w:tr>
      <w:tr>
        <w:trPr>
          <w:trHeight w:val="185"/>
        </w:trPr>
        <w:tc>
          <w:tcPr>
            <w:tcW w:w="44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Fixed-rate debt instruments</w:t>
            </w:r>
          </w:p>
        </w:tc>
        <w:tc>
          <w:tcPr>
            <w:tcW w:w="300" w:type="dxa"/>
            <w:vAlign w:val="bottom"/>
            <w:tcBorders>
              <w:bottom w:val="single" w:sz="8" w:color="CCEEFF"/>
            </w:tcBorders>
            <w:shd w:val="clear" w:color="auto" w:fill="CCEEFF"/>
          </w:tcPr>
          <w:p>
            <w:pPr>
              <w:jc w:val="right"/>
              <w:ind w:right="155"/>
              <w:spacing w:after="0"/>
              <w:rPr>
                <w:sz w:val="20"/>
                <w:szCs w:val="20"/>
                <w:color w:val="auto"/>
              </w:rPr>
            </w:pPr>
            <w:r>
              <w:rPr>
                <w:rFonts w:ascii="Arial" w:cs="Arial" w:eastAsia="Arial" w:hAnsi="Arial"/>
                <w:sz w:val="13"/>
                <w:szCs w:val="13"/>
                <w:color w:val="auto"/>
                <w:w w:val="82"/>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59,609</w:t>
            </w:r>
          </w:p>
        </w:tc>
        <w:tc>
          <w:tcPr>
            <w:tcW w:w="100" w:type="dxa"/>
            <w:vAlign w:val="bottom"/>
            <w:tcBorders>
              <w:bottom w:val="single" w:sz="8" w:color="CCEEFF"/>
            </w:tcBorders>
            <w:shd w:val="clear" w:color="auto" w:fill="CCEEFF"/>
          </w:tcPr>
          <w:p>
            <w:pPr>
              <w:spacing w:after="0"/>
              <w:rPr>
                <w:sz w:val="16"/>
                <w:szCs w:val="16"/>
                <w:color w:val="auto"/>
              </w:rPr>
            </w:pPr>
          </w:p>
        </w:tc>
        <w:tc>
          <w:tcPr>
            <w:tcW w:w="980" w:type="dxa"/>
            <w:vAlign w:val="bottom"/>
            <w:tcBorders>
              <w:bottom w:val="single" w:sz="8" w:color="CCEEFF"/>
            </w:tcBorders>
            <w:shd w:val="clear" w:color="auto" w:fill="CCEEFF"/>
          </w:tcPr>
          <w:p>
            <w:pPr>
              <w:spacing w:after="0"/>
              <w:rPr>
                <w:sz w:val="16"/>
                <w:szCs w:val="16"/>
                <w:color w:val="auto"/>
              </w:rPr>
            </w:pPr>
          </w:p>
        </w:tc>
        <w:tc>
          <w:tcPr>
            <w:tcW w:w="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0.3</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w w:val="86"/>
              </w:rPr>
              <w:t>%</w:t>
            </w:r>
          </w:p>
        </w:tc>
        <w:tc>
          <w:tcPr>
            <w:tcW w:w="100" w:type="dxa"/>
            <w:vAlign w:val="bottom"/>
            <w:tcBorders>
              <w:bottom w:val="single" w:sz="8" w:color="CCEEFF"/>
            </w:tcBorders>
            <w:shd w:val="clear" w:color="auto" w:fill="CCEEFF"/>
          </w:tcPr>
          <w:p>
            <w:pPr>
              <w:spacing w:after="0"/>
              <w:rPr>
                <w:sz w:val="16"/>
                <w:szCs w:val="16"/>
                <w:color w:val="auto"/>
              </w:rPr>
            </w:pPr>
          </w:p>
        </w:tc>
        <w:tc>
          <w:tcPr>
            <w:tcW w:w="300" w:type="dxa"/>
            <w:vAlign w:val="bottom"/>
            <w:tcBorders>
              <w:bottom w:val="single" w:sz="8" w:color="CCEEFF"/>
            </w:tcBorders>
            <w:shd w:val="clear" w:color="auto" w:fill="CCEEFF"/>
          </w:tcPr>
          <w:p>
            <w:pPr>
              <w:jc w:val="right"/>
              <w:ind w:right="155"/>
              <w:spacing w:after="0"/>
              <w:rPr>
                <w:sz w:val="20"/>
                <w:szCs w:val="20"/>
                <w:color w:val="auto"/>
              </w:rPr>
            </w:pPr>
            <w:r>
              <w:rPr>
                <w:rFonts w:ascii="Arial" w:cs="Arial" w:eastAsia="Arial" w:hAnsi="Arial"/>
                <w:sz w:val="13"/>
                <w:szCs w:val="13"/>
                <w:color w:val="auto"/>
                <w:w w:val="82"/>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88,128</w:t>
            </w:r>
          </w:p>
        </w:tc>
        <w:tc>
          <w:tcPr>
            <w:tcW w:w="100" w:type="dxa"/>
            <w:vAlign w:val="bottom"/>
            <w:tcBorders>
              <w:bottom w:val="single" w:sz="8" w:color="CCEEFF"/>
            </w:tcBorders>
            <w:shd w:val="clear" w:color="auto" w:fill="CCEEFF"/>
          </w:tcPr>
          <w:p>
            <w:pPr>
              <w:spacing w:after="0"/>
              <w:rPr>
                <w:sz w:val="16"/>
                <w:szCs w:val="16"/>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0.4</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w:t>
            </w:r>
          </w:p>
        </w:tc>
      </w:tr>
      <w:tr>
        <w:trPr>
          <w:trHeight w:val="178"/>
        </w:trPr>
        <w:tc>
          <w:tcPr>
            <w:tcW w:w="4400" w:type="dxa"/>
            <w:vAlign w:val="bottom"/>
          </w:tcPr>
          <w:p>
            <w:pPr>
              <w:ind w:left="20"/>
              <w:spacing w:after="0"/>
              <w:rPr>
                <w:sz w:val="20"/>
                <w:szCs w:val="20"/>
                <w:color w:val="auto"/>
              </w:rPr>
            </w:pPr>
            <w:r>
              <w:rPr>
                <w:rFonts w:ascii="Arial" w:cs="Arial" w:eastAsia="Arial" w:hAnsi="Arial"/>
                <w:sz w:val="13"/>
                <w:szCs w:val="13"/>
                <w:color w:val="auto"/>
              </w:rPr>
              <w:t>Variable-rate debt instruments</w:t>
            </w:r>
          </w:p>
        </w:tc>
        <w:tc>
          <w:tcPr>
            <w:tcW w:w="300" w:type="dxa"/>
            <w:vAlign w:val="bottom"/>
          </w:tcPr>
          <w:p>
            <w:pPr>
              <w:spacing w:after="0"/>
              <w:rPr>
                <w:sz w:val="15"/>
                <w:szCs w:val="15"/>
                <w:color w:val="auto"/>
              </w:rPr>
            </w:pPr>
          </w:p>
        </w:tc>
        <w:tc>
          <w:tcPr>
            <w:tcW w:w="1120" w:type="dxa"/>
            <w:vAlign w:val="bottom"/>
          </w:tcPr>
          <w:p>
            <w:pPr>
              <w:jc w:val="right"/>
              <w:spacing w:after="0"/>
              <w:rPr>
                <w:sz w:val="20"/>
                <w:szCs w:val="20"/>
                <w:color w:val="auto"/>
              </w:rPr>
            </w:pPr>
            <w:r>
              <w:rPr>
                <w:rFonts w:ascii="Arial" w:cs="Arial" w:eastAsia="Arial" w:hAnsi="Arial"/>
                <w:sz w:val="13"/>
                <w:szCs w:val="13"/>
                <w:color w:val="auto"/>
              </w:rPr>
              <w:t>22,082,082</w:t>
            </w:r>
          </w:p>
        </w:tc>
        <w:tc>
          <w:tcPr>
            <w:tcW w:w="10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340" w:type="dxa"/>
            <w:vAlign w:val="bottom"/>
          </w:tcPr>
          <w:p>
            <w:pPr>
              <w:jc w:val="right"/>
              <w:spacing w:after="0"/>
              <w:rPr>
                <w:sz w:val="20"/>
                <w:szCs w:val="20"/>
                <w:color w:val="auto"/>
              </w:rPr>
            </w:pPr>
            <w:r>
              <w:rPr>
                <w:rFonts w:ascii="Arial" w:cs="Arial" w:eastAsia="Arial" w:hAnsi="Arial"/>
                <w:sz w:val="13"/>
                <w:szCs w:val="13"/>
                <w:color w:val="auto"/>
              </w:rPr>
              <w:t>99.7</w:t>
            </w: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120" w:type="dxa"/>
            <w:vAlign w:val="bottom"/>
          </w:tcPr>
          <w:p>
            <w:pPr>
              <w:jc w:val="right"/>
              <w:spacing w:after="0"/>
              <w:rPr>
                <w:sz w:val="20"/>
                <w:szCs w:val="20"/>
                <w:color w:val="auto"/>
              </w:rPr>
            </w:pPr>
            <w:r>
              <w:rPr>
                <w:rFonts w:ascii="Arial" w:cs="Arial" w:eastAsia="Arial" w:hAnsi="Arial"/>
                <w:sz w:val="13"/>
                <w:szCs w:val="13"/>
                <w:color w:val="auto"/>
              </w:rPr>
              <w:t>22,448,971</w:t>
            </w:r>
          </w:p>
        </w:tc>
        <w:tc>
          <w:tcPr>
            <w:tcW w:w="100" w:type="dxa"/>
            <w:vAlign w:val="bottom"/>
          </w:tcPr>
          <w:p>
            <w:pPr>
              <w:spacing w:after="0"/>
              <w:rPr>
                <w:sz w:val="15"/>
                <w:szCs w:val="15"/>
                <w:color w:val="auto"/>
              </w:rPr>
            </w:pPr>
          </w:p>
        </w:tc>
        <w:tc>
          <w:tcPr>
            <w:tcW w:w="1320" w:type="dxa"/>
            <w:vAlign w:val="bottom"/>
          </w:tcPr>
          <w:p>
            <w:pPr>
              <w:jc w:val="right"/>
              <w:spacing w:after="0"/>
              <w:rPr>
                <w:sz w:val="20"/>
                <w:szCs w:val="20"/>
                <w:color w:val="auto"/>
              </w:rPr>
            </w:pPr>
            <w:r>
              <w:rPr>
                <w:rFonts w:ascii="Arial" w:cs="Arial" w:eastAsia="Arial" w:hAnsi="Arial"/>
                <w:sz w:val="13"/>
                <w:szCs w:val="13"/>
                <w:color w:val="auto"/>
              </w:rPr>
              <w:t>99.6</w:t>
            </w:r>
          </w:p>
        </w:tc>
        <w:tc>
          <w:tcPr>
            <w:tcW w:w="140" w:type="dxa"/>
            <w:vAlign w:val="bottom"/>
          </w:tcPr>
          <w:p>
            <w:pPr>
              <w:spacing w:after="0"/>
              <w:rPr>
                <w:sz w:val="15"/>
                <w:szCs w:val="15"/>
                <w:color w:val="auto"/>
              </w:rPr>
            </w:pPr>
          </w:p>
        </w:tc>
      </w:tr>
      <w:tr>
        <w:trPr>
          <w:trHeight w:val="27"/>
        </w:trPr>
        <w:tc>
          <w:tcPr>
            <w:tcW w:w="44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r>
      <w:tr>
        <w:trPr>
          <w:trHeight w:val="218"/>
        </w:trPr>
        <w:tc>
          <w:tcPr>
            <w:tcW w:w="4400" w:type="dxa"/>
            <w:vAlign w:val="bottom"/>
            <w:tcBorders>
              <w:bottom w:val="single" w:sz="8" w:color="CCEEFF"/>
            </w:tcBorders>
            <w:shd w:val="clear" w:color="auto" w:fill="CCEEFF"/>
          </w:tcPr>
          <w:p>
            <w:pPr>
              <w:ind w:left="80"/>
              <w:spacing w:after="0"/>
              <w:rPr>
                <w:sz w:val="20"/>
                <w:szCs w:val="20"/>
                <w:color w:val="auto"/>
              </w:rPr>
            </w:pPr>
            <w:r>
              <w:rPr>
                <w:rFonts w:ascii="Arial" w:cs="Arial" w:eastAsia="Arial" w:hAnsi="Arial"/>
                <w:sz w:val="13"/>
                <w:szCs w:val="13"/>
                <w:color w:val="auto"/>
              </w:rPr>
              <w:t>Total</w:t>
            </w:r>
          </w:p>
        </w:tc>
        <w:tc>
          <w:tcPr>
            <w:tcW w:w="300" w:type="dxa"/>
            <w:vAlign w:val="bottom"/>
            <w:tcBorders>
              <w:bottom w:val="single" w:sz="8" w:color="auto"/>
            </w:tcBorders>
            <w:shd w:val="clear" w:color="auto" w:fill="CCEEFF"/>
          </w:tcPr>
          <w:p>
            <w:pPr>
              <w:jc w:val="right"/>
              <w:ind w:right="155"/>
              <w:spacing w:after="0"/>
              <w:rPr>
                <w:sz w:val="20"/>
                <w:szCs w:val="20"/>
                <w:color w:val="auto"/>
              </w:rPr>
            </w:pPr>
            <w:r>
              <w:rPr>
                <w:rFonts w:ascii="Arial" w:cs="Arial" w:eastAsia="Arial" w:hAnsi="Arial"/>
                <w:sz w:val="13"/>
                <w:szCs w:val="13"/>
                <w:color w:val="auto"/>
                <w:w w:val="82"/>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22,141,691</w:t>
            </w:r>
          </w:p>
        </w:tc>
        <w:tc>
          <w:tcPr>
            <w:tcW w:w="100" w:type="dxa"/>
            <w:vAlign w:val="bottom"/>
            <w:tcBorders>
              <w:bottom w:val="single" w:sz="8" w:color="CCEEFF"/>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spacing w:after="0"/>
              <w:rPr>
                <w:sz w:val="18"/>
                <w:szCs w:val="18"/>
                <w:color w:val="auto"/>
              </w:rPr>
            </w:pPr>
          </w:p>
        </w:tc>
        <w:tc>
          <w:tcPr>
            <w:tcW w:w="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92"/>
              </w:rPr>
              <w:t>100.0</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6"/>
              </w:rPr>
              <w:t>%</w:t>
            </w:r>
          </w:p>
        </w:tc>
        <w:tc>
          <w:tcPr>
            <w:tcW w:w="100" w:type="dxa"/>
            <w:vAlign w:val="bottom"/>
            <w:tcBorders>
              <w:bottom w:val="single" w:sz="8" w:color="CCEEFF"/>
            </w:tcBorders>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jc w:val="right"/>
              <w:ind w:right="155"/>
              <w:spacing w:after="0"/>
              <w:rPr>
                <w:sz w:val="20"/>
                <w:szCs w:val="20"/>
                <w:color w:val="auto"/>
              </w:rPr>
            </w:pPr>
            <w:r>
              <w:rPr>
                <w:rFonts w:ascii="Arial" w:cs="Arial" w:eastAsia="Arial" w:hAnsi="Arial"/>
                <w:sz w:val="13"/>
                <w:szCs w:val="13"/>
                <w:color w:val="auto"/>
                <w:w w:val="82"/>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22,537,099</w:t>
            </w:r>
          </w:p>
        </w:tc>
        <w:tc>
          <w:tcPr>
            <w:tcW w:w="100" w:type="dxa"/>
            <w:vAlign w:val="bottom"/>
            <w:tcBorders>
              <w:bottom w:val="single" w:sz="8" w:color="CCEEFF"/>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100.0</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r>
      <w:tr>
        <w:trPr>
          <w:trHeight w:val="20"/>
        </w:trPr>
        <w:tc>
          <w:tcPr>
            <w:tcW w:w="44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32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r>
    </w:tbl>
    <w:p>
      <w:pPr>
        <w:spacing w:after="0" w:line="205" w:lineRule="exact"/>
        <w:rPr>
          <w:sz w:val="20"/>
          <w:szCs w:val="20"/>
          <w:color w:val="auto"/>
        </w:rPr>
      </w:pPr>
    </w:p>
    <w:p>
      <w:pPr>
        <w:jc w:val="both"/>
        <w:spacing w:after="0" w:line="264" w:lineRule="auto"/>
        <w:rPr>
          <w:sz w:val="20"/>
          <w:szCs w:val="20"/>
          <w:color w:val="auto"/>
        </w:rPr>
      </w:pPr>
      <w:r>
        <w:rPr>
          <w:rFonts w:ascii="Arial" w:cs="Arial" w:eastAsia="Arial" w:hAnsi="Arial"/>
          <w:sz w:val="14"/>
          <w:szCs w:val="14"/>
          <w:color w:val="auto"/>
        </w:rPr>
        <w:t>FFELP loans originated prior to April 1, 2006 generally earn interest at the higher of the borrower rate, which is fixed over a period of time, or a floating rate based on the special allowance payment ("SAP") formula set by the Department. The SAP rate is based on an applicable index plus a fixed spread that depends on loan type, origination date, and repayment status. The Company generally finances its student loan portfolio with variable rate debt. In low and/or declining interest rate environments, when the fixed borrower rate is higher than the SAP rate, the Company’s student loans earn at a fixed rate while the interest on the variable rate debt typically continues to reflect the low and/or declining interest rates. In these interest rate environments, the Company may earn additional spread income that it refers to as floor income.</w:t>
      </w:r>
    </w:p>
    <w:p>
      <w:pPr>
        <w:spacing w:after="0" w:line="106" w:lineRule="exact"/>
        <w:rPr>
          <w:sz w:val="20"/>
          <w:szCs w:val="20"/>
          <w:color w:val="auto"/>
        </w:rPr>
      </w:pPr>
    </w:p>
    <w:p>
      <w:pPr>
        <w:jc w:val="both"/>
        <w:spacing w:after="0" w:line="267" w:lineRule="auto"/>
        <w:rPr>
          <w:sz w:val="20"/>
          <w:szCs w:val="20"/>
          <w:color w:val="auto"/>
        </w:rPr>
      </w:pPr>
      <w:r>
        <w:rPr>
          <w:rFonts w:ascii="Arial" w:cs="Arial" w:eastAsia="Arial" w:hAnsi="Arial"/>
          <w:sz w:val="14"/>
          <w:szCs w:val="14"/>
          <w:color w:val="auto"/>
        </w:rPr>
        <w:t>Depending on the type of loan and when it was originated, the borrower rate is either fixed to term or is reset to an annual rate each July 1. As a result, for loans where the borrower rate is fixed to term, the Company may earn floor income for an extended period of time, which the Company refers to as fixed rate floor income, and for those loans where the borrower rate is reset annually on July 1, the Company may earn floor income to the next reset date, which the Company refers to as variable rate floor income. All FFELP loans first originated on or after April 1, 2006 effectively earn at the SAP rate, since lenders are required to rebate fixed rate floor income and variable rate floor income for those loans to the Department.</w:t>
      </w:r>
    </w:p>
    <w:p>
      <w:pPr>
        <w:spacing w:after="0" w:line="103" w:lineRule="exact"/>
        <w:rPr>
          <w:sz w:val="20"/>
          <w:szCs w:val="20"/>
          <w:color w:val="auto"/>
        </w:rPr>
      </w:pPr>
    </w:p>
    <w:p>
      <w:pPr>
        <w:spacing w:after="0"/>
        <w:rPr>
          <w:sz w:val="20"/>
          <w:szCs w:val="20"/>
          <w:color w:val="auto"/>
        </w:rPr>
      </w:pPr>
      <w:r>
        <w:rPr>
          <w:rFonts w:ascii="Arial" w:cs="Arial" w:eastAsia="Arial" w:hAnsi="Arial"/>
          <w:sz w:val="13"/>
          <w:szCs w:val="13"/>
          <w:color w:val="auto"/>
        </w:rPr>
        <w:t>No variable-rate floor income was earned by the Company during the three months ended March 31, 2019 and 2018. A summary of fixed rate floor income earned by the Company follows.</w:t>
      </w:r>
    </w:p>
    <w:p>
      <w:pPr>
        <w:spacing w:after="0" w:line="109" w:lineRule="exact"/>
        <w:rPr>
          <w:sz w:val="20"/>
          <w:szCs w:val="20"/>
          <w:color w:val="auto"/>
        </w:rPr>
      </w:pPr>
    </w:p>
    <w:tbl>
      <w:tblPr>
        <w:tblLayout w:type="fixed"/>
        <w:tblInd w:w="2440" w:type="dxa"/>
        <w:tblCellMar>
          <w:top w:w="0" w:type="dxa"/>
          <w:left w:w="0" w:type="dxa"/>
          <w:bottom w:w="0" w:type="dxa"/>
          <w:right w:w="0" w:type="dxa"/>
        </w:tblCellMar>
      </w:tblPr>
      <w:tr>
        <w:trPr>
          <w:trHeight w:val="167"/>
        </w:trPr>
        <w:tc>
          <w:tcPr>
            <w:tcW w:w="3000" w:type="dxa"/>
            <w:vAlign w:val="bottom"/>
          </w:tcPr>
          <w:p>
            <w:pPr>
              <w:spacing w:after="0"/>
              <w:rPr>
                <w:sz w:val="14"/>
                <w:szCs w:val="14"/>
                <w:color w:val="auto"/>
              </w:rPr>
            </w:pPr>
          </w:p>
        </w:tc>
        <w:tc>
          <w:tcPr>
            <w:tcW w:w="3020" w:type="dxa"/>
            <w:vAlign w:val="bottom"/>
            <w:gridSpan w:val="4"/>
          </w:tcPr>
          <w:p>
            <w:pPr>
              <w:jc w:val="right"/>
              <w:ind w:right="360"/>
              <w:spacing w:after="0"/>
              <w:rPr>
                <w:sz w:val="20"/>
                <w:szCs w:val="20"/>
                <w:color w:val="auto"/>
              </w:rPr>
            </w:pPr>
            <w:r>
              <w:rPr>
                <w:rFonts w:ascii="Arial" w:cs="Arial" w:eastAsia="Arial" w:hAnsi="Arial"/>
                <w:sz w:val="13"/>
                <w:szCs w:val="13"/>
                <w:b w:val="1"/>
                <w:bCs w:val="1"/>
                <w:color w:val="auto"/>
              </w:rPr>
              <w:t>Three months ended March 31,</w:t>
            </w:r>
          </w:p>
        </w:tc>
        <w:tc>
          <w:tcPr>
            <w:tcW w:w="580" w:type="dxa"/>
            <w:vAlign w:val="bottom"/>
          </w:tcPr>
          <w:p>
            <w:pPr>
              <w:spacing w:after="0"/>
              <w:rPr>
                <w:sz w:val="14"/>
                <w:szCs w:val="14"/>
                <w:color w:val="auto"/>
              </w:rPr>
            </w:pPr>
          </w:p>
        </w:tc>
      </w:tr>
      <w:tr>
        <w:trPr>
          <w:trHeight w:val="27"/>
        </w:trPr>
        <w:tc>
          <w:tcPr>
            <w:tcW w:w="3000" w:type="dxa"/>
            <w:vAlign w:val="bottom"/>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840" w:type="dxa"/>
            <w:vAlign w:val="bottom"/>
            <w:tcBorders>
              <w:bottom w:val="single" w:sz="8" w:color="auto"/>
            </w:tcBorders>
            <w:gridSpan w:val="3"/>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r>
      <w:tr>
        <w:trPr>
          <w:trHeight w:val="169"/>
        </w:trPr>
        <w:tc>
          <w:tcPr>
            <w:tcW w:w="3000" w:type="dxa"/>
            <w:vAlign w:val="bottom"/>
          </w:tcPr>
          <w:p>
            <w:pPr>
              <w:spacing w:after="0"/>
              <w:rPr>
                <w:sz w:val="14"/>
                <w:szCs w:val="14"/>
                <w:color w:val="auto"/>
              </w:rPr>
            </w:pPr>
          </w:p>
        </w:tc>
        <w:tc>
          <w:tcPr>
            <w:tcW w:w="1180" w:type="dxa"/>
            <w:vAlign w:val="bottom"/>
          </w:tcPr>
          <w:p>
            <w:pPr>
              <w:jc w:val="right"/>
              <w:ind w:right="115"/>
              <w:spacing w:after="0"/>
              <w:rPr>
                <w:sz w:val="20"/>
                <w:szCs w:val="20"/>
                <w:color w:val="auto"/>
              </w:rPr>
            </w:pPr>
            <w:r>
              <w:rPr>
                <w:rFonts w:ascii="Arial" w:cs="Arial" w:eastAsia="Arial" w:hAnsi="Arial"/>
                <w:sz w:val="13"/>
                <w:szCs w:val="13"/>
                <w:b w:val="1"/>
                <w:bCs w:val="1"/>
                <w:color w:val="auto"/>
              </w:rPr>
              <w:t>2019</w:t>
            </w:r>
          </w:p>
        </w:tc>
        <w:tc>
          <w:tcPr>
            <w:tcW w:w="1840" w:type="dxa"/>
            <w:vAlign w:val="bottom"/>
            <w:gridSpan w:val="3"/>
          </w:tcPr>
          <w:p>
            <w:pPr>
              <w:jc w:val="right"/>
              <w:ind w:right="160"/>
              <w:spacing w:after="0"/>
              <w:rPr>
                <w:sz w:val="20"/>
                <w:szCs w:val="20"/>
                <w:color w:val="auto"/>
              </w:rPr>
            </w:pPr>
            <w:r>
              <w:rPr>
                <w:rFonts w:ascii="Arial" w:cs="Arial" w:eastAsia="Arial" w:hAnsi="Arial"/>
                <w:sz w:val="13"/>
                <w:szCs w:val="13"/>
                <w:b w:val="1"/>
                <w:bCs w:val="1"/>
                <w:color w:val="auto"/>
              </w:rPr>
              <w:t>2018</w:t>
            </w:r>
          </w:p>
        </w:tc>
        <w:tc>
          <w:tcPr>
            <w:tcW w:w="580" w:type="dxa"/>
            <w:vAlign w:val="bottom"/>
          </w:tcPr>
          <w:p>
            <w:pPr>
              <w:spacing w:after="0"/>
              <w:rPr>
                <w:sz w:val="14"/>
                <w:szCs w:val="14"/>
                <w:color w:val="auto"/>
              </w:rPr>
            </w:pPr>
          </w:p>
        </w:tc>
      </w:tr>
      <w:tr>
        <w:trPr>
          <w:trHeight w:val="27"/>
        </w:trPr>
        <w:tc>
          <w:tcPr>
            <w:tcW w:w="300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r>
      <w:tr>
        <w:trPr>
          <w:trHeight w:val="176"/>
        </w:trPr>
        <w:tc>
          <w:tcPr>
            <w:tcW w:w="30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Fixed rate floor income, gross</w:t>
            </w:r>
          </w:p>
        </w:tc>
        <w:tc>
          <w:tcPr>
            <w:tcW w:w="1180" w:type="dxa"/>
            <w:vAlign w:val="bottom"/>
            <w:tcBorders>
              <w:bottom w:val="single" w:sz="8" w:color="CCEEFF"/>
            </w:tcBorders>
            <w:shd w:val="clear" w:color="auto" w:fill="CCEEFF"/>
          </w:tcPr>
          <w:p>
            <w:pPr>
              <w:jc w:val="right"/>
              <w:ind w:right="1035"/>
              <w:spacing w:after="0"/>
              <w:rPr>
                <w:sz w:val="20"/>
                <w:szCs w:val="20"/>
                <w:color w:val="auto"/>
              </w:rPr>
            </w:pPr>
            <w:r>
              <w:rPr>
                <w:rFonts w:ascii="Arial" w:cs="Arial" w:eastAsia="Arial" w:hAnsi="Arial"/>
                <w:sz w:val="13"/>
                <w:szCs w:val="13"/>
                <w:color w:val="auto"/>
                <w:w w:val="82"/>
              </w:rPr>
              <w:t>$</w:t>
            </w:r>
          </w:p>
        </w:tc>
        <w:tc>
          <w:tcPr>
            <w:tcW w:w="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10,425</w:t>
            </w:r>
          </w:p>
        </w:tc>
        <w:tc>
          <w:tcPr>
            <w:tcW w:w="100" w:type="dxa"/>
            <w:vAlign w:val="bottom"/>
            <w:tcBorders>
              <w:bottom w:val="single" w:sz="8" w:color="CCEEFF"/>
            </w:tcBorders>
            <w:shd w:val="clear" w:color="auto" w:fill="CCEEFF"/>
          </w:tcPr>
          <w:p>
            <w:pPr>
              <w:spacing w:after="0"/>
              <w:rPr>
                <w:sz w:val="15"/>
                <w:szCs w:val="15"/>
                <w:color w:val="auto"/>
              </w:rPr>
            </w:pPr>
          </w:p>
        </w:tc>
        <w:tc>
          <w:tcPr>
            <w:tcW w:w="1160" w:type="dxa"/>
            <w:vAlign w:val="bottom"/>
            <w:tcBorders>
              <w:bottom w:val="single" w:sz="8" w:color="CCEEFF"/>
            </w:tcBorders>
            <w:shd w:val="clear" w:color="auto" w:fill="CCEEFF"/>
          </w:tcPr>
          <w:p>
            <w:pPr>
              <w:spacing w:after="0"/>
              <w:rPr>
                <w:sz w:val="15"/>
                <w:szCs w:val="15"/>
                <w:color w:val="auto"/>
              </w:rPr>
            </w:pPr>
          </w:p>
        </w:tc>
        <w:tc>
          <w:tcPr>
            <w:tcW w:w="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17,247</w:t>
            </w:r>
          </w:p>
        </w:tc>
      </w:tr>
      <w:tr>
        <w:trPr>
          <w:trHeight w:val="178"/>
        </w:trPr>
        <w:tc>
          <w:tcPr>
            <w:tcW w:w="3000" w:type="dxa"/>
            <w:vAlign w:val="bottom"/>
          </w:tcPr>
          <w:p>
            <w:pPr>
              <w:spacing w:after="0"/>
              <w:rPr>
                <w:sz w:val="20"/>
                <w:szCs w:val="20"/>
                <w:color w:val="auto"/>
              </w:rPr>
            </w:pPr>
            <w:r>
              <w:rPr>
                <w:rFonts w:ascii="Arial" w:cs="Arial" w:eastAsia="Arial" w:hAnsi="Arial"/>
                <w:sz w:val="13"/>
                <w:szCs w:val="13"/>
                <w:color w:val="auto"/>
              </w:rPr>
              <w:t>Derivative settlements (a)</w:t>
            </w:r>
          </w:p>
        </w:tc>
        <w:tc>
          <w:tcPr>
            <w:tcW w:w="11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3"/>
                <w:szCs w:val="13"/>
                <w:color w:val="auto"/>
              </w:rPr>
              <w:t>16,701</w:t>
            </w:r>
          </w:p>
        </w:tc>
        <w:tc>
          <w:tcPr>
            <w:tcW w:w="10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3"/>
                <w:szCs w:val="13"/>
                <w:color w:val="auto"/>
              </w:rPr>
              <w:t>8,590</w:t>
            </w:r>
          </w:p>
        </w:tc>
      </w:tr>
      <w:tr>
        <w:trPr>
          <w:trHeight w:val="27"/>
        </w:trPr>
        <w:tc>
          <w:tcPr>
            <w:tcW w:w="300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r>
      <w:tr>
        <w:trPr>
          <w:trHeight w:val="218"/>
        </w:trPr>
        <w:tc>
          <w:tcPr>
            <w:tcW w:w="30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Fixed rate floor income, net</w:t>
            </w:r>
          </w:p>
        </w:tc>
        <w:tc>
          <w:tcPr>
            <w:tcW w:w="1180" w:type="dxa"/>
            <w:vAlign w:val="bottom"/>
            <w:tcBorders>
              <w:bottom w:val="single" w:sz="8" w:color="auto"/>
            </w:tcBorders>
            <w:shd w:val="clear" w:color="auto" w:fill="CCEEFF"/>
          </w:tcPr>
          <w:p>
            <w:pPr>
              <w:jc w:val="right"/>
              <w:ind w:right="1035"/>
              <w:spacing w:after="0"/>
              <w:rPr>
                <w:sz w:val="20"/>
                <w:szCs w:val="20"/>
                <w:color w:val="auto"/>
              </w:rPr>
            </w:pPr>
            <w:r>
              <w:rPr>
                <w:rFonts w:ascii="Arial" w:cs="Arial" w:eastAsia="Arial" w:hAnsi="Arial"/>
                <w:sz w:val="13"/>
                <w:szCs w:val="13"/>
                <w:color w:val="auto"/>
                <w:w w:val="82"/>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27,126</w:t>
            </w:r>
          </w:p>
        </w:tc>
        <w:tc>
          <w:tcPr>
            <w:tcW w:w="100" w:type="dxa"/>
            <w:vAlign w:val="bottom"/>
            <w:tcBorders>
              <w:bottom w:val="single" w:sz="8" w:color="CCEEFF"/>
            </w:tcBorders>
            <w:shd w:val="clear" w:color="auto" w:fill="CCEEFF"/>
          </w:tcPr>
          <w:p>
            <w:pPr>
              <w:spacing w:after="0"/>
              <w:rPr>
                <w:sz w:val="18"/>
                <w:szCs w:val="18"/>
                <w:color w:val="auto"/>
              </w:rPr>
            </w:pPr>
          </w:p>
        </w:tc>
        <w:tc>
          <w:tcPr>
            <w:tcW w:w="116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25,837</w:t>
            </w:r>
          </w:p>
        </w:tc>
      </w:tr>
      <w:tr>
        <w:trPr>
          <w:trHeight w:val="20"/>
        </w:trPr>
        <w:tc>
          <w:tcPr>
            <w:tcW w:w="3000" w:type="dxa"/>
            <w:vAlign w:val="bottom"/>
            <w:tcBorders>
              <w:top w:val="single" w:sz="8" w:color="CCEEFF"/>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r>
    </w:tbl>
    <w:p>
      <w:pPr>
        <w:spacing w:after="0" w:line="317" w:lineRule="exact"/>
        <w:rPr>
          <w:sz w:val="20"/>
          <w:szCs w:val="20"/>
          <w:color w:val="auto"/>
        </w:rPr>
      </w:pPr>
    </w:p>
    <w:p>
      <w:pPr>
        <w:ind w:left="780"/>
        <w:spacing w:after="0"/>
        <w:rPr>
          <w:sz w:val="20"/>
          <w:szCs w:val="20"/>
          <w:color w:val="auto"/>
        </w:rPr>
      </w:pPr>
      <w:r>
        <w:rPr>
          <w:rFonts w:ascii="Arial" w:cs="Arial" w:eastAsia="Arial" w:hAnsi="Arial"/>
          <w:sz w:val="13"/>
          <w:szCs w:val="13"/>
          <w:color w:val="auto"/>
        </w:rPr>
        <w:t>(a) Includes settlement payments on derivatives used to hedge student loans earning fixed rate floor income.</w:t>
      </w:r>
    </w:p>
    <w:p>
      <w:pPr>
        <w:spacing w:after="0" w:line="170" w:lineRule="exact"/>
        <w:rPr>
          <w:sz w:val="20"/>
          <w:szCs w:val="20"/>
          <w:color w:val="auto"/>
        </w:rPr>
      </w:pPr>
    </w:p>
    <w:p>
      <w:pPr>
        <w:spacing w:after="0"/>
        <w:rPr>
          <w:sz w:val="20"/>
          <w:szCs w:val="20"/>
          <w:color w:val="auto"/>
        </w:rPr>
      </w:pPr>
      <w:r>
        <w:rPr>
          <w:rFonts w:ascii="Arial" w:cs="Arial" w:eastAsia="Arial" w:hAnsi="Arial"/>
          <w:sz w:val="14"/>
          <w:szCs w:val="14"/>
          <w:color w:val="auto"/>
        </w:rPr>
        <w:t>Gross fixed rate floor income decreased for the three months ended March 31, 2019 as compared to the same period in 2018 due to higher interest rates in 2019 as compared to 2018.</w:t>
      </w:r>
    </w:p>
    <w:p>
      <w:pPr>
        <w:spacing w:after="0" w:line="141" w:lineRule="exact"/>
        <w:rPr>
          <w:sz w:val="20"/>
          <w:szCs w:val="20"/>
          <w:color w:val="auto"/>
        </w:rPr>
      </w:pPr>
    </w:p>
    <w:p>
      <w:pPr>
        <w:jc w:val="both"/>
        <w:spacing w:after="0" w:line="272" w:lineRule="auto"/>
        <w:rPr>
          <w:sz w:val="20"/>
          <w:szCs w:val="20"/>
          <w:color w:val="auto"/>
        </w:rPr>
      </w:pPr>
      <w:r>
        <w:rPr>
          <w:rFonts w:ascii="Arial" w:cs="Arial" w:eastAsia="Arial" w:hAnsi="Arial"/>
          <w:sz w:val="14"/>
          <w:szCs w:val="14"/>
          <w:color w:val="auto"/>
        </w:rPr>
        <w:t>Absent the use of derivative instruments, a rise in interest rates will reduce the amount of floor income received and this has an impact on earnings due to interest margin compression caused by increasing financing costs, until such time as the federally insured loans earn interest at a variable rate in accordance with their SAP formulas. In higher interest rate environments, where the interest rate rises above the borrower rate and fixed rate loans effectively become variable rate loans, the impact of the rate fluctuations is reduced.</w:t>
      </w:r>
    </w:p>
    <w:p>
      <w:pPr>
        <w:spacing w:after="0" w:line="200" w:lineRule="exact"/>
        <w:rPr>
          <w:sz w:val="20"/>
          <w:szCs w:val="20"/>
          <w:color w:val="auto"/>
        </w:rPr>
      </w:pPr>
    </w:p>
    <w:p>
      <w:pPr>
        <w:spacing w:after="0" w:line="341"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54</w:t>
      </w:r>
    </w:p>
    <w:p>
      <w:pPr>
        <w:sectPr>
          <w:pgSz w:w="11900" w:h="16838" w:orient="portrait"/>
          <w:cols w:equalWidth="0" w:num="1">
            <w:col w:w="11460"/>
          </w:cols>
          <w:pgMar w:left="220" w:top="739" w:right="219" w:bottom="1440" w:gutter="0" w:footer="0" w:header="0"/>
        </w:sectPr>
      </w:pPr>
    </w:p>
    <w:bookmarkStart w:id="55" w:name="page56"/>
    <w:bookmarkEnd w:id="55"/>
    <w:p>
      <w:pPr>
        <w:spacing w:after="0"/>
        <w:rPr>
          <w:sz w:val="20"/>
          <w:szCs w:val="20"/>
          <w:color w:val="auto"/>
        </w:rPr>
      </w:pPr>
      <w:r>
        <w:rPr>
          <w:rFonts w:ascii="Arial" w:cs="Arial" w:eastAsia="Arial" w:hAnsi="Arial"/>
          <w:sz w:val="14"/>
          <w:szCs w:val="14"/>
          <w:color w:val="auto"/>
        </w:rPr>
        <w:t>The following graph depicts fixed rate floor income for a borrower with a fixed rate of 6.75% and a SAP rate of 2.64%: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spacing w:after="0"/>
        <w:rPr>
          <w:sz w:val="20"/>
          <w:szCs w:val="20"/>
          <w:color w:val="auto"/>
        </w:rPr>
      </w:pPr>
      <w:r>
        <w:rPr>
          <w:rFonts w:ascii="Arial" w:cs="Arial" w:eastAsia="Arial" w:hAnsi="Arial"/>
          <w:sz w:val="14"/>
          <w:szCs w:val="14"/>
          <w:color w:val="auto"/>
        </w:rPr>
        <w:t>The following table shows the Company’s federally insured student loan assets that were earning fixed rate floor income as of March 31, 2019.</w:t>
      </w:r>
    </w:p>
    <w:p>
      <w:pPr>
        <w:spacing w:after="0" w:line="24" w:lineRule="exact"/>
        <w:rPr>
          <w:sz w:val="20"/>
          <w:szCs w:val="20"/>
          <w:color w:val="auto"/>
        </w:rPr>
      </w:pPr>
    </w:p>
    <w:tbl>
      <w:tblPr>
        <w:tblLayout w:type="fixed"/>
        <w:tblInd w:w="1540" w:type="dxa"/>
        <w:tblCellMar>
          <w:top w:w="0" w:type="dxa"/>
          <w:left w:w="0" w:type="dxa"/>
          <w:bottom w:w="0" w:type="dxa"/>
          <w:right w:w="0" w:type="dxa"/>
        </w:tblCellMar>
      </w:tblPr>
      <w:tr>
        <w:trPr>
          <w:trHeight w:val="149"/>
        </w:trPr>
        <w:tc>
          <w:tcPr>
            <w:tcW w:w="1960" w:type="dxa"/>
            <w:vAlign w:val="bottom"/>
            <w:vMerge w:val="restart"/>
          </w:tcPr>
          <w:p>
            <w:pPr>
              <w:ind w:left="300"/>
              <w:spacing w:after="0"/>
              <w:rPr>
                <w:sz w:val="20"/>
                <w:szCs w:val="20"/>
                <w:color w:val="auto"/>
              </w:rPr>
            </w:pPr>
            <w:r>
              <w:rPr>
                <w:rFonts w:ascii="Arial" w:cs="Arial" w:eastAsia="Arial" w:hAnsi="Arial"/>
                <w:sz w:val="13"/>
                <w:szCs w:val="13"/>
                <w:b w:val="1"/>
                <w:bCs w:val="1"/>
                <w:color w:val="auto"/>
              </w:rPr>
              <w:t>Fixed interest rate range</w:t>
            </w:r>
          </w:p>
        </w:tc>
        <w:tc>
          <w:tcPr>
            <w:tcW w:w="120" w:type="dxa"/>
            <w:vAlign w:val="bottom"/>
            <w:vMerge w:val="restart"/>
          </w:tcPr>
          <w:p>
            <w:pPr>
              <w:spacing w:after="0"/>
              <w:rPr>
                <w:sz w:val="13"/>
                <w:szCs w:val="13"/>
                <w:color w:val="auto"/>
              </w:rPr>
            </w:pPr>
          </w:p>
        </w:tc>
        <w:tc>
          <w:tcPr>
            <w:tcW w:w="2160" w:type="dxa"/>
            <w:vAlign w:val="bottom"/>
            <w:gridSpan w:val="3"/>
          </w:tcPr>
          <w:p>
            <w:pPr>
              <w:ind w:left="60"/>
              <w:spacing w:after="0"/>
              <w:rPr>
                <w:sz w:val="20"/>
                <w:szCs w:val="20"/>
                <w:color w:val="auto"/>
              </w:rPr>
            </w:pPr>
            <w:r>
              <w:rPr>
                <w:rFonts w:ascii="Arial" w:cs="Arial" w:eastAsia="Arial" w:hAnsi="Arial"/>
                <w:sz w:val="13"/>
                <w:szCs w:val="13"/>
                <w:b w:val="1"/>
                <w:bCs w:val="1"/>
                <w:color w:val="auto"/>
                <w:w w:val="97"/>
              </w:rPr>
              <w:t>Borrower/lender weighted average</w:t>
            </w:r>
          </w:p>
        </w:tc>
        <w:tc>
          <w:tcPr>
            <w:tcW w:w="2500" w:type="dxa"/>
            <w:vAlign w:val="bottom"/>
            <w:gridSpan w:val="4"/>
          </w:tcPr>
          <w:p>
            <w:pPr>
              <w:ind w:left="40"/>
              <w:spacing w:after="0"/>
              <w:rPr>
                <w:sz w:val="20"/>
                <w:szCs w:val="20"/>
                <w:color w:val="auto"/>
              </w:rPr>
            </w:pPr>
            <w:r>
              <w:rPr>
                <w:rFonts w:ascii="Arial" w:cs="Arial" w:eastAsia="Arial" w:hAnsi="Arial"/>
                <w:sz w:val="13"/>
                <w:szCs w:val="13"/>
                <w:b w:val="1"/>
                <w:bCs w:val="1"/>
                <w:color w:val="auto"/>
              </w:rPr>
              <w:t>Estimated variable conversion rate</w:t>
            </w:r>
          </w:p>
        </w:tc>
        <w:tc>
          <w:tcPr>
            <w:tcW w:w="1660" w:type="dxa"/>
            <w:vAlign w:val="bottom"/>
            <w:vMerge w:val="restart"/>
          </w:tcPr>
          <w:p>
            <w:pPr>
              <w:jc w:val="right"/>
              <w:ind w:right="575"/>
              <w:spacing w:after="0"/>
              <w:rPr>
                <w:sz w:val="20"/>
                <w:szCs w:val="20"/>
                <w:color w:val="auto"/>
              </w:rPr>
            </w:pPr>
            <w:r>
              <w:rPr>
                <w:rFonts w:ascii="Arial" w:cs="Arial" w:eastAsia="Arial" w:hAnsi="Arial"/>
                <w:sz w:val="13"/>
                <w:szCs w:val="13"/>
                <w:b w:val="1"/>
                <w:bCs w:val="1"/>
                <w:color w:val="auto"/>
              </w:rPr>
              <w:t>Loan balance</w:t>
            </w:r>
          </w:p>
        </w:tc>
        <w:tc>
          <w:tcPr>
            <w:tcW w:w="0" w:type="dxa"/>
            <w:vAlign w:val="bottom"/>
          </w:tcPr>
          <w:p>
            <w:pPr>
              <w:spacing w:after="0"/>
              <w:rPr>
                <w:sz w:val="1"/>
                <w:szCs w:val="1"/>
                <w:color w:val="auto"/>
              </w:rPr>
            </w:pPr>
          </w:p>
        </w:tc>
      </w:tr>
      <w:tr>
        <w:trPr>
          <w:trHeight w:val="170"/>
        </w:trPr>
        <w:tc>
          <w:tcPr>
            <w:tcW w:w="1960" w:type="dxa"/>
            <w:vAlign w:val="bottom"/>
            <w:tcBorders>
              <w:bottom w:val="single" w:sz="8" w:color="auto"/>
            </w:tcBorders>
            <w:vMerge w:val="continue"/>
          </w:tcPr>
          <w:p>
            <w:pPr>
              <w:spacing w:after="0"/>
              <w:rPr>
                <w:sz w:val="14"/>
                <w:szCs w:val="14"/>
                <w:color w:val="auto"/>
              </w:rPr>
            </w:pPr>
          </w:p>
        </w:tc>
        <w:tc>
          <w:tcPr>
            <w:tcW w:w="120" w:type="dxa"/>
            <w:vAlign w:val="bottom"/>
            <w:tcBorders>
              <w:bottom w:val="single" w:sz="8" w:color="CCEEFF"/>
            </w:tcBorders>
            <w:vMerge w:val="continue"/>
          </w:tcPr>
          <w:p>
            <w:pPr>
              <w:spacing w:after="0"/>
              <w:rPr>
                <w:sz w:val="14"/>
                <w:szCs w:val="14"/>
                <w:color w:val="auto"/>
              </w:rPr>
            </w:pPr>
          </w:p>
        </w:tc>
        <w:tc>
          <w:tcPr>
            <w:tcW w:w="1900" w:type="dxa"/>
            <w:vAlign w:val="bottom"/>
            <w:tcBorders>
              <w:bottom w:val="single" w:sz="8" w:color="auto"/>
            </w:tcBorders>
          </w:tcPr>
          <w:p>
            <w:pPr>
              <w:jc w:val="right"/>
              <w:ind w:right="695"/>
              <w:spacing w:after="0"/>
              <w:rPr>
                <w:sz w:val="20"/>
                <w:szCs w:val="20"/>
                <w:color w:val="auto"/>
              </w:rPr>
            </w:pPr>
            <w:r>
              <w:rPr>
                <w:rFonts w:ascii="Arial" w:cs="Arial" w:eastAsia="Arial" w:hAnsi="Arial"/>
                <w:sz w:val="13"/>
                <w:szCs w:val="13"/>
                <w:b w:val="1"/>
                <w:bCs w:val="1"/>
                <w:color w:val="auto"/>
              </w:rPr>
              <w:t>yield</w:t>
            </w:r>
          </w:p>
        </w:tc>
        <w:tc>
          <w:tcPr>
            <w:tcW w:w="140" w:type="dxa"/>
            <w:vAlign w:val="bottom"/>
            <w:tcBorders>
              <w:bottom w:val="single" w:sz="8" w:color="auto"/>
            </w:tcBorders>
          </w:tcPr>
          <w:p>
            <w:pPr>
              <w:spacing w:after="0"/>
              <w:rPr>
                <w:sz w:val="14"/>
                <w:szCs w:val="14"/>
                <w:color w:val="auto"/>
              </w:rPr>
            </w:pPr>
          </w:p>
        </w:tc>
        <w:tc>
          <w:tcPr>
            <w:tcW w:w="120" w:type="dxa"/>
            <w:vAlign w:val="bottom"/>
            <w:tcBorders>
              <w:bottom w:val="single" w:sz="8" w:color="CCEEFF"/>
            </w:tcBorders>
          </w:tcPr>
          <w:p>
            <w:pPr>
              <w:spacing w:after="0"/>
              <w:rPr>
                <w:sz w:val="14"/>
                <w:szCs w:val="14"/>
                <w:color w:val="auto"/>
              </w:rPr>
            </w:pPr>
          </w:p>
        </w:tc>
        <w:tc>
          <w:tcPr>
            <w:tcW w:w="1880" w:type="dxa"/>
            <w:vAlign w:val="bottom"/>
            <w:tcBorders>
              <w:bottom w:val="single" w:sz="8" w:color="auto"/>
            </w:tcBorders>
          </w:tcPr>
          <w:p>
            <w:pPr>
              <w:jc w:val="right"/>
              <w:ind w:right="735"/>
              <w:spacing w:after="0"/>
              <w:rPr>
                <w:sz w:val="20"/>
                <w:szCs w:val="20"/>
                <w:color w:val="auto"/>
              </w:rPr>
            </w:pPr>
            <w:r>
              <w:rPr>
                <w:rFonts w:ascii="Arial" w:cs="Arial" w:eastAsia="Arial" w:hAnsi="Arial"/>
                <w:sz w:val="13"/>
                <w:szCs w:val="13"/>
                <w:b w:val="1"/>
                <w:bCs w:val="1"/>
                <w:color w:val="auto"/>
              </w:rPr>
              <w:t>(a)</w:t>
            </w:r>
          </w:p>
        </w:tc>
        <w:tc>
          <w:tcPr>
            <w:tcW w:w="160" w:type="dxa"/>
            <w:vAlign w:val="bottom"/>
            <w:tcBorders>
              <w:bottom w:val="single" w:sz="8" w:color="auto"/>
            </w:tcBorders>
          </w:tcPr>
          <w:p>
            <w:pPr>
              <w:spacing w:after="0"/>
              <w:rPr>
                <w:sz w:val="14"/>
                <w:szCs w:val="14"/>
                <w:color w:val="auto"/>
              </w:rPr>
            </w:pPr>
          </w:p>
        </w:tc>
        <w:tc>
          <w:tcPr>
            <w:tcW w:w="100" w:type="dxa"/>
            <w:vAlign w:val="bottom"/>
            <w:tcBorders>
              <w:bottom w:val="single" w:sz="8" w:color="CCEEFF"/>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1660" w:type="dxa"/>
            <w:vAlign w:val="bottom"/>
            <w:tcBorders>
              <w:bottom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78"/>
        </w:trPr>
        <w:tc>
          <w:tcPr>
            <w:tcW w:w="19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90"/>
              </w:rPr>
              <w:t>5.0 - 5.49%</w:t>
            </w:r>
          </w:p>
        </w:tc>
        <w:tc>
          <w:tcPr>
            <w:tcW w:w="120" w:type="dxa"/>
            <w:vAlign w:val="bottom"/>
            <w:tcBorders>
              <w:bottom w:val="single" w:sz="8" w:color="CCEEFF"/>
            </w:tcBorders>
            <w:shd w:val="clear" w:color="auto" w:fill="CCEEFF"/>
          </w:tcPr>
          <w:p>
            <w:pPr>
              <w:spacing w:after="0"/>
              <w:rPr>
                <w:sz w:val="15"/>
                <w:szCs w:val="15"/>
                <w:color w:val="auto"/>
              </w:rPr>
            </w:pPr>
          </w:p>
        </w:tc>
        <w:tc>
          <w:tcPr>
            <w:tcW w:w="1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5.35</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w w:val="86"/>
              </w:rPr>
              <w:t>%</w:t>
            </w:r>
          </w:p>
        </w:tc>
        <w:tc>
          <w:tcPr>
            <w:tcW w:w="120" w:type="dxa"/>
            <w:vAlign w:val="bottom"/>
            <w:tcBorders>
              <w:bottom w:val="single" w:sz="8" w:color="CCEEFF"/>
            </w:tcBorders>
            <w:shd w:val="clear" w:color="auto" w:fill="CCEEFF"/>
          </w:tcPr>
          <w:p>
            <w:pPr>
              <w:spacing w:after="0"/>
              <w:rPr>
                <w:sz w:val="15"/>
                <w:szCs w:val="15"/>
                <w:color w:val="auto"/>
              </w:rPr>
            </w:pPr>
          </w:p>
        </w:tc>
        <w:tc>
          <w:tcPr>
            <w:tcW w:w="1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2.71</w:t>
            </w:r>
          </w:p>
        </w:tc>
        <w:tc>
          <w:tcPr>
            <w:tcW w:w="62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3"/>
                <w:szCs w:val="13"/>
                <w:color w:val="auto"/>
              </w:rPr>
              <w:t>%  $</w:t>
            </w: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293,620</w:t>
            </w:r>
          </w:p>
        </w:tc>
        <w:tc>
          <w:tcPr>
            <w:tcW w:w="0" w:type="dxa"/>
            <w:vAlign w:val="bottom"/>
          </w:tcPr>
          <w:p>
            <w:pPr>
              <w:spacing w:after="0"/>
              <w:rPr>
                <w:sz w:val="1"/>
                <w:szCs w:val="1"/>
                <w:color w:val="auto"/>
              </w:rPr>
            </w:pPr>
          </w:p>
        </w:tc>
      </w:tr>
      <w:tr>
        <w:trPr>
          <w:trHeight w:val="178"/>
        </w:trPr>
        <w:tc>
          <w:tcPr>
            <w:tcW w:w="1960" w:type="dxa"/>
            <w:vAlign w:val="bottom"/>
          </w:tcPr>
          <w:p>
            <w:pPr>
              <w:jc w:val="center"/>
              <w:spacing w:after="0"/>
              <w:rPr>
                <w:sz w:val="20"/>
                <w:szCs w:val="20"/>
                <w:color w:val="auto"/>
              </w:rPr>
            </w:pPr>
            <w:r>
              <w:rPr>
                <w:rFonts w:ascii="Arial" w:cs="Arial" w:eastAsia="Arial" w:hAnsi="Arial"/>
                <w:sz w:val="13"/>
                <w:szCs w:val="13"/>
                <w:color w:val="auto"/>
                <w:w w:val="90"/>
              </w:rPr>
              <w:t>5.5 - 5.99%</w:t>
            </w:r>
          </w:p>
        </w:tc>
        <w:tc>
          <w:tcPr>
            <w:tcW w:w="120" w:type="dxa"/>
            <w:vAlign w:val="bottom"/>
          </w:tcPr>
          <w:p>
            <w:pPr>
              <w:spacing w:after="0"/>
              <w:rPr>
                <w:sz w:val="15"/>
                <w:szCs w:val="15"/>
                <w:color w:val="auto"/>
              </w:rPr>
            </w:pPr>
          </w:p>
        </w:tc>
        <w:tc>
          <w:tcPr>
            <w:tcW w:w="1900" w:type="dxa"/>
            <w:vAlign w:val="bottom"/>
          </w:tcPr>
          <w:p>
            <w:pPr>
              <w:jc w:val="right"/>
              <w:spacing w:after="0"/>
              <w:rPr>
                <w:sz w:val="20"/>
                <w:szCs w:val="20"/>
                <w:color w:val="auto"/>
              </w:rPr>
            </w:pPr>
            <w:r>
              <w:rPr>
                <w:rFonts w:ascii="Arial" w:cs="Arial" w:eastAsia="Arial" w:hAnsi="Arial"/>
                <w:sz w:val="13"/>
                <w:szCs w:val="13"/>
                <w:color w:val="auto"/>
              </w:rPr>
              <w:t>5.67</w:t>
            </w:r>
          </w:p>
        </w:tc>
        <w:tc>
          <w:tcPr>
            <w:tcW w:w="140" w:type="dxa"/>
            <w:vAlign w:val="bottom"/>
          </w:tcPr>
          <w:p>
            <w:pPr>
              <w:jc w:val="right"/>
              <w:spacing w:after="0"/>
              <w:rPr>
                <w:sz w:val="20"/>
                <w:szCs w:val="20"/>
                <w:color w:val="auto"/>
              </w:rPr>
            </w:pPr>
            <w:r>
              <w:rPr>
                <w:rFonts w:ascii="Arial" w:cs="Arial" w:eastAsia="Arial" w:hAnsi="Arial"/>
                <w:sz w:val="13"/>
                <w:szCs w:val="13"/>
                <w:color w:val="auto"/>
                <w:w w:val="86"/>
              </w:rPr>
              <w:t>%</w:t>
            </w:r>
          </w:p>
        </w:tc>
        <w:tc>
          <w:tcPr>
            <w:tcW w:w="120" w:type="dxa"/>
            <w:vAlign w:val="bottom"/>
          </w:tcPr>
          <w:p>
            <w:pPr>
              <w:spacing w:after="0"/>
              <w:rPr>
                <w:sz w:val="15"/>
                <w:szCs w:val="15"/>
                <w:color w:val="auto"/>
              </w:rPr>
            </w:pPr>
          </w:p>
        </w:tc>
        <w:tc>
          <w:tcPr>
            <w:tcW w:w="1880" w:type="dxa"/>
            <w:vAlign w:val="bottom"/>
          </w:tcPr>
          <w:p>
            <w:pPr>
              <w:jc w:val="right"/>
              <w:spacing w:after="0"/>
              <w:rPr>
                <w:sz w:val="20"/>
                <w:szCs w:val="20"/>
                <w:color w:val="auto"/>
              </w:rPr>
            </w:pPr>
            <w:r>
              <w:rPr>
                <w:rFonts w:ascii="Arial" w:cs="Arial" w:eastAsia="Arial" w:hAnsi="Arial"/>
                <w:sz w:val="13"/>
                <w:szCs w:val="13"/>
                <w:color w:val="auto"/>
              </w:rPr>
              <w:t>3.03</w:t>
            </w:r>
          </w:p>
        </w:tc>
        <w:tc>
          <w:tcPr>
            <w:tcW w:w="160" w:type="dxa"/>
            <w:vAlign w:val="bottom"/>
          </w:tcPr>
          <w:p>
            <w:pPr>
              <w:ind w:left="40"/>
              <w:spacing w:after="0"/>
              <w:rPr>
                <w:sz w:val="20"/>
                <w:szCs w:val="20"/>
                <w:color w:val="auto"/>
              </w:rPr>
            </w:pPr>
            <w:r>
              <w:rPr>
                <w:rFonts w:ascii="Arial" w:cs="Arial" w:eastAsia="Arial" w:hAnsi="Arial"/>
                <w:sz w:val="13"/>
                <w:szCs w:val="13"/>
                <w:color w:val="auto"/>
                <w:w w:val="86"/>
              </w:rPr>
              <w:t>%</w:t>
            </w:r>
          </w:p>
        </w:tc>
        <w:tc>
          <w:tcPr>
            <w:tcW w:w="1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660" w:type="dxa"/>
            <w:vAlign w:val="bottom"/>
          </w:tcPr>
          <w:p>
            <w:pPr>
              <w:jc w:val="right"/>
              <w:spacing w:after="0"/>
              <w:rPr>
                <w:sz w:val="20"/>
                <w:szCs w:val="20"/>
                <w:color w:val="auto"/>
              </w:rPr>
            </w:pPr>
            <w:r>
              <w:rPr>
                <w:rFonts w:ascii="Arial" w:cs="Arial" w:eastAsia="Arial" w:hAnsi="Arial"/>
                <w:sz w:val="13"/>
                <w:szCs w:val="13"/>
                <w:color w:val="auto"/>
              </w:rPr>
              <w:t>350,624</w:t>
            </w:r>
          </w:p>
        </w:tc>
        <w:tc>
          <w:tcPr>
            <w:tcW w:w="0" w:type="dxa"/>
            <w:vAlign w:val="bottom"/>
          </w:tcPr>
          <w:p>
            <w:pPr>
              <w:spacing w:after="0"/>
              <w:rPr>
                <w:sz w:val="1"/>
                <w:szCs w:val="1"/>
                <w:color w:val="auto"/>
              </w:rPr>
            </w:pPr>
          </w:p>
        </w:tc>
      </w:tr>
      <w:tr>
        <w:trPr>
          <w:trHeight w:val="27"/>
        </w:trPr>
        <w:tc>
          <w:tcPr>
            <w:tcW w:w="1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5"/>
        </w:trPr>
        <w:tc>
          <w:tcPr>
            <w:tcW w:w="19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90"/>
              </w:rPr>
              <w:t>6.0 - 6.49%</w:t>
            </w:r>
          </w:p>
        </w:tc>
        <w:tc>
          <w:tcPr>
            <w:tcW w:w="120" w:type="dxa"/>
            <w:vAlign w:val="bottom"/>
            <w:tcBorders>
              <w:bottom w:val="single" w:sz="8" w:color="CCEEFF"/>
            </w:tcBorders>
            <w:shd w:val="clear" w:color="auto" w:fill="CCEEFF"/>
          </w:tcPr>
          <w:p>
            <w:pPr>
              <w:spacing w:after="0"/>
              <w:rPr>
                <w:sz w:val="16"/>
                <w:szCs w:val="16"/>
                <w:color w:val="auto"/>
              </w:rPr>
            </w:pPr>
          </w:p>
        </w:tc>
        <w:tc>
          <w:tcPr>
            <w:tcW w:w="1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6.19</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w w:val="86"/>
              </w:rPr>
              <w:t>%</w:t>
            </w:r>
          </w:p>
        </w:tc>
        <w:tc>
          <w:tcPr>
            <w:tcW w:w="120" w:type="dxa"/>
            <w:vAlign w:val="bottom"/>
            <w:tcBorders>
              <w:bottom w:val="single" w:sz="8" w:color="CCEEFF"/>
            </w:tcBorders>
            <w:shd w:val="clear" w:color="auto" w:fill="CCEEFF"/>
          </w:tcPr>
          <w:p>
            <w:pPr>
              <w:spacing w:after="0"/>
              <w:rPr>
                <w:sz w:val="16"/>
                <w:szCs w:val="16"/>
                <w:color w:val="auto"/>
              </w:rPr>
            </w:pPr>
          </w:p>
        </w:tc>
        <w:tc>
          <w:tcPr>
            <w:tcW w:w="1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3.55</w:t>
            </w:r>
          </w:p>
        </w:tc>
        <w:tc>
          <w:tcPr>
            <w:tcW w:w="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3"/>
                <w:szCs w:val="13"/>
                <w:color w:val="auto"/>
                <w:w w:val="86"/>
              </w:rPr>
              <w:t>%</w:t>
            </w:r>
          </w:p>
        </w:tc>
        <w:tc>
          <w:tcPr>
            <w:tcW w:w="100" w:type="dxa"/>
            <w:vAlign w:val="bottom"/>
            <w:tcBorders>
              <w:bottom w:val="single" w:sz="8" w:color="CCEEFF"/>
            </w:tcBorders>
            <w:shd w:val="clear" w:color="auto" w:fill="CCEEFF"/>
          </w:tcPr>
          <w:p>
            <w:pPr>
              <w:spacing w:after="0"/>
              <w:rPr>
                <w:sz w:val="16"/>
                <w:szCs w:val="16"/>
                <w:color w:val="auto"/>
              </w:rPr>
            </w:pPr>
          </w:p>
        </w:tc>
        <w:tc>
          <w:tcPr>
            <w:tcW w:w="360" w:type="dxa"/>
            <w:vAlign w:val="bottom"/>
            <w:tcBorders>
              <w:bottom w:val="single" w:sz="8" w:color="CCEEFF"/>
            </w:tcBorders>
            <w:shd w:val="clear" w:color="auto" w:fill="CCEEFF"/>
          </w:tcPr>
          <w:p>
            <w:pPr>
              <w:spacing w:after="0"/>
              <w:rPr>
                <w:sz w:val="16"/>
                <w:szCs w:val="16"/>
                <w:color w:val="auto"/>
              </w:rPr>
            </w:pP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386,383</w:t>
            </w:r>
          </w:p>
        </w:tc>
        <w:tc>
          <w:tcPr>
            <w:tcW w:w="0" w:type="dxa"/>
            <w:vAlign w:val="bottom"/>
          </w:tcPr>
          <w:p>
            <w:pPr>
              <w:spacing w:after="0"/>
              <w:rPr>
                <w:sz w:val="1"/>
                <w:szCs w:val="1"/>
                <w:color w:val="auto"/>
              </w:rPr>
            </w:pPr>
          </w:p>
        </w:tc>
      </w:tr>
      <w:tr>
        <w:trPr>
          <w:trHeight w:val="178"/>
        </w:trPr>
        <w:tc>
          <w:tcPr>
            <w:tcW w:w="1960" w:type="dxa"/>
            <w:vAlign w:val="bottom"/>
          </w:tcPr>
          <w:p>
            <w:pPr>
              <w:jc w:val="center"/>
              <w:spacing w:after="0"/>
              <w:rPr>
                <w:sz w:val="20"/>
                <w:szCs w:val="20"/>
                <w:color w:val="auto"/>
              </w:rPr>
            </w:pPr>
            <w:r>
              <w:rPr>
                <w:rFonts w:ascii="Arial" w:cs="Arial" w:eastAsia="Arial" w:hAnsi="Arial"/>
                <w:sz w:val="13"/>
                <w:szCs w:val="13"/>
                <w:color w:val="auto"/>
                <w:w w:val="90"/>
              </w:rPr>
              <w:t>6.5 - 6.99%</w:t>
            </w:r>
          </w:p>
        </w:tc>
        <w:tc>
          <w:tcPr>
            <w:tcW w:w="120" w:type="dxa"/>
            <w:vAlign w:val="bottom"/>
          </w:tcPr>
          <w:p>
            <w:pPr>
              <w:spacing w:after="0"/>
              <w:rPr>
                <w:sz w:val="15"/>
                <w:szCs w:val="15"/>
                <w:color w:val="auto"/>
              </w:rPr>
            </w:pPr>
          </w:p>
        </w:tc>
        <w:tc>
          <w:tcPr>
            <w:tcW w:w="1900" w:type="dxa"/>
            <w:vAlign w:val="bottom"/>
          </w:tcPr>
          <w:p>
            <w:pPr>
              <w:jc w:val="right"/>
              <w:spacing w:after="0"/>
              <w:rPr>
                <w:sz w:val="20"/>
                <w:szCs w:val="20"/>
                <w:color w:val="auto"/>
              </w:rPr>
            </w:pPr>
            <w:r>
              <w:rPr>
                <w:rFonts w:ascii="Arial" w:cs="Arial" w:eastAsia="Arial" w:hAnsi="Arial"/>
                <w:sz w:val="13"/>
                <w:szCs w:val="13"/>
                <w:color w:val="auto"/>
              </w:rPr>
              <w:t>6.70</w:t>
            </w:r>
          </w:p>
        </w:tc>
        <w:tc>
          <w:tcPr>
            <w:tcW w:w="140" w:type="dxa"/>
            <w:vAlign w:val="bottom"/>
          </w:tcPr>
          <w:p>
            <w:pPr>
              <w:jc w:val="right"/>
              <w:spacing w:after="0"/>
              <w:rPr>
                <w:sz w:val="20"/>
                <w:szCs w:val="20"/>
                <w:color w:val="auto"/>
              </w:rPr>
            </w:pPr>
            <w:r>
              <w:rPr>
                <w:rFonts w:ascii="Arial" w:cs="Arial" w:eastAsia="Arial" w:hAnsi="Arial"/>
                <w:sz w:val="13"/>
                <w:szCs w:val="13"/>
                <w:color w:val="auto"/>
                <w:w w:val="86"/>
              </w:rPr>
              <w:t>%</w:t>
            </w:r>
          </w:p>
        </w:tc>
        <w:tc>
          <w:tcPr>
            <w:tcW w:w="120" w:type="dxa"/>
            <w:vAlign w:val="bottom"/>
          </w:tcPr>
          <w:p>
            <w:pPr>
              <w:spacing w:after="0"/>
              <w:rPr>
                <w:sz w:val="15"/>
                <w:szCs w:val="15"/>
                <w:color w:val="auto"/>
              </w:rPr>
            </w:pPr>
          </w:p>
        </w:tc>
        <w:tc>
          <w:tcPr>
            <w:tcW w:w="1880" w:type="dxa"/>
            <w:vAlign w:val="bottom"/>
          </w:tcPr>
          <w:p>
            <w:pPr>
              <w:jc w:val="right"/>
              <w:spacing w:after="0"/>
              <w:rPr>
                <w:sz w:val="20"/>
                <w:szCs w:val="20"/>
                <w:color w:val="auto"/>
              </w:rPr>
            </w:pPr>
            <w:r>
              <w:rPr>
                <w:rFonts w:ascii="Arial" w:cs="Arial" w:eastAsia="Arial" w:hAnsi="Arial"/>
                <w:sz w:val="13"/>
                <w:szCs w:val="13"/>
                <w:color w:val="auto"/>
              </w:rPr>
              <w:t>4.06</w:t>
            </w:r>
          </w:p>
        </w:tc>
        <w:tc>
          <w:tcPr>
            <w:tcW w:w="160" w:type="dxa"/>
            <w:vAlign w:val="bottom"/>
          </w:tcPr>
          <w:p>
            <w:pPr>
              <w:ind w:left="40"/>
              <w:spacing w:after="0"/>
              <w:rPr>
                <w:sz w:val="20"/>
                <w:szCs w:val="20"/>
                <w:color w:val="auto"/>
              </w:rPr>
            </w:pPr>
            <w:r>
              <w:rPr>
                <w:rFonts w:ascii="Arial" w:cs="Arial" w:eastAsia="Arial" w:hAnsi="Arial"/>
                <w:sz w:val="13"/>
                <w:szCs w:val="13"/>
                <w:color w:val="auto"/>
                <w:w w:val="86"/>
              </w:rPr>
              <w:t>%</w:t>
            </w:r>
          </w:p>
        </w:tc>
        <w:tc>
          <w:tcPr>
            <w:tcW w:w="1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660" w:type="dxa"/>
            <w:vAlign w:val="bottom"/>
          </w:tcPr>
          <w:p>
            <w:pPr>
              <w:jc w:val="right"/>
              <w:spacing w:after="0"/>
              <w:rPr>
                <w:sz w:val="20"/>
                <w:szCs w:val="20"/>
                <w:color w:val="auto"/>
              </w:rPr>
            </w:pPr>
            <w:r>
              <w:rPr>
                <w:rFonts w:ascii="Arial" w:cs="Arial" w:eastAsia="Arial" w:hAnsi="Arial"/>
                <w:sz w:val="13"/>
                <w:szCs w:val="13"/>
                <w:color w:val="auto"/>
              </w:rPr>
              <w:t>377,268</w:t>
            </w:r>
          </w:p>
        </w:tc>
        <w:tc>
          <w:tcPr>
            <w:tcW w:w="0" w:type="dxa"/>
            <w:vAlign w:val="bottom"/>
          </w:tcPr>
          <w:p>
            <w:pPr>
              <w:spacing w:after="0"/>
              <w:rPr>
                <w:sz w:val="1"/>
                <w:szCs w:val="1"/>
                <w:color w:val="auto"/>
              </w:rPr>
            </w:pPr>
          </w:p>
        </w:tc>
      </w:tr>
      <w:tr>
        <w:trPr>
          <w:trHeight w:val="27"/>
        </w:trPr>
        <w:tc>
          <w:tcPr>
            <w:tcW w:w="1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5"/>
        </w:trPr>
        <w:tc>
          <w:tcPr>
            <w:tcW w:w="19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90"/>
              </w:rPr>
              <w:t>7.0 - 7.49%</w:t>
            </w:r>
          </w:p>
        </w:tc>
        <w:tc>
          <w:tcPr>
            <w:tcW w:w="120" w:type="dxa"/>
            <w:vAlign w:val="bottom"/>
            <w:tcBorders>
              <w:bottom w:val="single" w:sz="8" w:color="CCEEFF"/>
            </w:tcBorders>
            <w:shd w:val="clear" w:color="auto" w:fill="CCEEFF"/>
          </w:tcPr>
          <w:p>
            <w:pPr>
              <w:spacing w:after="0"/>
              <w:rPr>
                <w:sz w:val="16"/>
                <w:szCs w:val="16"/>
                <w:color w:val="auto"/>
              </w:rPr>
            </w:pPr>
          </w:p>
        </w:tc>
        <w:tc>
          <w:tcPr>
            <w:tcW w:w="1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7.17</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w w:val="86"/>
              </w:rPr>
              <w:t>%</w:t>
            </w:r>
          </w:p>
        </w:tc>
        <w:tc>
          <w:tcPr>
            <w:tcW w:w="120" w:type="dxa"/>
            <w:vAlign w:val="bottom"/>
            <w:tcBorders>
              <w:bottom w:val="single" w:sz="8" w:color="CCEEFF"/>
            </w:tcBorders>
            <w:shd w:val="clear" w:color="auto" w:fill="CCEEFF"/>
          </w:tcPr>
          <w:p>
            <w:pPr>
              <w:spacing w:after="0"/>
              <w:rPr>
                <w:sz w:val="16"/>
                <w:szCs w:val="16"/>
                <w:color w:val="auto"/>
              </w:rPr>
            </w:pPr>
          </w:p>
        </w:tc>
        <w:tc>
          <w:tcPr>
            <w:tcW w:w="1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4.53</w:t>
            </w:r>
          </w:p>
        </w:tc>
        <w:tc>
          <w:tcPr>
            <w:tcW w:w="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3"/>
                <w:szCs w:val="13"/>
                <w:color w:val="auto"/>
                <w:w w:val="86"/>
              </w:rPr>
              <w:t>%</w:t>
            </w:r>
          </w:p>
        </w:tc>
        <w:tc>
          <w:tcPr>
            <w:tcW w:w="100" w:type="dxa"/>
            <w:vAlign w:val="bottom"/>
            <w:tcBorders>
              <w:bottom w:val="single" w:sz="8" w:color="CCEEFF"/>
            </w:tcBorders>
            <w:shd w:val="clear" w:color="auto" w:fill="CCEEFF"/>
          </w:tcPr>
          <w:p>
            <w:pPr>
              <w:spacing w:after="0"/>
              <w:rPr>
                <w:sz w:val="16"/>
                <w:szCs w:val="16"/>
                <w:color w:val="auto"/>
              </w:rPr>
            </w:pPr>
          </w:p>
        </w:tc>
        <w:tc>
          <w:tcPr>
            <w:tcW w:w="360" w:type="dxa"/>
            <w:vAlign w:val="bottom"/>
            <w:tcBorders>
              <w:bottom w:val="single" w:sz="8" w:color="CCEEFF"/>
            </w:tcBorders>
            <w:shd w:val="clear" w:color="auto" w:fill="CCEEFF"/>
          </w:tcPr>
          <w:p>
            <w:pPr>
              <w:spacing w:after="0"/>
              <w:rPr>
                <w:sz w:val="16"/>
                <w:szCs w:val="16"/>
                <w:color w:val="auto"/>
              </w:rPr>
            </w:pP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131,473</w:t>
            </w:r>
          </w:p>
        </w:tc>
        <w:tc>
          <w:tcPr>
            <w:tcW w:w="0" w:type="dxa"/>
            <w:vAlign w:val="bottom"/>
          </w:tcPr>
          <w:p>
            <w:pPr>
              <w:spacing w:after="0"/>
              <w:rPr>
                <w:sz w:val="1"/>
                <w:szCs w:val="1"/>
                <w:color w:val="auto"/>
              </w:rPr>
            </w:pPr>
          </w:p>
        </w:tc>
      </w:tr>
      <w:tr>
        <w:trPr>
          <w:trHeight w:val="178"/>
        </w:trPr>
        <w:tc>
          <w:tcPr>
            <w:tcW w:w="1960" w:type="dxa"/>
            <w:vAlign w:val="bottom"/>
          </w:tcPr>
          <w:p>
            <w:pPr>
              <w:jc w:val="center"/>
              <w:spacing w:after="0"/>
              <w:rPr>
                <w:sz w:val="20"/>
                <w:szCs w:val="20"/>
                <w:color w:val="auto"/>
              </w:rPr>
            </w:pPr>
            <w:r>
              <w:rPr>
                <w:rFonts w:ascii="Arial" w:cs="Arial" w:eastAsia="Arial" w:hAnsi="Arial"/>
                <w:sz w:val="13"/>
                <w:szCs w:val="13"/>
                <w:color w:val="auto"/>
                <w:w w:val="90"/>
              </w:rPr>
              <w:t>7.5 - 7.99%</w:t>
            </w:r>
          </w:p>
        </w:tc>
        <w:tc>
          <w:tcPr>
            <w:tcW w:w="120" w:type="dxa"/>
            <w:vAlign w:val="bottom"/>
          </w:tcPr>
          <w:p>
            <w:pPr>
              <w:spacing w:after="0"/>
              <w:rPr>
                <w:sz w:val="15"/>
                <w:szCs w:val="15"/>
                <w:color w:val="auto"/>
              </w:rPr>
            </w:pPr>
          </w:p>
        </w:tc>
        <w:tc>
          <w:tcPr>
            <w:tcW w:w="1900" w:type="dxa"/>
            <w:vAlign w:val="bottom"/>
          </w:tcPr>
          <w:p>
            <w:pPr>
              <w:jc w:val="right"/>
              <w:spacing w:after="0"/>
              <w:rPr>
                <w:sz w:val="20"/>
                <w:szCs w:val="20"/>
                <w:color w:val="auto"/>
              </w:rPr>
            </w:pPr>
            <w:r>
              <w:rPr>
                <w:rFonts w:ascii="Arial" w:cs="Arial" w:eastAsia="Arial" w:hAnsi="Arial"/>
                <w:sz w:val="13"/>
                <w:szCs w:val="13"/>
                <w:color w:val="auto"/>
              </w:rPr>
              <w:t>7.71</w:t>
            </w:r>
          </w:p>
        </w:tc>
        <w:tc>
          <w:tcPr>
            <w:tcW w:w="140" w:type="dxa"/>
            <w:vAlign w:val="bottom"/>
          </w:tcPr>
          <w:p>
            <w:pPr>
              <w:jc w:val="right"/>
              <w:spacing w:after="0"/>
              <w:rPr>
                <w:sz w:val="20"/>
                <w:szCs w:val="20"/>
                <w:color w:val="auto"/>
              </w:rPr>
            </w:pPr>
            <w:r>
              <w:rPr>
                <w:rFonts w:ascii="Arial" w:cs="Arial" w:eastAsia="Arial" w:hAnsi="Arial"/>
                <w:sz w:val="13"/>
                <w:szCs w:val="13"/>
                <w:color w:val="auto"/>
                <w:w w:val="86"/>
              </w:rPr>
              <w:t>%</w:t>
            </w:r>
          </w:p>
        </w:tc>
        <w:tc>
          <w:tcPr>
            <w:tcW w:w="120" w:type="dxa"/>
            <w:vAlign w:val="bottom"/>
          </w:tcPr>
          <w:p>
            <w:pPr>
              <w:spacing w:after="0"/>
              <w:rPr>
                <w:sz w:val="15"/>
                <w:szCs w:val="15"/>
                <w:color w:val="auto"/>
              </w:rPr>
            </w:pPr>
          </w:p>
        </w:tc>
        <w:tc>
          <w:tcPr>
            <w:tcW w:w="1880" w:type="dxa"/>
            <w:vAlign w:val="bottom"/>
          </w:tcPr>
          <w:p>
            <w:pPr>
              <w:jc w:val="right"/>
              <w:spacing w:after="0"/>
              <w:rPr>
                <w:sz w:val="20"/>
                <w:szCs w:val="20"/>
                <w:color w:val="auto"/>
              </w:rPr>
            </w:pPr>
            <w:r>
              <w:rPr>
                <w:rFonts w:ascii="Arial" w:cs="Arial" w:eastAsia="Arial" w:hAnsi="Arial"/>
                <w:sz w:val="13"/>
                <w:szCs w:val="13"/>
                <w:color w:val="auto"/>
              </w:rPr>
              <w:t>5.07</w:t>
            </w:r>
          </w:p>
        </w:tc>
        <w:tc>
          <w:tcPr>
            <w:tcW w:w="160" w:type="dxa"/>
            <w:vAlign w:val="bottom"/>
          </w:tcPr>
          <w:p>
            <w:pPr>
              <w:ind w:left="40"/>
              <w:spacing w:after="0"/>
              <w:rPr>
                <w:sz w:val="20"/>
                <w:szCs w:val="20"/>
                <w:color w:val="auto"/>
              </w:rPr>
            </w:pPr>
            <w:r>
              <w:rPr>
                <w:rFonts w:ascii="Arial" w:cs="Arial" w:eastAsia="Arial" w:hAnsi="Arial"/>
                <w:sz w:val="13"/>
                <w:szCs w:val="13"/>
                <w:color w:val="auto"/>
                <w:w w:val="86"/>
              </w:rPr>
              <w:t>%</w:t>
            </w:r>
          </w:p>
        </w:tc>
        <w:tc>
          <w:tcPr>
            <w:tcW w:w="1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660" w:type="dxa"/>
            <w:vAlign w:val="bottom"/>
          </w:tcPr>
          <w:p>
            <w:pPr>
              <w:jc w:val="right"/>
              <w:spacing w:after="0"/>
              <w:rPr>
                <w:sz w:val="20"/>
                <w:szCs w:val="20"/>
                <w:color w:val="auto"/>
              </w:rPr>
            </w:pPr>
            <w:r>
              <w:rPr>
                <w:rFonts w:ascii="Arial" w:cs="Arial" w:eastAsia="Arial" w:hAnsi="Arial"/>
                <w:sz w:val="13"/>
                <w:szCs w:val="13"/>
                <w:color w:val="auto"/>
              </w:rPr>
              <w:t>227,415</w:t>
            </w:r>
          </w:p>
        </w:tc>
        <w:tc>
          <w:tcPr>
            <w:tcW w:w="0" w:type="dxa"/>
            <w:vAlign w:val="bottom"/>
          </w:tcPr>
          <w:p>
            <w:pPr>
              <w:spacing w:after="0"/>
              <w:rPr>
                <w:sz w:val="1"/>
                <w:szCs w:val="1"/>
                <w:color w:val="auto"/>
              </w:rPr>
            </w:pPr>
          </w:p>
        </w:tc>
      </w:tr>
      <w:tr>
        <w:trPr>
          <w:trHeight w:val="27"/>
        </w:trPr>
        <w:tc>
          <w:tcPr>
            <w:tcW w:w="1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5"/>
        </w:trPr>
        <w:tc>
          <w:tcPr>
            <w:tcW w:w="19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90"/>
              </w:rPr>
              <w:t>8.0 - 8.99%</w:t>
            </w:r>
          </w:p>
        </w:tc>
        <w:tc>
          <w:tcPr>
            <w:tcW w:w="120" w:type="dxa"/>
            <w:vAlign w:val="bottom"/>
            <w:tcBorders>
              <w:bottom w:val="single" w:sz="8" w:color="CCEEFF"/>
            </w:tcBorders>
            <w:shd w:val="clear" w:color="auto" w:fill="CCEEFF"/>
          </w:tcPr>
          <w:p>
            <w:pPr>
              <w:spacing w:after="0"/>
              <w:rPr>
                <w:sz w:val="16"/>
                <w:szCs w:val="16"/>
                <w:color w:val="auto"/>
              </w:rPr>
            </w:pPr>
          </w:p>
        </w:tc>
        <w:tc>
          <w:tcPr>
            <w:tcW w:w="1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8.18</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w w:val="86"/>
              </w:rPr>
              <w:t>%</w:t>
            </w:r>
          </w:p>
        </w:tc>
        <w:tc>
          <w:tcPr>
            <w:tcW w:w="120" w:type="dxa"/>
            <w:vAlign w:val="bottom"/>
            <w:tcBorders>
              <w:bottom w:val="single" w:sz="8" w:color="CCEEFF"/>
            </w:tcBorders>
            <w:shd w:val="clear" w:color="auto" w:fill="CCEEFF"/>
          </w:tcPr>
          <w:p>
            <w:pPr>
              <w:spacing w:after="0"/>
              <w:rPr>
                <w:sz w:val="16"/>
                <w:szCs w:val="16"/>
                <w:color w:val="auto"/>
              </w:rPr>
            </w:pPr>
          </w:p>
        </w:tc>
        <w:tc>
          <w:tcPr>
            <w:tcW w:w="1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5.54</w:t>
            </w:r>
          </w:p>
        </w:tc>
        <w:tc>
          <w:tcPr>
            <w:tcW w:w="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3"/>
                <w:szCs w:val="13"/>
                <w:color w:val="auto"/>
                <w:w w:val="86"/>
              </w:rPr>
              <w:t>%</w:t>
            </w:r>
          </w:p>
        </w:tc>
        <w:tc>
          <w:tcPr>
            <w:tcW w:w="100" w:type="dxa"/>
            <w:vAlign w:val="bottom"/>
            <w:tcBorders>
              <w:bottom w:val="single" w:sz="8" w:color="CCEEFF"/>
            </w:tcBorders>
            <w:shd w:val="clear" w:color="auto" w:fill="CCEEFF"/>
          </w:tcPr>
          <w:p>
            <w:pPr>
              <w:spacing w:after="0"/>
              <w:rPr>
                <w:sz w:val="16"/>
                <w:szCs w:val="16"/>
                <w:color w:val="auto"/>
              </w:rPr>
            </w:pPr>
          </w:p>
        </w:tc>
        <w:tc>
          <w:tcPr>
            <w:tcW w:w="360" w:type="dxa"/>
            <w:vAlign w:val="bottom"/>
            <w:tcBorders>
              <w:bottom w:val="single" w:sz="8" w:color="CCEEFF"/>
            </w:tcBorders>
            <w:shd w:val="clear" w:color="auto" w:fill="CCEEFF"/>
          </w:tcPr>
          <w:p>
            <w:pPr>
              <w:spacing w:after="0"/>
              <w:rPr>
                <w:sz w:val="16"/>
                <w:szCs w:val="16"/>
                <w:color w:val="auto"/>
              </w:rPr>
            </w:pP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529,755</w:t>
            </w:r>
          </w:p>
        </w:tc>
        <w:tc>
          <w:tcPr>
            <w:tcW w:w="0" w:type="dxa"/>
            <w:vAlign w:val="bottom"/>
          </w:tcPr>
          <w:p>
            <w:pPr>
              <w:spacing w:after="0"/>
              <w:rPr>
                <w:sz w:val="1"/>
                <w:szCs w:val="1"/>
                <w:color w:val="auto"/>
              </w:rPr>
            </w:pPr>
          </w:p>
        </w:tc>
      </w:tr>
      <w:tr>
        <w:trPr>
          <w:trHeight w:val="178"/>
        </w:trPr>
        <w:tc>
          <w:tcPr>
            <w:tcW w:w="1960" w:type="dxa"/>
            <w:vAlign w:val="bottom"/>
          </w:tcPr>
          <w:p>
            <w:pPr>
              <w:jc w:val="center"/>
              <w:spacing w:after="0"/>
              <w:rPr>
                <w:sz w:val="20"/>
                <w:szCs w:val="20"/>
                <w:color w:val="auto"/>
              </w:rPr>
            </w:pPr>
            <w:r>
              <w:rPr>
                <w:rFonts w:ascii="Arial" w:cs="Arial" w:eastAsia="Arial" w:hAnsi="Arial"/>
                <w:sz w:val="13"/>
                <w:szCs w:val="13"/>
                <w:color w:val="auto"/>
                <w:w w:val="92"/>
              </w:rPr>
              <w:t>&gt; 9.0%</w:t>
            </w:r>
          </w:p>
        </w:tc>
        <w:tc>
          <w:tcPr>
            <w:tcW w:w="120" w:type="dxa"/>
            <w:vAlign w:val="bottom"/>
          </w:tcPr>
          <w:p>
            <w:pPr>
              <w:spacing w:after="0"/>
              <w:rPr>
                <w:sz w:val="15"/>
                <w:szCs w:val="15"/>
                <w:color w:val="auto"/>
              </w:rPr>
            </w:pPr>
          </w:p>
        </w:tc>
        <w:tc>
          <w:tcPr>
            <w:tcW w:w="1900" w:type="dxa"/>
            <w:vAlign w:val="bottom"/>
          </w:tcPr>
          <w:p>
            <w:pPr>
              <w:jc w:val="right"/>
              <w:spacing w:after="0"/>
              <w:rPr>
                <w:sz w:val="20"/>
                <w:szCs w:val="20"/>
                <w:color w:val="auto"/>
              </w:rPr>
            </w:pPr>
            <w:r>
              <w:rPr>
                <w:rFonts w:ascii="Arial" w:cs="Arial" w:eastAsia="Arial" w:hAnsi="Arial"/>
                <w:sz w:val="13"/>
                <w:szCs w:val="13"/>
                <w:color w:val="auto"/>
              </w:rPr>
              <w:t>9.05</w:t>
            </w:r>
          </w:p>
        </w:tc>
        <w:tc>
          <w:tcPr>
            <w:tcW w:w="140" w:type="dxa"/>
            <w:vAlign w:val="bottom"/>
          </w:tcPr>
          <w:p>
            <w:pPr>
              <w:jc w:val="right"/>
              <w:spacing w:after="0"/>
              <w:rPr>
                <w:sz w:val="20"/>
                <w:szCs w:val="20"/>
                <w:color w:val="auto"/>
              </w:rPr>
            </w:pPr>
            <w:r>
              <w:rPr>
                <w:rFonts w:ascii="Arial" w:cs="Arial" w:eastAsia="Arial" w:hAnsi="Arial"/>
                <w:sz w:val="13"/>
                <w:szCs w:val="13"/>
                <w:color w:val="auto"/>
                <w:w w:val="86"/>
              </w:rPr>
              <w:t>%</w:t>
            </w:r>
          </w:p>
        </w:tc>
        <w:tc>
          <w:tcPr>
            <w:tcW w:w="120" w:type="dxa"/>
            <w:vAlign w:val="bottom"/>
          </w:tcPr>
          <w:p>
            <w:pPr>
              <w:spacing w:after="0"/>
              <w:rPr>
                <w:sz w:val="15"/>
                <w:szCs w:val="15"/>
                <w:color w:val="auto"/>
              </w:rPr>
            </w:pPr>
          </w:p>
        </w:tc>
        <w:tc>
          <w:tcPr>
            <w:tcW w:w="1880" w:type="dxa"/>
            <w:vAlign w:val="bottom"/>
          </w:tcPr>
          <w:p>
            <w:pPr>
              <w:jc w:val="right"/>
              <w:spacing w:after="0"/>
              <w:rPr>
                <w:sz w:val="20"/>
                <w:szCs w:val="20"/>
                <w:color w:val="auto"/>
              </w:rPr>
            </w:pPr>
            <w:r>
              <w:rPr>
                <w:rFonts w:ascii="Arial" w:cs="Arial" w:eastAsia="Arial" w:hAnsi="Arial"/>
                <w:sz w:val="13"/>
                <w:szCs w:val="13"/>
                <w:color w:val="auto"/>
              </w:rPr>
              <w:t>6.41</w:t>
            </w:r>
          </w:p>
        </w:tc>
        <w:tc>
          <w:tcPr>
            <w:tcW w:w="160" w:type="dxa"/>
            <w:vAlign w:val="bottom"/>
          </w:tcPr>
          <w:p>
            <w:pPr>
              <w:ind w:left="40"/>
              <w:spacing w:after="0"/>
              <w:rPr>
                <w:sz w:val="20"/>
                <w:szCs w:val="20"/>
                <w:color w:val="auto"/>
              </w:rPr>
            </w:pPr>
            <w:r>
              <w:rPr>
                <w:rFonts w:ascii="Arial" w:cs="Arial" w:eastAsia="Arial" w:hAnsi="Arial"/>
                <w:sz w:val="13"/>
                <w:szCs w:val="13"/>
                <w:color w:val="auto"/>
                <w:w w:val="86"/>
              </w:rPr>
              <w:t>%</w:t>
            </w:r>
          </w:p>
        </w:tc>
        <w:tc>
          <w:tcPr>
            <w:tcW w:w="1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660" w:type="dxa"/>
            <w:vAlign w:val="bottom"/>
          </w:tcPr>
          <w:p>
            <w:pPr>
              <w:jc w:val="right"/>
              <w:spacing w:after="0"/>
              <w:rPr>
                <w:sz w:val="20"/>
                <w:szCs w:val="20"/>
                <w:color w:val="auto"/>
              </w:rPr>
            </w:pPr>
            <w:r>
              <w:rPr>
                <w:rFonts w:ascii="Arial" w:cs="Arial" w:eastAsia="Arial" w:hAnsi="Arial"/>
                <w:sz w:val="13"/>
                <w:szCs w:val="13"/>
                <w:color w:val="auto"/>
              </w:rPr>
              <w:t>198,654</w:t>
            </w:r>
          </w:p>
        </w:tc>
        <w:tc>
          <w:tcPr>
            <w:tcW w:w="0" w:type="dxa"/>
            <w:vAlign w:val="bottom"/>
          </w:tcPr>
          <w:p>
            <w:pPr>
              <w:spacing w:after="0"/>
              <w:rPr>
                <w:sz w:val="1"/>
                <w:szCs w:val="1"/>
                <w:color w:val="auto"/>
              </w:rPr>
            </w:pPr>
          </w:p>
        </w:tc>
      </w:tr>
      <w:tr>
        <w:trPr>
          <w:trHeight w:val="27"/>
        </w:trPr>
        <w:tc>
          <w:tcPr>
            <w:tcW w:w="196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900" w:type="dxa"/>
            <w:vAlign w:val="bottom"/>
            <w:tcBorders>
              <w:bottom w:val="single" w:sz="8" w:color="CCEEFF"/>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80" w:type="dxa"/>
            <w:vAlign w:val="bottom"/>
            <w:tcBorders>
              <w:bottom w:val="single" w:sz="8" w:color="CCEEFF"/>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1"/>
        </w:trPr>
        <w:tc>
          <w:tcPr>
            <w:tcW w:w="196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CCEEFF"/>
            </w:tcBorders>
            <w:shd w:val="clear" w:color="auto" w:fill="CCEEFF"/>
          </w:tcPr>
          <w:p>
            <w:pPr>
              <w:spacing w:after="0"/>
              <w:rPr>
                <w:sz w:val="18"/>
                <w:szCs w:val="18"/>
                <w:color w:val="auto"/>
              </w:rPr>
            </w:pPr>
          </w:p>
        </w:tc>
        <w:tc>
          <w:tcPr>
            <w:tcW w:w="190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CCEEFF"/>
            </w:tcBorders>
            <w:shd w:val="clear" w:color="auto" w:fill="CCEEFF"/>
          </w:tcPr>
          <w:p>
            <w:pPr>
              <w:spacing w:after="0"/>
              <w:rPr>
                <w:sz w:val="18"/>
                <w:szCs w:val="18"/>
                <w:color w:val="auto"/>
              </w:rPr>
            </w:pPr>
          </w:p>
        </w:tc>
        <w:tc>
          <w:tcPr>
            <w:tcW w:w="1880" w:type="dxa"/>
            <w:vAlign w:val="bottom"/>
            <w:tcBorders>
              <w:bottom w:val="single" w:sz="8" w:color="CCEEFF"/>
            </w:tcBorders>
            <w:shd w:val="clear" w:color="auto" w:fill="CCEEFF"/>
          </w:tcPr>
          <w:p>
            <w:pPr>
              <w:spacing w:after="0"/>
              <w:rPr>
                <w:sz w:val="18"/>
                <w:szCs w:val="18"/>
                <w:color w:val="auto"/>
              </w:rPr>
            </w:pPr>
          </w:p>
        </w:tc>
        <w:tc>
          <w:tcPr>
            <w:tcW w:w="620" w:type="dxa"/>
            <w:vAlign w:val="bottom"/>
            <w:tcBorders>
              <w:bottom w:val="single" w:sz="8" w:color="CCEEFF"/>
            </w:tcBorders>
            <w:gridSpan w:val="3"/>
            <w:shd w:val="clear" w:color="auto" w:fill="CCEEFF"/>
          </w:tcPr>
          <w:p>
            <w:pPr>
              <w:ind w:left="280"/>
              <w:spacing w:after="0"/>
              <w:rPr>
                <w:sz w:val="20"/>
                <w:szCs w:val="20"/>
                <w:color w:val="auto"/>
              </w:rPr>
            </w:pPr>
            <w:r>
              <w:rPr>
                <w:rFonts w:ascii="Arial" w:cs="Arial" w:eastAsia="Arial" w:hAnsi="Arial"/>
                <w:sz w:val="13"/>
                <w:szCs w:val="13"/>
                <w:color w:val="auto"/>
              </w:rPr>
              <w:t>$</w:t>
            </w: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2,495,192</w:t>
            </w:r>
          </w:p>
        </w:tc>
        <w:tc>
          <w:tcPr>
            <w:tcW w:w="0" w:type="dxa"/>
            <w:vAlign w:val="bottom"/>
          </w:tcPr>
          <w:p>
            <w:pPr>
              <w:spacing w:after="0"/>
              <w:rPr>
                <w:sz w:val="1"/>
                <w:szCs w:val="1"/>
                <w:color w:val="auto"/>
              </w:rPr>
            </w:pPr>
          </w:p>
        </w:tc>
      </w:tr>
      <w:tr>
        <w:trPr>
          <w:trHeight w:val="20"/>
        </w:trPr>
        <w:tc>
          <w:tcPr>
            <w:tcW w:w="19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9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8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6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7" w:lineRule="exact"/>
        <w:rPr>
          <w:sz w:val="20"/>
          <w:szCs w:val="20"/>
          <w:color w:val="auto"/>
        </w:rPr>
      </w:pPr>
    </w:p>
    <w:p>
      <w:pPr>
        <w:ind w:left="840" w:hanging="510"/>
        <w:spacing w:after="0" w:line="264" w:lineRule="auto"/>
        <w:tabs>
          <w:tab w:leader="none" w:pos="498" w:val="left"/>
        </w:tabs>
        <w:numPr>
          <w:ilvl w:val="0"/>
          <w:numId w:val="32"/>
        </w:numPr>
        <w:rPr>
          <w:rFonts w:ascii="Arial" w:cs="Arial" w:eastAsia="Arial" w:hAnsi="Arial"/>
          <w:sz w:val="13"/>
          <w:szCs w:val="13"/>
          <w:color w:val="auto"/>
        </w:rPr>
      </w:pPr>
      <w:r>
        <w:rPr>
          <w:rFonts w:ascii="Arial" w:cs="Arial" w:eastAsia="Arial" w:hAnsi="Arial"/>
          <w:sz w:val="13"/>
          <w:szCs w:val="13"/>
          <w:color w:val="auto"/>
        </w:rPr>
        <w:t>The estimated variable conversion rate is the estimated short-term interest rate at which loans would convert to a variable rate. As of March 31, 2019, the weighted average estimated variable conversion rate was 4.29% and the short-term interest rate was 254 basis points.</w:t>
      </w:r>
    </w:p>
    <w:p>
      <w:pPr>
        <w:spacing w:after="0" w:line="163" w:lineRule="exact"/>
        <w:rPr>
          <w:sz w:val="20"/>
          <w:szCs w:val="20"/>
          <w:color w:val="auto"/>
        </w:rPr>
      </w:pPr>
    </w:p>
    <w:p>
      <w:pPr>
        <w:spacing w:after="0"/>
        <w:rPr>
          <w:sz w:val="20"/>
          <w:szCs w:val="20"/>
          <w:color w:val="auto"/>
        </w:rPr>
      </w:pPr>
      <w:r>
        <w:rPr>
          <w:rFonts w:ascii="Arial" w:cs="Arial" w:eastAsia="Arial" w:hAnsi="Arial"/>
          <w:sz w:val="14"/>
          <w:szCs w:val="14"/>
          <w:color w:val="auto"/>
        </w:rPr>
        <w:t>The following table summarizes the outstanding derivative instruments as of March 31, 2019 used by the Company to economically hedge loans earning fixed rate floor income.</w:t>
      </w:r>
    </w:p>
    <w:p>
      <w:pPr>
        <w:spacing w:after="0" w:line="119" w:lineRule="exact"/>
        <w:rPr>
          <w:sz w:val="20"/>
          <w:szCs w:val="20"/>
          <w:color w:val="auto"/>
        </w:rPr>
      </w:pPr>
    </w:p>
    <w:tbl>
      <w:tblPr>
        <w:tblLayout w:type="fixed"/>
        <w:tblInd w:w="2560" w:type="dxa"/>
        <w:tblCellMar>
          <w:top w:w="0" w:type="dxa"/>
          <w:left w:w="0" w:type="dxa"/>
          <w:bottom w:w="0" w:type="dxa"/>
          <w:right w:w="0" w:type="dxa"/>
        </w:tblCellMar>
      </w:tblPr>
      <w:tr>
        <w:trPr>
          <w:trHeight w:val="162"/>
        </w:trPr>
        <w:tc>
          <w:tcPr>
            <w:tcW w:w="14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8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280" w:type="dxa"/>
            <w:vAlign w:val="bottom"/>
            <w:gridSpan w:val="2"/>
          </w:tcPr>
          <w:p>
            <w:pPr>
              <w:jc w:val="right"/>
              <w:spacing w:after="0"/>
              <w:rPr>
                <w:sz w:val="20"/>
                <w:szCs w:val="20"/>
                <w:color w:val="auto"/>
              </w:rPr>
            </w:pPr>
            <w:r>
              <w:rPr>
                <w:rFonts w:ascii="Arial" w:cs="Arial" w:eastAsia="Arial" w:hAnsi="Arial"/>
                <w:sz w:val="13"/>
                <w:szCs w:val="13"/>
                <w:b w:val="1"/>
                <w:bCs w:val="1"/>
                <w:color w:val="auto"/>
                <w:w w:val="90"/>
              </w:rPr>
              <w:t>Weighted average fixed rate paid by the</w:t>
            </w:r>
          </w:p>
        </w:tc>
      </w:tr>
      <w:tr>
        <w:trPr>
          <w:trHeight w:val="167"/>
        </w:trPr>
        <w:tc>
          <w:tcPr>
            <w:tcW w:w="1760" w:type="dxa"/>
            <w:vAlign w:val="bottom"/>
            <w:gridSpan w:val="2"/>
          </w:tcPr>
          <w:p>
            <w:pPr>
              <w:jc w:val="center"/>
              <w:ind w:right="340"/>
              <w:spacing w:after="0"/>
              <w:rPr>
                <w:sz w:val="20"/>
                <w:szCs w:val="20"/>
                <w:color w:val="auto"/>
              </w:rPr>
            </w:pPr>
            <w:r>
              <w:rPr>
                <w:rFonts w:ascii="Arial" w:cs="Arial" w:eastAsia="Arial" w:hAnsi="Arial"/>
                <w:sz w:val="13"/>
                <w:szCs w:val="13"/>
                <w:b w:val="1"/>
                <w:bCs w:val="1"/>
                <w:color w:val="auto"/>
                <w:w w:val="98"/>
              </w:rPr>
              <w:t>Maturity</w:t>
            </w:r>
          </w:p>
        </w:tc>
        <w:tc>
          <w:tcPr>
            <w:tcW w:w="360" w:type="dxa"/>
            <w:vAlign w:val="bottom"/>
          </w:tcPr>
          <w:p>
            <w:pPr>
              <w:spacing w:after="0"/>
              <w:rPr>
                <w:sz w:val="14"/>
                <w:szCs w:val="14"/>
                <w:color w:val="auto"/>
              </w:rPr>
            </w:pPr>
          </w:p>
        </w:tc>
        <w:tc>
          <w:tcPr>
            <w:tcW w:w="1960" w:type="dxa"/>
            <w:vAlign w:val="bottom"/>
            <w:gridSpan w:val="2"/>
          </w:tcPr>
          <w:p>
            <w:pPr>
              <w:ind w:left="280"/>
              <w:spacing w:after="0"/>
              <w:rPr>
                <w:sz w:val="20"/>
                <w:szCs w:val="20"/>
                <w:color w:val="auto"/>
              </w:rPr>
            </w:pPr>
            <w:r>
              <w:rPr>
                <w:rFonts w:ascii="Arial" w:cs="Arial" w:eastAsia="Arial" w:hAnsi="Arial"/>
                <w:sz w:val="13"/>
                <w:szCs w:val="13"/>
                <w:b w:val="1"/>
                <w:bCs w:val="1"/>
                <w:color w:val="auto"/>
              </w:rPr>
              <w:t>Notional amount</w:t>
            </w:r>
          </w:p>
        </w:tc>
        <w:tc>
          <w:tcPr>
            <w:tcW w:w="2120" w:type="dxa"/>
            <w:vAlign w:val="bottom"/>
          </w:tcPr>
          <w:p>
            <w:pPr>
              <w:jc w:val="right"/>
              <w:ind w:right="555"/>
              <w:spacing w:after="0"/>
              <w:rPr>
                <w:sz w:val="20"/>
                <w:szCs w:val="20"/>
                <w:color w:val="auto"/>
              </w:rPr>
            </w:pPr>
            <w:r>
              <w:rPr>
                <w:rFonts w:ascii="Arial" w:cs="Arial" w:eastAsia="Arial" w:hAnsi="Arial"/>
                <w:sz w:val="13"/>
                <w:szCs w:val="13"/>
                <w:b w:val="1"/>
                <w:bCs w:val="1"/>
                <w:color w:val="auto"/>
              </w:rPr>
              <w:t>Company (a)</w:t>
            </w:r>
          </w:p>
        </w:tc>
        <w:tc>
          <w:tcPr>
            <w:tcW w:w="160" w:type="dxa"/>
            <w:vAlign w:val="bottom"/>
          </w:tcPr>
          <w:p>
            <w:pPr>
              <w:spacing w:after="0"/>
              <w:rPr>
                <w:sz w:val="14"/>
                <w:szCs w:val="14"/>
                <w:color w:val="auto"/>
              </w:rPr>
            </w:pPr>
          </w:p>
        </w:tc>
      </w:tr>
      <w:tr>
        <w:trPr>
          <w:trHeight w:val="27"/>
        </w:trPr>
        <w:tc>
          <w:tcPr>
            <w:tcW w:w="1440" w:type="dxa"/>
            <w:vAlign w:val="bottom"/>
            <w:tcBorders>
              <w:bottom w:val="single" w:sz="8" w:color="auto"/>
            </w:tcBorders>
          </w:tcPr>
          <w:p>
            <w:pPr>
              <w:spacing w:after="0"/>
              <w:rPr>
                <w:sz w:val="2"/>
                <w:szCs w:val="2"/>
                <w:color w:val="auto"/>
              </w:rPr>
            </w:pPr>
          </w:p>
        </w:tc>
        <w:tc>
          <w:tcPr>
            <w:tcW w:w="3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r>
      <w:tr>
        <w:trPr>
          <w:trHeight w:val="176"/>
        </w:trPr>
        <w:tc>
          <w:tcPr>
            <w:tcW w:w="14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89"/>
              </w:rPr>
              <w:t>2019</w:t>
            </w:r>
          </w:p>
        </w:tc>
        <w:tc>
          <w:tcPr>
            <w:tcW w:w="320" w:type="dxa"/>
            <w:vAlign w:val="bottom"/>
            <w:tcBorders>
              <w:bottom w:val="single" w:sz="8" w:color="CCEEFF"/>
            </w:tcBorders>
            <w:shd w:val="clear" w:color="auto" w:fill="CCEEFF"/>
          </w:tcPr>
          <w:p>
            <w:pPr>
              <w:spacing w:after="0"/>
              <w:rPr>
                <w:sz w:val="15"/>
                <w:szCs w:val="15"/>
                <w:color w:val="auto"/>
              </w:rPr>
            </w:pPr>
          </w:p>
        </w:tc>
        <w:tc>
          <w:tcPr>
            <w:tcW w:w="360" w:type="dxa"/>
            <w:vAlign w:val="bottom"/>
            <w:tcBorders>
              <w:bottom w:val="single" w:sz="8" w:color="CCEEFF"/>
            </w:tcBorders>
            <w:shd w:val="clear" w:color="auto" w:fill="CCEEFF"/>
          </w:tcPr>
          <w:p>
            <w:pPr>
              <w:jc w:val="right"/>
              <w:ind w:right="215"/>
              <w:spacing w:after="0"/>
              <w:rPr>
                <w:sz w:val="20"/>
                <w:szCs w:val="20"/>
                <w:color w:val="auto"/>
              </w:rPr>
            </w:pPr>
            <w:r>
              <w:rPr>
                <w:rFonts w:ascii="Arial" w:cs="Arial" w:eastAsia="Arial" w:hAnsi="Arial"/>
                <w:sz w:val="13"/>
                <w:szCs w:val="13"/>
                <w:color w:val="auto"/>
                <w:w w:val="82"/>
              </w:rPr>
              <w:t>$</w:t>
            </w:r>
          </w:p>
        </w:tc>
        <w:tc>
          <w:tcPr>
            <w:tcW w:w="1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1,500,000</w:t>
            </w:r>
          </w:p>
        </w:tc>
        <w:tc>
          <w:tcPr>
            <w:tcW w:w="100" w:type="dxa"/>
            <w:vAlign w:val="bottom"/>
            <w:tcBorders>
              <w:bottom w:val="single" w:sz="8" w:color="CCEEFF"/>
            </w:tcBorders>
            <w:shd w:val="clear" w:color="auto" w:fill="CCEEFF"/>
          </w:tcPr>
          <w:p>
            <w:pPr>
              <w:spacing w:after="0"/>
              <w:rPr>
                <w:sz w:val="15"/>
                <w:szCs w:val="15"/>
                <w:color w:val="auto"/>
              </w:rPr>
            </w:pPr>
          </w:p>
        </w:tc>
        <w:tc>
          <w:tcPr>
            <w:tcW w:w="2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0.98</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w:t>
            </w:r>
          </w:p>
        </w:tc>
      </w:tr>
      <w:tr>
        <w:trPr>
          <w:trHeight w:val="178"/>
        </w:trPr>
        <w:tc>
          <w:tcPr>
            <w:tcW w:w="1440" w:type="dxa"/>
            <w:vAlign w:val="bottom"/>
          </w:tcPr>
          <w:p>
            <w:pPr>
              <w:jc w:val="center"/>
              <w:spacing w:after="0"/>
              <w:rPr>
                <w:sz w:val="20"/>
                <w:szCs w:val="20"/>
                <w:color w:val="auto"/>
              </w:rPr>
            </w:pPr>
            <w:r>
              <w:rPr>
                <w:rFonts w:ascii="Arial" w:cs="Arial" w:eastAsia="Arial" w:hAnsi="Arial"/>
                <w:sz w:val="13"/>
                <w:szCs w:val="13"/>
                <w:color w:val="auto"/>
                <w:w w:val="89"/>
              </w:rPr>
              <w:t>2020</w:t>
            </w:r>
          </w:p>
        </w:tc>
        <w:tc>
          <w:tcPr>
            <w:tcW w:w="32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860" w:type="dxa"/>
            <w:vAlign w:val="bottom"/>
          </w:tcPr>
          <w:p>
            <w:pPr>
              <w:jc w:val="right"/>
              <w:spacing w:after="0"/>
              <w:rPr>
                <w:sz w:val="20"/>
                <w:szCs w:val="20"/>
                <w:color w:val="auto"/>
              </w:rPr>
            </w:pPr>
            <w:r>
              <w:rPr>
                <w:rFonts w:ascii="Arial" w:cs="Arial" w:eastAsia="Arial" w:hAnsi="Arial"/>
                <w:sz w:val="13"/>
                <w:szCs w:val="13"/>
                <w:color w:val="auto"/>
              </w:rPr>
              <w:t>1,500,000</w:t>
            </w:r>
          </w:p>
        </w:tc>
        <w:tc>
          <w:tcPr>
            <w:tcW w:w="100" w:type="dxa"/>
            <w:vAlign w:val="bottom"/>
          </w:tcPr>
          <w:p>
            <w:pPr>
              <w:spacing w:after="0"/>
              <w:rPr>
                <w:sz w:val="15"/>
                <w:szCs w:val="15"/>
                <w:color w:val="auto"/>
              </w:rPr>
            </w:pPr>
          </w:p>
        </w:tc>
        <w:tc>
          <w:tcPr>
            <w:tcW w:w="2120" w:type="dxa"/>
            <w:vAlign w:val="bottom"/>
          </w:tcPr>
          <w:p>
            <w:pPr>
              <w:jc w:val="right"/>
              <w:spacing w:after="0"/>
              <w:rPr>
                <w:sz w:val="20"/>
                <w:szCs w:val="20"/>
                <w:color w:val="auto"/>
              </w:rPr>
            </w:pPr>
            <w:r>
              <w:rPr>
                <w:rFonts w:ascii="Arial" w:cs="Arial" w:eastAsia="Arial" w:hAnsi="Arial"/>
                <w:sz w:val="13"/>
                <w:szCs w:val="13"/>
                <w:color w:val="auto"/>
              </w:rPr>
              <w:t>1.01</w:t>
            </w:r>
          </w:p>
        </w:tc>
        <w:tc>
          <w:tcPr>
            <w:tcW w:w="160" w:type="dxa"/>
            <w:vAlign w:val="bottom"/>
          </w:tcPr>
          <w:p>
            <w:pPr>
              <w:spacing w:after="0"/>
              <w:rPr>
                <w:sz w:val="15"/>
                <w:szCs w:val="15"/>
                <w:color w:val="auto"/>
              </w:rPr>
            </w:pPr>
          </w:p>
        </w:tc>
      </w:tr>
      <w:tr>
        <w:trPr>
          <w:trHeight w:val="27"/>
        </w:trPr>
        <w:tc>
          <w:tcPr>
            <w:tcW w:w="1440" w:type="dxa"/>
            <w:vAlign w:val="bottom"/>
          </w:tcPr>
          <w:p>
            <w:pPr>
              <w:spacing w:after="0"/>
              <w:rPr>
                <w:sz w:val="2"/>
                <w:szCs w:val="2"/>
                <w:color w:val="auto"/>
              </w:rPr>
            </w:pPr>
          </w:p>
        </w:tc>
        <w:tc>
          <w:tcPr>
            <w:tcW w:w="3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120" w:type="dxa"/>
            <w:vAlign w:val="bottom"/>
          </w:tcPr>
          <w:p>
            <w:pPr>
              <w:spacing w:after="0"/>
              <w:rPr>
                <w:sz w:val="2"/>
                <w:szCs w:val="2"/>
                <w:color w:val="auto"/>
              </w:rPr>
            </w:pPr>
          </w:p>
        </w:tc>
        <w:tc>
          <w:tcPr>
            <w:tcW w:w="160" w:type="dxa"/>
            <w:vAlign w:val="bottom"/>
          </w:tcPr>
          <w:p>
            <w:pPr>
              <w:spacing w:after="0"/>
              <w:rPr>
                <w:sz w:val="2"/>
                <w:szCs w:val="2"/>
                <w:color w:val="auto"/>
              </w:rPr>
            </w:pPr>
          </w:p>
        </w:tc>
      </w:tr>
      <w:tr>
        <w:trPr>
          <w:trHeight w:val="185"/>
        </w:trPr>
        <w:tc>
          <w:tcPr>
            <w:tcW w:w="14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89"/>
              </w:rPr>
              <w:t>2021</w:t>
            </w:r>
          </w:p>
        </w:tc>
        <w:tc>
          <w:tcPr>
            <w:tcW w:w="320" w:type="dxa"/>
            <w:vAlign w:val="bottom"/>
            <w:tcBorders>
              <w:bottom w:val="single" w:sz="8" w:color="CCEEFF"/>
            </w:tcBorders>
            <w:shd w:val="clear" w:color="auto" w:fill="CCEEFF"/>
          </w:tcPr>
          <w:p>
            <w:pPr>
              <w:spacing w:after="0"/>
              <w:rPr>
                <w:sz w:val="16"/>
                <w:szCs w:val="16"/>
                <w:color w:val="auto"/>
              </w:rPr>
            </w:pPr>
          </w:p>
        </w:tc>
        <w:tc>
          <w:tcPr>
            <w:tcW w:w="360" w:type="dxa"/>
            <w:vAlign w:val="bottom"/>
            <w:tcBorders>
              <w:bottom w:val="single" w:sz="8" w:color="CCEEFF"/>
            </w:tcBorders>
            <w:shd w:val="clear" w:color="auto" w:fill="CCEEFF"/>
          </w:tcPr>
          <w:p>
            <w:pPr>
              <w:spacing w:after="0"/>
              <w:rPr>
                <w:sz w:val="16"/>
                <w:szCs w:val="16"/>
                <w:color w:val="auto"/>
              </w:rPr>
            </w:pPr>
          </w:p>
        </w:tc>
        <w:tc>
          <w:tcPr>
            <w:tcW w:w="1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100,000</w:t>
            </w:r>
          </w:p>
        </w:tc>
        <w:tc>
          <w:tcPr>
            <w:tcW w:w="100" w:type="dxa"/>
            <w:vAlign w:val="bottom"/>
            <w:tcBorders>
              <w:bottom w:val="single" w:sz="8" w:color="CCEEFF"/>
            </w:tcBorders>
            <w:shd w:val="clear" w:color="auto" w:fill="CCEEFF"/>
          </w:tcPr>
          <w:p>
            <w:pPr>
              <w:spacing w:after="0"/>
              <w:rPr>
                <w:sz w:val="16"/>
                <w:szCs w:val="16"/>
                <w:color w:val="auto"/>
              </w:rPr>
            </w:pPr>
          </w:p>
        </w:tc>
        <w:tc>
          <w:tcPr>
            <w:tcW w:w="2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2.95</w:t>
            </w:r>
          </w:p>
        </w:tc>
        <w:tc>
          <w:tcPr>
            <w:tcW w:w="160" w:type="dxa"/>
            <w:vAlign w:val="bottom"/>
            <w:tcBorders>
              <w:bottom w:val="single" w:sz="8" w:color="CCEEFF"/>
            </w:tcBorders>
            <w:shd w:val="clear" w:color="auto" w:fill="CCEEFF"/>
          </w:tcPr>
          <w:p>
            <w:pPr>
              <w:spacing w:after="0"/>
              <w:rPr>
                <w:sz w:val="16"/>
                <w:szCs w:val="16"/>
                <w:color w:val="auto"/>
              </w:rPr>
            </w:pPr>
          </w:p>
        </w:tc>
      </w:tr>
      <w:tr>
        <w:trPr>
          <w:trHeight w:val="178"/>
        </w:trPr>
        <w:tc>
          <w:tcPr>
            <w:tcW w:w="1440" w:type="dxa"/>
            <w:vAlign w:val="bottom"/>
          </w:tcPr>
          <w:p>
            <w:pPr>
              <w:jc w:val="center"/>
              <w:spacing w:after="0"/>
              <w:rPr>
                <w:sz w:val="20"/>
                <w:szCs w:val="20"/>
                <w:color w:val="auto"/>
              </w:rPr>
            </w:pPr>
            <w:r>
              <w:rPr>
                <w:rFonts w:ascii="Arial" w:cs="Arial" w:eastAsia="Arial" w:hAnsi="Arial"/>
                <w:sz w:val="13"/>
                <w:szCs w:val="13"/>
                <w:color w:val="auto"/>
                <w:w w:val="89"/>
              </w:rPr>
              <w:t>2023</w:t>
            </w:r>
          </w:p>
        </w:tc>
        <w:tc>
          <w:tcPr>
            <w:tcW w:w="32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860" w:type="dxa"/>
            <w:vAlign w:val="bottom"/>
          </w:tcPr>
          <w:p>
            <w:pPr>
              <w:jc w:val="right"/>
              <w:spacing w:after="0"/>
              <w:rPr>
                <w:sz w:val="20"/>
                <w:szCs w:val="20"/>
                <w:color w:val="auto"/>
              </w:rPr>
            </w:pPr>
            <w:r>
              <w:rPr>
                <w:rFonts w:ascii="Arial" w:cs="Arial" w:eastAsia="Arial" w:hAnsi="Arial"/>
                <w:sz w:val="13"/>
                <w:szCs w:val="13"/>
                <w:color w:val="auto"/>
              </w:rPr>
              <w:t>400,000</w:t>
            </w:r>
          </w:p>
        </w:tc>
        <w:tc>
          <w:tcPr>
            <w:tcW w:w="100" w:type="dxa"/>
            <w:vAlign w:val="bottom"/>
          </w:tcPr>
          <w:p>
            <w:pPr>
              <w:spacing w:after="0"/>
              <w:rPr>
                <w:sz w:val="15"/>
                <w:szCs w:val="15"/>
                <w:color w:val="auto"/>
              </w:rPr>
            </w:pPr>
          </w:p>
        </w:tc>
        <w:tc>
          <w:tcPr>
            <w:tcW w:w="2120" w:type="dxa"/>
            <w:vAlign w:val="bottom"/>
          </w:tcPr>
          <w:p>
            <w:pPr>
              <w:jc w:val="right"/>
              <w:spacing w:after="0"/>
              <w:rPr>
                <w:sz w:val="20"/>
                <w:szCs w:val="20"/>
                <w:color w:val="auto"/>
              </w:rPr>
            </w:pPr>
            <w:r>
              <w:rPr>
                <w:rFonts w:ascii="Arial" w:cs="Arial" w:eastAsia="Arial" w:hAnsi="Arial"/>
                <w:sz w:val="13"/>
                <w:szCs w:val="13"/>
                <w:color w:val="auto"/>
              </w:rPr>
              <w:t>2.24</w:t>
            </w:r>
          </w:p>
        </w:tc>
        <w:tc>
          <w:tcPr>
            <w:tcW w:w="160" w:type="dxa"/>
            <w:vAlign w:val="bottom"/>
          </w:tcPr>
          <w:p>
            <w:pPr>
              <w:spacing w:after="0"/>
              <w:rPr>
                <w:sz w:val="15"/>
                <w:szCs w:val="15"/>
                <w:color w:val="auto"/>
              </w:rPr>
            </w:pPr>
          </w:p>
        </w:tc>
      </w:tr>
      <w:tr>
        <w:trPr>
          <w:trHeight w:val="27"/>
        </w:trPr>
        <w:tc>
          <w:tcPr>
            <w:tcW w:w="1440" w:type="dxa"/>
            <w:vAlign w:val="bottom"/>
          </w:tcPr>
          <w:p>
            <w:pPr>
              <w:spacing w:after="0"/>
              <w:rPr>
                <w:sz w:val="2"/>
                <w:szCs w:val="2"/>
                <w:color w:val="auto"/>
              </w:rPr>
            </w:pPr>
          </w:p>
        </w:tc>
        <w:tc>
          <w:tcPr>
            <w:tcW w:w="3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120" w:type="dxa"/>
            <w:vAlign w:val="bottom"/>
          </w:tcPr>
          <w:p>
            <w:pPr>
              <w:spacing w:after="0"/>
              <w:rPr>
                <w:sz w:val="2"/>
                <w:szCs w:val="2"/>
                <w:color w:val="auto"/>
              </w:rPr>
            </w:pPr>
          </w:p>
        </w:tc>
        <w:tc>
          <w:tcPr>
            <w:tcW w:w="160" w:type="dxa"/>
            <w:vAlign w:val="bottom"/>
          </w:tcPr>
          <w:p>
            <w:pPr>
              <w:spacing w:after="0"/>
              <w:rPr>
                <w:sz w:val="2"/>
                <w:szCs w:val="2"/>
                <w:color w:val="auto"/>
              </w:rPr>
            </w:pPr>
          </w:p>
        </w:tc>
      </w:tr>
      <w:tr>
        <w:trPr>
          <w:trHeight w:val="205"/>
        </w:trPr>
        <w:tc>
          <w:tcPr>
            <w:tcW w:w="14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89"/>
              </w:rPr>
              <w:t>2024</w:t>
            </w:r>
          </w:p>
        </w:tc>
        <w:tc>
          <w:tcPr>
            <w:tcW w:w="320" w:type="dxa"/>
            <w:vAlign w:val="bottom"/>
            <w:tcBorders>
              <w:bottom w:val="single" w:sz="8" w:color="CCEEFF"/>
            </w:tcBorders>
            <w:shd w:val="clear" w:color="auto" w:fill="CCEEFF"/>
          </w:tcPr>
          <w:p>
            <w:pPr>
              <w:spacing w:after="0"/>
              <w:rPr>
                <w:sz w:val="17"/>
                <w:szCs w:val="17"/>
                <w:color w:val="auto"/>
              </w:rPr>
            </w:pPr>
          </w:p>
        </w:tc>
        <w:tc>
          <w:tcPr>
            <w:tcW w:w="360" w:type="dxa"/>
            <w:vAlign w:val="bottom"/>
            <w:tcBorders>
              <w:bottom w:val="single" w:sz="8" w:color="CCEEFF"/>
            </w:tcBorders>
            <w:shd w:val="clear" w:color="auto" w:fill="CCEEFF"/>
          </w:tcPr>
          <w:p>
            <w:pPr>
              <w:spacing w:after="0"/>
              <w:rPr>
                <w:sz w:val="17"/>
                <w:szCs w:val="17"/>
                <w:color w:val="auto"/>
              </w:rPr>
            </w:pPr>
          </w:p>
        </w:tc>
        <w:tc>
          <w:tcPr>
            <w:tcW w:w="1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200,000</w:t>
            </w:r>
          </w:p>
        </w:tc>
        <w:tc>
          <w:tcPr>
            <w:tcW w:w="100" w:type="dxa"/>
            <w:vAlign w:val="bottom"/>
            <w:tcBorders>
              <w:bottom w:val="single" w:sz="8" w:color="CCEEFF"/>
            </w:tcBorders>
            <w:shd w:val="clear" w:color="auto" w:fill="CCEEFF"/>
          </w:tcPr>
          <w:p>
            <w:pPr>
              <w:spacing w:after="0"/>
              <w:rPr>
                <w:sz w:val="17"/>
                <w:szCs w:val="17"/>
                <w:color w:val="auto"/>
              </w:rPr>
            </w:pPr>
          </w:p>
        </w:tc>
        <w:tc>
          <w:tcPr>
            <w:tcW w:w="2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2.27</w:t>
            </w:r>
          </w:p>
        </w:tc>
        <w:tc>
          <w:tcPr>
            <w:tcW w:w="160" w:type="dxa"/>
            <w:vAlign w:val="bottom"/>
            <w:tcBorders>
              <w:bottom w:val="single" w:sz="8" w:color="CCEEFF"/>
            </w:tcBorders>
            <w:shd w:val="clear" w:color="auto" w:fill="CCEEFF"/>
          </w:tcPr>
          <w:p>
            <w:pPr>
              <w:spacing w:after="0"/>
              <w:rPr>
                <w:sz w:val="17"/>
                <w:szCs w:val="17"/>
                <w:color w:val="auto"/>
              </w:rPr>
            </w:pPr>
          </w:p>
        </w:tc>
      </w:tr>
      <w:tr>
        <w:trPr>
          <w:trHeight w:val="169"/>
        </w:trPr>
        <w:tc>
          <w:tcPr>
            <w:tcW w:w="14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360" w:type="dxa"/>
            <w:vAlign w:val="bottom"/>
            <w:tcBorders>
              <w:top w:val="single" w:sz="8" w:color="auto"/>
            </w:tcBorders>
          </w:tcPr>
          <w:p>
            <w:pPr>
              <w:jc w:val="right"/>
              <w:ind w:right="215"/>
              <w:spacing w:after="0"/>
              <w:rPr>
                <w:sz w:val="20"/>
                <w:szCs w:val="20"/>
                <w:color w:val="auto"/>
              </w:rPr>
            </w:pPr>
            <w:r>
              <w:rPr>
                <w:rFonts w:ascii="Arial" w:cs="Arial" w:eastAsia="Arial" w:hAnsi="Arial"/>
                <w:sz w:val="13"/>
                <w:szCs w:val="13"/>
                <w:color w:val="auto"/>
                <w:w w:val="82"/>
              </w:rPr>
              <w:t>$</w:t>
            </w:r>
          </w:p>
        </w:tc>
        <w:tc>
          <w:tcPr>
            <w:tcW w:w="186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3,700,000</w:t>
            </w:r>
          </w:p>
        </w:tc>
        <w:tc>
          <w:tcPr>
            <w:tcW w:w="100" w:type="dxa"/>
            <w:vAlign w:val="bottom"/>
          </w:tcPr>
          <w:p>
            <w:pPr>
              <w:spacing w:after="0"/>
              <w:rPr>
                <w:sz w:val="14"/>
                <w:szCs w:val="14"/>
                <w:color w:val="auto"/>
              </w:rPr>
            </w:pPr>
          </w:p>
        </w:tc>
        <w:tc>
          <w:tcPr>
            <w:tcW w:w="21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1.25</w:t>
            </w: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w:t>
            </w:r>
          </w:p>
        </w:tc>
      </w:tr>
      <w:tr>
        <w:trPr>
          <w:trHeight w:val="27"/>
        </w:trPr>
        <w:tc>
          <w:tcPr>
            <w:tcW w:w="1440" w:type="dxa"/>
            <w:vAlign w:val="bottom"/>
          </w:tcPr>
          <w:p>
            <w:pPr>
              <w:spacing w:after="0"/>
              <w:rPr>
                <w:sz w:val="2"/>
                <w:szCs w:val="2"/>
                <w:color w:val="auto"/>
              </w:rPr>
            </w:pPr>
          </w:p>
        </w:tc>
        <w:tc>
          <w:tcPr>
            <w:tcW w:w="32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8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r>
      <w:tr>
        <w:trPr>
          <w:trHeight w:val="20"/>
        </w:trPr>
        <w:tc>
          <w:tcPr>
            <w:tcW w:w="14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1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r>
    </w:tbl>
    <w:p>
      <w:pPr>
        <w:spacing w:after="0" w:line="123" w:lineRule="exact"/>
        <w:rPr>
          <w:sz w:val="20"/>
          <w:szCs w:val="20"/>
          <w:color w:val="auto"/>
        </w:rPr>
      </w:pPr>
    </w:p>
    <w:p>
      <w:pPr>
        <w:ind w:left="320"/>
        <w:spacing w:after="0"/>
        <w:rPr>
          <w:sz w:val="20"/>
          <w:szCs w:val="20"/>
          <w:color w:val="auto"/>
        </w:rPr>
      </w:pPr>
      <w:r>
        <w:rPr>
          <w:rFonts w:ascii="Arial" w:cs="Arial" w:eastAsia="Arial" w:hAnsi="Arial"/>
          <w:sz w:val="13"/>
          <w:szCs w:val="13"/>
          <w:color w:val="auto"/>
        </w:rPr>
        <w:t>(a) For all interest rate derivatives, the Company receives discrete three-month LIBOR.</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ind w:right="-19"/>
        <w:spacing w:after="0"/>
        <w:rPr>
          <w:sz w:val="20"/>
          <w:szCs w:val="20"/>
          <w:color w:val="auto"/>
        </w:rPr>
      </w:pPr>
      <w:r>
        <w:rPr>
          <w:rFonts w:ascii="Arial" w:cs="Arial" w:eastAsia="Arial" w:hAnsi="Arial"/>
          <w:sz w:val="14"/>
          <w:szCs w:val="14"/>
          <w:color w:val="auto"/>
        </w:rPr>
        <w:t>55</w:t>
      </w:r>
    </w:p>
    <w:p>
      <w:pPr>
        <w:sectPr>
          <w:pgSz w:w="11900" w:h="16838" w:orient="portrait"/>
          <w:cols w:equalWidth="0" w:num="1">
            <w:col w:w="11460"/>
          </w:cols>
          <w:pgMar w:left="220" w:top="743" w:right="219" w:bottom="1440" w:gutter="0" w:footer="0" w:header="0"/>
        </w:sectPr>
      </w:pPr>
    </w:p>
    <w:bookmarkStart w:id="56" w:name="page57"/>
    <w:bookmarkEnd w:id="56"/>
    <w:p>
      <w:pPr>
        <w:jc w:val="both"/>
        <w:spacing w:after="0" w:line="272" w:lineRule="auto"/>
        <w:rPr>
          <w:sz w:val="20"/>
          <w:szCs w:val="20"/>
          <w:color w:val="auto"/>
        </w:rPr>
      </w:pPr>
      <w:r>
        <w:rPr>
          <w:rFonts w:ascii="Arial" w:cs="Arial" w:eastAsia="Arial" w:hAnsi="Arial"/>
          <w:sz w:val="14"/>
          <w:szCs w:val="14"/>
          <w:color w:val="auto"/>
        </w:rPr>
        <w:t>In addition, during 2014 and 2018, the Company paid $9.1 million and $4.6 million, respectively, for interest rate swap options to economically hedge loans earning fixed rate floor income. The interest rate swap options give the Company the right, but not the obligation, to enter into interest rate swaps in which the Company would pay a fixed amount and receive discrete one-month LIBOR. The following table summarizes these derivative instruments as of March 31, 2019:</w:t>
      </w:r>
    </w:p>
    <w:p>
      <w:pPr>
        <w:spacing w:after="0" w:line="13" w:lineRule="exact"/>
        <w:rPr>
          <w:sz w:val="20"/>
          <w:szCs w:val="20"/>
          <w:color w:val="auto"/>
        </w:rPr>
      </w:pPr>
    </w:p>
    <w:tbl>
      <w:tblPr>
        <w:tblLayout w:type="fixed"/>
        <w:tblInd w:w="2320" w:type="dxa"/>
        <w:tblCellMar>
          <w:top w:w="0" w:type="dxa"/>
          <w:left w:w="0" w:type="dxa"/>
          <w:bottom w:w="0" w:type="dxa"/>
          <w:right w:w="0" w:type="dxa"/>
        </w:tblCellMar>
      </w:tblPr>
      <w:tr>
        <w:trPr>
          <w:trHeight w:val="162"/>
        </w:trPr>
        <w:tc>
          <w:tcPr>
            <w:tcW w:w="17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760" w:type="dxa"/>
            <w:vAlign w:val="bottom"/>
            <w:gridSpan w:val="2"/>
          </w:tcPr>
          <w:p>
            <w:pPr>
              <w:jc w:val="right"/>
              <w:ind w:right="55"/>
              <w:spacing w:after="0"/>
              <w:rPr>
                <w:sz w:val="20"/>
                <w:szCs w:val="20"/>
                <w:color w:val="auto"/>
              </w:rPr>
            </w:pPr>
            <w:r>
              <w:rPr>
                <w:rFonts w:ascii="Arial" w:cs="Arial" w:eastAsia="Arial" w:hAnsi="Arial"/>
                <w:sz w:val="13"/>
                <w:szCs w:val="13"/>
                <w:b w:val="1"/>
                <w:bCs w:val="1"/>
                <w:color w:val="auto"/>
                <w:w w:val="93"/>
              </w:rPr>
              <w:t>Weighted average fixed rate</w:t>
            </w:r>
          </w:p>
        </w:tc>
        <w:tc>
          <w:tcPr>
            <w:tcW w:w="80" w:type="dxa"/>
            <w:vAlign w:val="bottom"/>
          </w:tcPr>
          <w:p>
            <w:pPr>
              <w:spacing w:after="0"/>
              <w:rPr>
                <w:sz w:val="14"/>
                <w:szCs w:val="14"/>
                <w:color w:val="auto"/>
              </w:rPr>
            </w:pPr>
          </w:p>
        </w:tc>
        <w:tc>
          <w:tcPr>
            <w:tcW w:w="1760" w:type="dxa"/>
            <w:vAlign w:val="bottom"/>
          </w:tcPr>
          <w:p>
            <w:pPr>
              <w:spacing w:after="0"/>
              <w:rPr>
                <w:sz w:val="14"/>
                <w:szCs w:val="14"/>
                <w:color w:val="auto"/>
              </w:rPr>
            </w:pPr>
          </w:p>
        </w:tc>
      </w:tr>
      <w:tr>
        <w:trPr>
          <w:trHeight w:val="167"/>
        </w:trPr>
        <w:tc>
          <w:tcPr>
            <w:tcW w:w="182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88"/>
              </w:rPr>
              <w:t>If exercised effective date</w:t>
            </w:r>
          </w:p>
        </w:tc>
        <w:tc>
          <w:tcPr>
            <w:tcW w:w="140" w:type="dxa"/>
            <w:vAlign w:val="bottom"/>
          </w:tcPr>
          <w:p>
            <w:pPr>
              <w:spacing w:after="0"/>
              <w:rPr>
                <w:sz w:val="14"/>
                <w:szCs w:val="14"/>
                <w:color w:val="auto"/>
              </w:rPr>
            </w:pPr>
          </w:p>
        </w:tc>
        <w:tc>
          <w:tcPr>
            <w:tcW w:w="1280" w:type="dxa"/>
            <w:vAlign w:val="bottom"/>
            <w:gridSpan w:val="2"/>
          </w:tcPr>
          <w:p>
            <w:pPr>
              <w:ind w:left="60"/>
              <w:spacing w:after="0"/>
              <w:rPr>
                <w:sz w:val="20"/>
                <w:szCs w:val="20"/>
                <w:color w:val="auto"/>
              </w:rPr>
            </w:pPr>
            <w:r>
              <w:rPr>
                <w:rFonts w:ascii="Arial" w:cs="Arial" w:eastAsia="Arial" w:hAnsi="Arial"/>
                <w:sz w:val="13"/>
                <w:szCs w:val="13"/>
                <w:b w:val="1"/>
                <w:bCs w:val="1"/>
                <w:color w:val="auto"/>
              </w:rPr>
              <w:t>Notional amount</w:t>
            </w:r>
          </w:p>
        </w:tc>
        <w:tc>
          <w:tcPr>
            <w:tcW w:w="1600" w:type="dxa"/>
            <w:vAlign w:val="bottom"/>
          </w:tcPr>
          <w:p>
            <w:pPr>
              <w:jc w:val="right"/>
              <w:ind w:right="75"/>
              <w:spacing w:after="0"/>
              <w:rPr>
                <w:sz w:val="20"/>
                <w:szCs w:val="20"/>
                <w:color w:val="auto"/>
              </w:rPr>
            </w:pPr>
            <w:r>
              <w:rPr>
                <w:rFonts w:ascii="Arial" w:cs="Arial" w:eastAsia="Arial" w:hAnsi="Arial"/>
                <w:sz w:val="13"/>
                <w:szCs w:val="13"/>
                <w:b w:val="1"/>
                <w:bCs w:val="1"/>
                <w:color w:val="auto"/>
              </w:rPr>
              <w:t>paid by the Company</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760" w:type="dxa"/>
            <w:vAlign w:val="bottom"/>
          </w:tcPr>
          <w:p>
            <w:pPr>
              <w:jc w:val="center"/>
              <w:spacing w:after="0"/>
              <w:rPr>
                <w:sz w:val="20"/>
                <w:szCs w:val="20"/>
                <w:color w:val="auto"/>
              </w:rPr>
            </w:pPr>
            <w:r>
              <w:rPr>
                <w:rFonts w:ascii="Arial" w:cs="Arial" w:eastAsia="Arial" w:hAnsi="Arial"/>
                <w:sz w:val="13"/>
                <w:szCs w:val="13"/>
                <w:b w:val="1"/>
                <w:bCs w:val="1"/>
                <w:color w:val="auto"/>
                <w:w w:val="90"/>
              </w:rPr>
              <w:t>If exercised maturity date</w:t>
            </w:r>
          </w:p>
        </w:tc>
      </w:tr>
      <w:tr>
        <w:trPr>
          <w:trHeight w:val="27"/>
        </w:trPr>
        <w:tc>
          <w:tcPr>
            <w:tcW w:w="17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r>
      <w:tr>
        <w:trPr>
          <w:trHeight w:val="176"/>
        </w:trPr>
        <w:tc>
          <w:tcPr>
            <w:tcW w:w="1820" w:type="dxa"/>
            <w:vAlign w:val="bottom"/>
            <w:tcBorders>
              <w:bottom w:val="single" w:sz="8" w:color="CCEEFF"/>
            </w:tcBorders>
            <w:gridSpan w:val="2"/>
            <w:shd w:val="clear" w:color="auto" w:fill="CCEEFF"/>
          </w:tcPr>
          <w:p>
            <w:pPr>
              <w:jc w:val="center"/>
              <w:ind w:right="80"/>
              <w:spacing w:after="0"/>
              <w:rPr>
                <w:sz w:val="20"/>
                <w:szCs w:val="20"/>
                <w:color w:val="auto"/>
              </w:rPr>
            </w:pPr>
            <w:r>
              <w:rPr>
                <w:rFonts w:ascii="Arial" w:cs="Arial" w:eastAsia="Arial" w:hAnsi="Arial"/>
                <w:sz w:val="13"/>
                <w:szCs w:val="13"/>
                <w:color w:val="auto"/>
                <w:w w:val="90"/>
              </w:rPr>
              <w:t>August 21, 2019</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750,000</w:t>
            </w:r>
          </w:p>
        </w:tc>
        <w:tc>
          <w:tcPr>
            <w:tcW w:w="100" w:type="dxa"/>
            <w:vAlign w:val="bottom"/>
            <w:tcBorders>
              <w:bottom w:val="single" w:sz="8" w:color="CCEEFF"/>
            </w:tcBorders>
            <w:shd w:val="clear" w:color="auto" w:fill="CCEEFF"/>
          </w:tcPr>
          <w:p>
            <w:pPr>
              <w:spacing w:after="0"/>
              <w:rPr>
                <w:sz w:val="15"/>
                <w:szCs w:val="15"/>
                <w:color w:val="auto"/>
              </w:rPr>
            </w:pP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3.28</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80" w:type="dxa"/>
            <w:vAlign w:val="bottom"/>
            <w:tcBorders>
              <w:bottom w:val="single" w:sz="8" w:color="CCEEFF"/>
            </w:tcBorders>
            <w:shd w:val="clear" w:color="auto" w:fill="CCEEFF"/>
          </w:tcPr>
          <w:p>
            <w:pPr>
              <w:spacing w:after="0"/>
              <w:rPr>
                <w:sz w:val="15"/>
                <w:szCs w:val="15"/>
                <w:color w:val="auto"/>
              </w:rPr>
            </w:pPr>
          </w:p>
        </w:tc>
        <w:tc>
          <w:tcPr>
            <w:tcW w:w="17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90"/>
              </w:rPr>
              <w:t>August 21, 2024</w:t>
            </w:r>
          </w:p>
        </w:tc>
      </w:tr>
      <w:tr>
        <w:trPr>
          <w:trHeight w:val="178"/>
        </w:trPr>
        <w:tc>
          <w:tcPr>
            <w:tcW w:w="1820" w:type="dxa"/>
            <w:vAlign w:val="bottom"/>
            <w:gridSpan w:val="2"/>
          </w:tcPr>
          <w:p>
            <w:pPr>
              <w:jc w:val="center"/>
              <w:ind w:right="100"/>
              <w:spacing w:after="0"/>
              <w:rPr>
                <w:sz w:val="20"/>
                <w:szCs w:val="20"/>
                <w:color w:val="auto"/>
              </w:rPr>
            </w:pPr>
            <w:r>
              <w:rPr>
                <w:rFonts w:ascii="Arial" w:cs="Arial" w:eastAsia="Arial" w:hAnsi="Arial"/>
                <w:sz w:val="13"/>
                <w:szCs w:val="13"/>
                <w:color w:val="auto"/>
                <w:w w:val="88"/>
              </w:rPr>
              <w:t>September 25, 2019</w:t>
            </w:r>
          </w:p>
        </w:tc>
        <w:tc>
          <w:tcPr>
            <w:tcW w:w="140" w:type="dxa"/>
            <w:vAlign w:val="bottom"/>
          </w:tcPr>
          <w:p>
            <w:pPr>
              <w:spacing w:after="0"/>
              <w:rPr>
                <w:sz w:val="15"/>
                <w:szCs w:val="15"/>
                <w:color w:val="auto"/>
              </w:rPr>
            </w:pPr>
          </w:p>
        </w:tc>
        <w:tc>
          <w:tcPr>
            <w:tcW w:w="1180" w:type="dxa"/>
            <w:vAlign w:val="bottom"/>
          </w:tcPr>
          <w:p>
            <w:pPr>
              <w:jc w:val="right"/>
              <w:spacing w:after="0"/>
              <w:rPr>
                <w:sz w:val="20"/>
                <w:szCs w:val="20"/>
                <w:color w:val="auto"/>
              </w:rPr>
            </w:pPr>
            <w:r>
              <w:rPr>
                <w:rFonts w:ascii="Arial" w:cs="Arial" w:eastAsia="Arial" w:hAnsi="Arial"/>
                <w:sz w:val="13"/>
                <w:szCs w:val="13"/>
                <w:color w:val="auto"/>
              </w:rPr>
              <w:t>250,000</w:t>
            </w:r>
          </w:p>
        </w:tc>
        <w:tc>
          <w:tcPr>
            <w:tcW w:w="100" w:type="dxa"/>
            <w:vAlign w:val="bottom"/>
          </w:tcPr>
          <w:p>
            <w:pPr>
              <w:spacing w:after="0"/>
              <w:rPr>
                <w:sz w:val="15"/>
                <w:szCs w:val="15"/>
                <w:color w:val="auto"/>
              </w:rPr>
            </w:pPr>
          </w:p>
        </w:tc>
        <w:tc>
          <w:tcPr>
            <w:tcW w:w="1600" w:type="dxa"/>
            <w:vAlign w:val="bottom"/>
          </w:tcPr>
          <w:p>
            <w:pPr>
              <w:jc w:val="right"/>
              <w:spacing w:after="0"/>
              <w:rPr>
                <w:sz w:val="20"/>
                <w:szCs w:val="20"/>
                <w:color w:val="auto"/>
              </w:rPr>
            </w:pPr>
            <w:r>
              <w:rPr>
                <w:rFonts w:ascii="Arial" w:cs="Arial" w:eastAsia="Arial" w:hAnsi="Arial"/>
                <w:sz w:val="13"/>
                <w:szCs w:val="13"/>
                <w:color w:val="auto"/>
              </w:rPr>
              <w:t>3.00</w:t>
            </w: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760" w:type="dxa"/>
            <w:vAlign w:val="bottom"/>
          </w:tcPr>
          <w:p>
            <w:pPr>
              <w:jc w:val="center"/>
              <w:spacing w:after="0"/>
              <w:rPr>
                <w:sz w:val="20"/>
                <w:szCs w:val="20"/>
                <w:color w:val="auto"/>
              </w:rPr>
            </w:pPr>
            <w:r>
              <w:rPr>
                <w:rFonts w:ascii="Arial" w:cs="Arial" w:eastAsia="Arial" w:hAnsi="Arial"/>
                <w:sz w:val="13"/>
                <w:szCs w:val="13"/>
                <w:color w:val="auto"/>
                <w:w w:val="88"/>
              </w:rPr>
              <w:t>September 25, 2024</w:t>
            </w:r>
          </w:p>
        </w:tc>
      </w:tr>
      <w:tr>
        <w:trPr>
          <w:trHeight w:val="27"/>
        </w:trPr>
        <w:tc>
          <w:tcPr>
            <w:tcW w:w="1740" w:type="dxa"/>
            <w:vAlign w:val="bottom"/>
            <w:tcBorders>
              <w:bottom w:val="single" w:sz="8" w:color="CCEEFF"/>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760" w:type="dxa"/>
            <w:vAlign w:val="bottom"/>
            <w:tcBorders>
              <w:bottom w:val="single" w:sz="8" w:color="CCEEFF"/>
            </w:tcBorders>
          </w:tcPr>
          <w:p>
            <w:pPr>
              <w:spacing w:after="0"/>
              <w:rPr>
                <w:sz w:val="2"/>
                <w:szCs w:val="2"/>
                <w:color w:val="auto"/>
              </w:rPr>
            </w:pPr>
          </w:p>
        </w:tc>
      </w:tr>
      <w:tr>
        <w:trPr>
          <w:trHeight w:val="221"/>
        </w:trPr>
        <w:tc>
          <w:tcPr>
            <w:tcW w:w="174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1,000,000</w:t>
            </w:r>
          </w:p>
        </w:tc>
        <w:tc>
          <w:tcPr>
            <w:tcW w:w="100" w:type="dxa"/>
            <w:vAlign w:val="bottom"/>
            <w:tcBorders>
              <w:bottom w:val="single" w:sz="8" w:color="CCEEFF"/>
            </w:tcBorders>
            <w:shd w:val="clear" w:color="auto" w:fill="CCEEFF"/>
          </w:tcPr>
          <w:p>
            <w:pPr>
              <w:spacing w:after="0"/>
              <w:rPr>
                <w:sz w:val="18"/>
                <w:szCs w:val="18"/>
                <w:color w:val="auto"/>
              </w:rPr>
            </w:pP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3.21</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80" w:type="dxa"/>
            <w:vAlign w:val="bottom"/>
            <w:tcBorders>
              <w:bottom w:val="single" w:sz="8" w:color="CCEEFF"/>
            </w:tcBorders>
            <w:shd w:val="clear" w:color="auto" w:fill="CCEEFF"/>
          </w:tcPr>
          <w:p>
            <w:pPr>
              <w:spacing w:after="0"/>
              <w:rPr>
                <w:sz w:val="18"/>
                <w:szCs w:val="18"/>
                <w:color w:val="auto"/>
              </w:rPr>
            </w:pPr>
          </w:p>
        </w:tc>
        <w:tc>
          <w:tcPr>
            <w:tcW w:w="1760" w:type="dxa"/>
            <w:vAlign w:val="bottom"/>
            <w:tcBorders>
              <w:bottom w:val="single" w:sz="8" w:color="CCEEFF"/>
            </w:tcBorders>
            <w:shd w:val="clear" w:color="auto" w:fill="CCEEFF"/>
          </w:tcPr>
          <w:p>
            <w:pPr>
              <w:spacing w:after="0"/>
              <w:rPr>
                <w:sz w:val="18"/>
                <w:szCs w:val="18"/>
                <w:color w:val="auto"/>
              </w:rPr>
            </w:pPr>
          </w:p>
        </w:tc>
      </w:tr>
      <w:tr>
        <w:trPr>
          <w:trHeight w:val="20"/>
        </w:trPr>
        <w:tc>
          <w:tcPr>
            <w:tcW w:w="17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760" w:type="dxa"/>
            <w:vAlign w:val="bottom"/>
            <w:tcBorders>
              <w:top w:val="single" w:sz="8" w:color="CCEEFF"/>
            </w:tcBorders>
          </w:tcPr>
          <w:p>
            <w:pPr>
              <w:spacing w:after="0" w:line="20" w:lineRule="exact"/>
              <w:rPr>
                <w:sz w:val="1"/>
                <w:szCs w:val="1"/>
                <w:color w:val="auto"/>
              </w:rPr>
            </w:pPr>
          </w:p>
        </w:tc>
      </w:tr>
    </w:tbl>
    <w:p>
      <w:pPr>
        <w:spacing w:after="0" w:line="205" w:lineRule="exact"/>
        <w:rPr>
          <w:sz w:val="20"/>
          <w:szCs w:val="20"/>
          <w:color w:val="auto"/>
        </w:rPr>
      </w:pPr>
    </w:p>
    <w:p>
      <w:pPr>
        <w:jc w:val="both"/>
        <w:spacing w:after="0" w:line="272" w:lineRule="auto"/>
        <w:rPr>
          <w:sz w:val="20"/>
          <w:szCs w:val="20"/>
          <w:color w:val="auto"/>
        </w:rPr>
      </w:pPr>
      <w:r>
        <w:rPr>
          <w:rFonts w:ascii="Arial" w:cs="Arial" w:eastAsia="Arial" w:hAnsi="Arial"/>
          <w:sz w:val="14"/>
          <w:szCs w:val="14"/>
          <w:color w:val="auto"/>
        </w:rPr>
        <w:t>The Company is also exposed to interest rate risk in the form of basis risk and repricing risk because the interest rate characteristics of the Company’s assets do not match the interest rate characteristics of the funding for those assets. The following table presents the Company’s FFELP student loan assets and related funding for those assets arranged by underlying indices as of March 31, 2019.</w:t>
      </w:r>
    </w:p>
    <w:p>
      <w:pPr>
        <w:spacing w:after="0" w:line="13"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4800" w:type="dxa"/>
            <w:vAlign w:val="bottom"/>
            <w:gridSpan w:val="2"/>
          </w:tcPr>
          <w:p>
            <w:pPr>
              <w:ind w:left="2200"/>
              <w:spacing w:after="0"/>
              <w:rPr>
                <w:sz w:val="20"/>
                <w:szCs w:val="20"/>
                <w:color w:val="auto"/>
              </w:rPr>
            </w:pPr>
            <w:r>
              <w:rPr>
                <w:rFonts w:ascii="Arial" w:cs="Arial" w:eastAsia="Arial" w:hAnsi="Arial"/>
                <w:sz w:val="13"/>
                <w:szCs w:val="13"/>
                <w:b w:val="1"/>
                <w:bCs w:val="1"/>
                <w:color w:val="auto"/>
              </w:rPr>
              <w:t>Index</w:t>
            </w:r>
          </w:p>
        </w:tc>
        <w:tc>
          <w:tcPr>
            <w:tcW w:w="210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88"/>
              </w:rPr>
              <w:t>Frequency of variable resets</w:t>
            </w:r>
          </w:p>
        </w:tc>
        <w:tc>
          <w:tcPr>
            <w:tcW w:w="1420" w:type="dxa"/>
            <w:vAlign w:val="bottom"/>
          </w:tcPr>
          <w:p>
            <w:pPr>
              <w:jc w:val="right"/>
              <w:ind w:right="75"/>
              <w:spacing w:after="0"/>
              <w:rPr>
                <w:sz w:val="20"/>
                <w:szCs w:val="20"/>
                <w:color w:val="auto"/>
              </w:rPr>
            </w:pPr>
            <w:r>
              <w:rPr>
                <w:rFonts w:ascii="Arial" w:cs="Arial" w:eastAsia="Arial" w:hAnsi="Arial"/>
                <w:sz w:val="13"/>
                <w:szCs w:val="13"/>
                <w:b w:val="1"/>
                <w:bCs w:val="1"/>
                <w:color w:val="auto"/>
              </w:rPr>
              <w:t>Assets</w:t>
            </w:r>
          </w:p>
        </w:tc>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200" w:type="dxa"/>
            <w:vAlign w:val="bottom"/>
          </w:tcPr>
          <w:p>
            <w:pPr>
              <w:jc w:val="right"/>
              <w:ind w:right="195"/>
              <w:spacing w:after="0"/>
              <w:rPr>
                <w:sz w:val="20"/>
                <w:szCs w:val="20"/>
                <w:color w:val="auto"/>
              </w:rPr>
            </w:pPr>
            <w:r>
              <w:rPr>
                <w:rFonts w:ascii="Arial" w:cs="Arial" w:eastAsia="Arial" w:hAnsi="Arial"/>
                <w:sz w:val="13"/>
                <w:szCs w:val="13"/>
                <w:b w:val="1"/>
                <w:bCs w:val="1"/>
                <w:color w:val="auto"/>
                <w:w w:val="99"/>
              </w:rPr>
              <w:t>Funding of student loan assets</w:t>
            </w:r>
          </w:p>
        </w:tc>
      </w:tr>
      <w:tr>
        <w:trPr>
          <w:trHeight w:val="27"/>
        </w:trPr>
        <w:tc>
          <w:tcPr>
            <w:tcW w:w="4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0" w:type="dxa"/>
            <w:vAlign w:val="bottom"/>
            <w:tcBorders>
              <w:bottom w:val="single" w:sz="8" w:color="auto"/>
            </w:tcBorders>
          </w:tcPr>
          <w:p>
            <w:pPr>
              <w:spacing w:after="0"/>
              <w:rPr>
                <w:sz w:val="2"/>
                <w:szCs w:val="2"/>
                <w:color w:val="auto"/>
              </w:rPr>
            </w:pPr>
          </w:p>
        </w:tc>
      </w:tr>
      <w:tr>
        <w:trPr>
          <w:trHeight w:val="176"/>
        </w:trPr>
        <w:tc>
          <w:tcPr>
            <w:tcW w:w="48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3"/>
                <w:szCs w:val="13"/>
                <w:color w:val="auto"/>
              </w:rPr>
              <w:t>1 month LIBOR (a)</w:t>
            </w:r>
          </w:p>
        </w:tc>
        <w:tc>
          <w:tcPr>
            <w:tcW w:w="210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Arial" w:cs="Arial" w:eastAsia="Arial" w:hAnsi="Arial"/>
                <w:sz w:val="13"/>
                <w:szCs w:val="13"/>
                <w:color w:val="auto"/>
                <w:w w:val="96"/>
              </w:rPr>
              <w:t>Daily</w:t>
            </w:r>
          </w:p>
        </w:tc>
        <w:tc>
          <w:tcPr>
            <w:tcW w:w="1420" w:type="dxa"/>
            <w:vAlign w:val="bottom"/>
            <w:tcBorders>
              <w:bottom w:val="single" w:sz="8" w:color="CCEEFF"/>
            </w:tcBorders>
            <w:shd w:val="clear" w:color="auto" w:fill="CCEEFF"/>
          </w:tcPr>
          <w:p>
            <w:pPr>
              <w:jc w:val="right"/>
              <w:ind w:right="1275"/>
              <w:spacing w:after="0"/>
              <w:rPr>
                <w:sz w:val="20"/>
                <w:szCs w:val="20"/>
                <w:color w:val="auto"/>
              </w:rPr>
            </w:pPr>
            <w:r>
              <w:rPr>
                <w:rFonts w:ascii="Arial" w:cs="Arial" w:eastAsia="Arial" w:hAnsi="Arial"/>
                <w:sz w:val="13"/>
                <w:szCs w:val="13"/>
                <w:color w:val="auto"/>
                <w:w w:val="82"/>
              </w:rPr>
              <w:t>$</w:t>
            </w: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20,127,858</w:t>
            </w:r>
          </w:p>
        </w:tc>
        <w:tc>
          <w:tcPr>
            <w:tcW w:w="100" w:type="dxa"/>
            <w:vAlign w:val="bottom"/>
            <w:tcBorders>
              <w:bottom w:val="single" w:sz="8" w:color="CCEEFF"/>
            </w:tcBorders>
            <w:shd w:val="clear" w:color="auto" w:fill="CCEEFF"/>
          </w:tcPr>
          <w:p>
            <w:pPr>
              <w:spacing w:after="0"/>
              <w:rPr>
                <w:sz w:val="15"/>
                <w:szCs w:val="15"/>
                <w:color w:val="auto"/>
              </w:rPr>
            </w:pPr>
          </w:p>
        </w:tc>
        <w:tc>
          <w:tcPr>
            <w:tcW w:w="2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w:t>
            </w:r>
          </w:p>
        </w:tc>
      </w:tr>
      <w:tr>
        <w:trPr>
          <w:trHeight w:val="178"/>
        </w:trPr>
        <w:tc>
          <w:tcPr>
            <w:tcW w:w="4800" w:type="dxa"/>
            <w:vAlign w:val="bottom"/>
            <w:gridSpan w:val="2"/>
          </w:tcPr>
          <w:p>
            <w:pPr>
              <w:ind w:left="20"/>
              <w:spacing w:after="0"/>
              <w:rPr>
                <w:sz w:val="20"/>
                <w:szCs w:val="20"/>
                <w:color w:val="auto"/>
              </w:rPr>
            </w:pPr>
            <w:r>
              <w:rPr>
                <w:rFonts w:ascii="Arial" w:cs="Arial" w:eastAsia="Arial" w:hAnsi="Arial"/>
                <w:sz w:val="13"/>
                <w:szCs w:val="13"/>
                <w:color w:val="auto"/>
              </w:rPr>
              <w:t>3 month H15 financial commercial paper</w:t>
            </w:r>
          </w:p>
        </w:tc>
        <w:tc>
          <w:tcPr>
            <w:tcW w:w="2100" w:type="dxa"/>
            <w:vAlign w:val="bottom"/>
            <w:gridSpan w:val="2"/>
          </w:tcPr>
          <w:p>
            <w:pPr>
              <w:jc w:val="center"/>
              <w:ind w:right="100"/>
              <w:spacing w:after="0"/>
              <w:rPr>
                <w:sz w:val="20"/>
                <w:szCs w:val="20"/>
                <w:color w:val="auto"/>
              </w:rPr>
            </w:pPr>
            <w:r>
              <w:rPr>
                <w:rFonts w:ascii="Arial" w:cs="Arial" w:eastAsia="Arial" w:hAnsi="Arial"/>
                <w:sz w:val="13"/>
                <w:szCs w:val="13"/>
                <w:color w:val="auto"/>
                <w:w w:val="96"/>
              </w:rPr>
              <w:t>Daily</w:t>
            </w:r>
          </w:p>
        </w:tc>
        <w:tc>
          <w:tcPr>
            <w:tcW w:w="1420" w:type="dxa"/>
            <w:vAlign w:val="bottom"/>
          </w:tcPr>
          <w:p>
            <w:pPr>
              <w:spacing w:after="0"/>
              <w:rPr>
                <w:sz w:val="15"/>
                <w:szCs w:val="15"/>
                <w:color w:val="auto"/>
              </w:rPr>
            </w:pPr>
          </w:p>
        </w:tc>
        <w:tc>
          <w:tcPr>
            <w:tcW w:w="780" w:type="dxa"/>
            <w:vAlign w:val="bottom"/>
          </w:tcPr>
          <w:p>
            <w:pPr>
              <w:jc w:val="right"/>
              <w:spacing w:after="0"/>
              <w:rPr>
                <w:sz w:val="20"/>
                <w:szCs w:val="20"/>
                <w:color w:val="auto"/>
              </w:rPr>
            </w:pPr>
            <w:r>
              <w:rPr>
                <w:rFonts w:ascii="Arial" w:cs="Arial" w:eastAsia="Arial" w:hAnsi="Arial"/>
                <w:sz w:val="13"/>
                <w:szCs w:val="13"/>
                <w:color w:val="auto"/>
              </w:rPr>
              <w:t>936,499</w:t>
            </w:r>
          </w:p>
        </w:tc>
        <w:tc>
          <w:tcPr>
            <w:tcW w:w="100" w:type="dxa"/>
            <w:vAlign w:val="bottom"/>
          </w:tcPr>
          <w:p>
            <w:pPr>
              <w:spacing w:after="0"/>
              <w:rPr>
                <w:sz w:val="15"/>
                <w:szCs w:val="15"/>
                <w:color w:val="auto"/>
              </w:rPr>
            </w:pPr>
          </w:p>
        </w:tc>
        <w:tc>
          <w:tcPr>
            <w:tcW w:w="2200" w:type="dxa"/>
            <w:vAlign w:val="bottom"/>
          </w:tcPr>
          <w:p>
            <w:pPr>
              <w:jc w:val="right"/>
              <w:spacing w:after="0"/>
              <w:rPr>
                <w:sz w:val="20"/>
                <w:szCs w:val="20"/>
                <w:color w:val="auto"/>
              </w:rPr>
            </w:pPr>
            <w:r>
              <w:rPr>
                <w:rFonts w:ascii="Arial" w:cs="Arial" w:eastAsia="Arial" w:hAnsi="Arial"/>
                <w:sz w:val="13"/>
                <w:szCs w:val="13"/>
                <w:color w:val="auto"/>
              </w:rPr>
              <w:t>—</w:t>
            </w:r>
          </w:p>
        </w:tc>
      </w:tr>
      <w:tr>
        <w:trPr>
          <w:trHeight w:val="27"/>
        </w:trPr>
        <w:tc>
          <w:tcPr>
            <w:tcW w:w="4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0" w:type="dxa"/>
            <w:vAlign w:val="bottom"/>
          </w:tcPr>
          <w:p>
            <w:pPr>
              <w:spacing w:after="0"/>
              <w:rPr>
                <w:sz w:val="2"/>
                <w:szCs w:val="2"/>
                <w:color w:val="auto"/>
              </w:rPr>
            </w:pPr>
          </w:p>
        </w:tc>
      </w:tr>
      <w:tr>
        <w:trPr>
          <w:trHeight w:val="185"/>
        </w:trPr>
        <w:tc>
          <w:tcPr>
            <w:tcW w:w="48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3"/>
                <w:szCs w:val="13"/>
                <w:color w:val="auto"/>
              </w:rPr>
              <w:t>3 month Treasury bill</w:t>
            </w:r>
          </w:p>
        </w:tc>
        <w:tc>
          <w:tcPr>
            <w:tcW w:w="210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Arial" w:cs="Arial" w:eastAsia="Arial" w:hAnsi="Arial"/>
                <w:sz w:val="13"/>
                <w:szCs w:val="13"/>
                <w:color w:val="auto"/>
                <w:w w:val="96"/>
              </w:rPr>
              <w:t>Daily</w:t>
            </w:r>
          </w:p>
        </w:tc>
        <w:tc>
          <w:tcPr>
            <w:tcW w:w="1420" w:type="dxa"/>
            <w:vAlign w:val="bottom"/>
            <w:tcBorders>
              <w:bottom w:val="single" w:sz="8" w:color="CCEEFF"/>
            </w:tcBorders>
            <w:shd w:val="clear" w:color="auto" w:fill="CCEEFF"/>
          </w:tcPr>
          <w:p>
            <w:pPr>
              <w:spacing w:after="0"/>
              <w:rPr>
                <w:sz w:val="16"/>
                <w:szCs w:val="16"/>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616,256</w:t>
            </w:r>
          </w:p>
        </w:tc>
        <w:tc>
          <w:tcPr>
            <w:tcW w:w="100" w:type="dxa"/>
            <w:vAlign w:val="bottom"/>
            <w:tcBorders>
              <w:bottom w:val="single" w:sz="8" w:color="CCEEFF"/>
            </w:tcBorders>
            <w:shd w:val="clear" w:color="auto" w:fill="CCEEFF"/>
          </w:tcPr>
          <w:p>
            <w:pPr>
              <w:spacing w:after="0"/>
              <w:rPr>
                <w:sz w:val="16"/>
                <w:szCs w:val="16"/>
                <w:color w:val="auto"/>
              </w:rPr>
            </w:pPr>
          </w:p>
        </w:tc>
        <w:tc>
          <w:tcPr>
            <w:tcW w:w="2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w:t>
            </w:r>
          </w:p>
        </w:tc>
      </w:tr>
      <w:tr>
        <w:trPr>
          <w:trHeight w:val="178"/>
        </w:trPr>
        <w:tc>
          <w:tcPr>
            <w:tcW w:w="4800" w:type="dxa"/>
            <w:vAlign w:val="bottom"/>
            <w:gridSpan w:val="2"/>
          </w:tcPr>
          <w:p>
            <w:pPr>
              <w:ind w:left="20"/>
              <w:spacing w:after="0"/>
              <w:rPr>
                <w:sz w:val="20"/>
                <w:szCs w:val="20"/>
                <w:color w:val="auto"/>
              </w:rPr>
            </w:pPr>
            <w:r>
              <w:rPr>
                <w:rFonts w:ascii="Arial" w:cs="Arial" w:eastAsia="Arial" w:hAnsi="Arial"/>
                <w:sz w:val="13"/>
                <w:szCs w:val="13"/>
                <w:color w:val="auto"/>
              </w:rPr>
              <w:t>3 month LIBOR (a)</w:t>
            </w:r>
          </w:p>
        </w:tc>
        <w:tc>
          <w:tcPr>
            <w:tcW w:w="2100" w:type="dxa"/>
            <w:vAlign w:val="bottom"/>
            <w:gridSpan w:val="2"/>
          </w:tcPr>
          <w:p>
            <w:pPr>
              <w:jc w:val="center"/>
              <w:ind w:right="80"/>
              <w:spacing w:after="0"/>
              <w:rPr>
                <w:sz w:val="20"/>
                <w:szCs w:val="20"/>
                <w:color w:val="auto"/>
              </w:rPr>
            </w:pPr>
            <w:r>
              <w:rPr>
                <w:rFonts w:ascii="Arial" w:cs="Arial" w:eastAsia="Arial" w:hAnsi="Arial"/>
                <w:sz w:val="13"/>
                <w:szCs w:val="13"/>
                <w:color w:val="auto"/>
                <w:w w:val="93"/>
              </w:rPr>
              <w:t>Quarterly</w:t>
            </w:r>
          </w:p>
        </w:tc>
        <w:tc>
          <w:tcPr>
            <w:tcW w:w="1420" w:type="dxa"/>
            <w:vAlign w:val="bottom"/>
          </w:tcPr>
          <w:p>
            <w:pPr>
              <w:spacing w:after="0"/>
              <w:rPr>
                <w:sz w:val="15"/>
                <w:szCs w:val="15"/>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2200" w:type="dxa"/>
            <w:vAlign w:val="bottom"/>
          </w:tcPr>
          <w:p>
            <w:pPr>
              <w:jc w:val="right"/>
              <w:spacing w:after="0"/>
              <w:rPr>
                <w:sz w:val="20"/>
                <w:szCs w:val="20"/>
                <w:color w:val="auto"/>
              </w:rPr>
            </w:pPr>
            <w:r>
              <w:rPr>
                <w:rFonts w:ascii="Arial" w:cs="Arial" w:eastAsia="Arial" w:hAnsi="Arial"/>
                <w:sz w:val="13"/>
                <w:szCs w:val="13"/>
                <w:color w:val="auto"/>
              </w:rPr>
              <w:t>9,481,048</w:t>
            </w:r>
          </w:p>
        </w:tc>
      </w:tr>
      <w:tr>
        <w:trPr>
          <w:trHeight w:val="27"/>
        </w:trPr>
        <w:tc>
          <w:tcPr>
            <w:tcW w:w="4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0" w:type="dxa"/>
            <w:vAlign w:val="bottom"/>
          </w:tcPr>
          <w:p>
            <w:pPr>
              <w:spacing w:after="0"/>
              <w:rPr>
                <w:sz w:val="2"/>
                <w:szCs w:val="2"/>
                <w:color w:val="auto"/>
              </w:rPr>
            </w:pPr>
          </w:p>
        </w:tc>
      </w:tr>
      <w:tr>
        <w:trPr>
          <w:trHeight w:val="185"/>
        </w:trPr>
        <w:tc>
          <w:tcPr>
            <w:tcW w:w="48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3"/>
                <w:szCs w:val="13"/>
                <w:color w:val="auto"/>
              </w:rPr>
              <w:t>1 month LIBOR</w:t>
            </w:r>
          </w:p>
        </w:tc>
        <w:tc>
          <w:tcPr>
            <w:tcW w:w="210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Arial" w:cs="Arial" w:eastAsia="Arial" w:hAnsi="Arial"/>
                <w:sz w:val="13"/>
                <w:szCs w:val="13"/>
                <w:color w:val="auto"/>
                <w:w w:val="96"/>
              </w:rPr>
              <w:t>Monthly</w:t>
            </w:r>
          </w:p>
        </w:tc>
        <w:tc>
          <w:tcPr>
            <w:tcW w:w="1420" w:type="dxa"/>
            <w:vAlign w:val="bottom"/>
            <w:tcBorders>
              <w:bottom w:val="single" w:sz="8" w:color="CCEEFF"/>
            </w:tcBorders>
            <w:shd w:val="clear" w:color="auto" w:fill="CCEEFF"/>
          </w:tcPr>
          <w:p>
            <w:pPr>
              <w:spacing w:after="0"/>
              <w:rPr>
                <w:sz w:val="16"/>
                <w:szCs w:val="16"/>
                <w:color w:val="auto"/>
              </w:rPr>
            </w:pPr>
          </w:p>
        </w:tc>
        <w:tc>
          <w:tcPr>
            <w:tcW w:w="88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2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10,488,288</w:t>
            </w:r>
          </w:p>
        </w:tc>
      </w:tr>
      <w:tr>
        <w:trPr>
          <w:trHeight w:val="178"/>
        </w:trPr>
        <w:tc>
          <w:tcPr>
            <w:tcW w:w="4800" w:type="dxa"/>
            <w:vAlign w:val="bottom"/>
            <w:gridSpan w:val="2"/>
          </w:tcPr>
          <w:p>
            <w:pPr>
              <w:ind w:left="20"/>
              <w:spacing w:after="0"/>
              <w:rPr>
                <w:sz w:val="20"/>
                <w:szCs w:val="20"/>
                <w:color w:val="auto"/>
              </w:rPr>
            </w:pPr>
            <w:r>
              <w:rPr>
                <w:rFonts w:ascii="Arial" w:cs="Arial" w:eastAsia="Arial" w:hAnsi="Arial"/>
                <w:sz w:val="13"/>
                <w:szCs w:val="13"/>
                <w:color w:val="auto"/>
              </w:rPr>
              <w:t>Auction-rate (b)</w:t>
            </w:r>
          </w:p>
        </w:tc>
        <w:tc>
          <w:tcPr>
            <w:tcW w:w="2100" w:type="dxa"/>
            <w:vAlign w:val="bottom"/>
            <w:gridSpan w:val="2"/>
          </w:tcPr>
          <w:p>
            <w:pPr>
              <w:jc w:val="center"/>
              <w:ind w:right="100"/>
              <w:spacing w:after="0"/>
              <w:rPr>
                <w:sz w:val="20"/>
                <w:szCs w:val="20"/>
                <w:color w:val="auto"/>
              </w:rPr>
            </w:pPr>
            <w:r>
              <w:rPr>
                <w:rFonts w:ascii="Arial" w:cs="Arial" w:eastAsia="Arial" w:hAnsi="Arial"/>
                <w:sz w:val="13"/>
                <w:szCs w:val="13"/>
                <w:color w:val="auto"/>
                <w:w w:val="86"/>
              </w:rPr>
              <w:t>Varies</w:t>
            </w:r>
          </w:p>
        </w:tc>
        <w:tc>
          <w:tcPr>
            <w:tcW w:w="1420" w:type="dxa"/>
            <w:vAlign w:val="bottom"/>
          </w:tcPr>
          <w:p>
            <w:pPr>
              <w:spacing w:after="0"/>
              <w:rPr>
                <w:sz w:val="15"/>
                <w:szCs w:val="15"/>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2200" w:type="dxa"/>
            <w:vAlign w:val="bottom"/>
          </w:tcPr>
          <w:p>
            <w:pPr>
              <w:jc w:val="right"/>
              <w:spacing w:after="0"/>
              <w:rPr>
                <w:sz w:val="20"/>
                <w:szCs w:val="20"/>
                <w:color w:val="auto"/>
              </w:rPr>
            </w:pPr>
            <w:r>
              <w:rPr>
                <w:rFonts w:ascii="Arial" w:cs="Arial" w:eastAsia="Arial" w:hAnsi="Arial"/>
                <w:sz w:val="13"/>
                <w:szCs w:val="13"/>
                <w:color w:val="auto"/>
              </w:rPr>
              <w:t>787,676</w:t>
            </w:r>
          </w:p>
        </w:tc>
      </w:tr>
      <w:tr>
        <w:trPr>
          <w:trHeight w:val="27"/>
        </w:trPr>
        <w:tc>
          <w:tcPr>
            <w:tcW w:w="4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0" w:type="dxa"/>
            <w:vAlign w:val="bottom"/>
          </w:tcPr>
          <w:p>
            <w:pPr>
              <w:spacing w:after="0"/>
              <w:rPr>
                <w:sz w:val="2"/>
                <w:szCs w:val="2"/>
                <w:color w:val="auto"/>
              </w:rPr>
            </w:pPr>
          </w:p>
        </w:tc>
      </w:tr>
      <w:tr>
        <w:trPr>
          <w:trHeight w:val="185"/>
        </w:trPr>
        <w:tc>
          <w:tcPr>
            <w:tcW w:w="48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3"/>
                <w:szCs w:val="13"/>
                <w:color w:val="auto"/>
              </w:rPr>
              <w:t>Asset-backed commercial paper (c)</w:t>
            </w:r>
          </w:p>
        </w:tc>
        <w:tc>
          <w:tcPr>
            <w:tcW w:w="210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Arial" w:cs="Arial" w:eastAsia="Arial" w:hAnsi="Arial"/>
                <w:sz w:val="13"/>
                <w:szCs w:val="13"/>
                <w:color w:val="auto"/>
                <w:w w:val="86"/>
              </w:rPr>
              <w:t>Varies</w:t>
            </w:r>
          </w:p>
        </w:tc>
        <w:tc>
          <w:tcPr>
            <w:tcW w:w="1420" w:type="dxa"/>
            <w:vAlign w:val="bottom"/>
            <w:tcBorders>
              <w:bottom w:val="single" w:sz="8" w:color="CCEEFF"/>
            </w:tcBorders>
            <w:shd w:val="clear" w:color="auto" w:fill="CCEEFF"/>
          </w:tcPr>
          <w:p>
            <w:pPr>
              <w:spacing w:after="0"/>
              <w:rPr>
                <w:sz w:val="16"/>
                <w:szCs w:val="16"/>
                <w:color w:val="auto"/>
              </w:rPr>
            </w:pPr>
          </w:p>
        </w:tc>
        <w:tc>
          <w:tcPr>
            <w:tcW w:w="88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2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792,658</w:t>
            </w:r>
          </w:p>
        </w:tc>
      </w:tr>
      <w:tr>
        <w:trPr>
          <w:trHeight w:val="178"/>
        </w:trPr>
        <w:tc>
          <w:tcPr>
            <w:tcW w:w="4800" w:type="dxa"/>
            <w:vAlign w:val="bottom"/>
            <w:gridSpan w:val="2"/>
          </w:tcPr>
          <w:p>
            <w:pPr>
              <w:ind w:left="20"/>
              <w:spacing w:after="0"/>
              <w:rPr>
                <w:sz w:val="20"/>
                <w:szCs w:val="20"/>
                <w:color w:val="auto"/>
              </w:rPr>
            </w:pPr>
            <w:r>
              <w:rPr>
                <w:rFonts w:ascii="Arial" w:cs="Arial" w:eastAsia="Arial" w:hAnsi="Arial"/>
                <w:sz w:val="13"/>
                <w:szCs w:val="13"/>
                <w:color w:val="auto"/>
              </w:rPr>
              <w:t>Other (d)</w:t>
            </w:r>
          </w:p>
        </w:tc>
        <w:tc>
          <w:tcPr>
            <w:tcW w:w="20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20" w:type="dxa"/>
            <w:vAlign w:val="bottom"/>
          </w:tcPr>
          <w:p>
            <w:pPr>
              <w:spacing w:after="0"/>
              <w:rPr>
                <w:sz w:val="15"/>
                <w:szCs w:val="15"/>
                <w:color w:val="auto"/>
              </w:rPr>
            </w:pPr>
          </w:p>
        </w:tc>
        <w:tc>
          <w:tcPr>
            <w:tcW w:w="780" w:type="dxa"/>
            <w:vAlign w:val="bottom"/>
          </w:tcPr>
          <w:p>
            <w:pPr>
              <w:jc w:val="right"/>
              <w:spacing w:after="0"/>
              <w:rPr>
                <w:sz w:val="20"/>
                <w:szCs w:val="20"/>
                <w:color w:val="auto"/>
              </w:rPr>
            </w:pPr>
            <w:r>
              <w:rPr>
                <w:rFonts w:ascii="Arial" w:cs="Arial" w:eastAsia="Arial" w:hAnsi="Arial"/>
                <w:sz w:val="13"/>
                <w:szCs w:val="13"/>
                <w:color w:val="auto"/>
              </w:rPr>
              <w:t>1,436,435</w:t>
            </w:r>
          </w:p>
        </w:tc>
        <w:tc>
          <w:tcPr>
            <w:tcW w:w="100" w:type="dxa"/>
            <w:vAlign w:val="bottom"/>
          </w:tcPr>
          <w:p>
            <w:pPr>
              <w:spacing w:after="0"/>
              <w:rPr>
                <w:sz w:val="15"/>
                <w:szCs w:val="15"/>
                <w:color w:val="auto"/>
              </w:rPr>
            </w:pPr>
          </w:p>
        </w:tc>
        <w:tc>
          <w:tcPr>
            <w:tcW w:w="2200" w:type="dxa"/>
            <w:vAlign w:val="bottom"/>
          </w:tcPr>
          <w:p>
            <w:pPr>
              <w:jc w:val="right"/>
              <w:spacing w:after="0"/>
              <w:rPr>
                <w:sz w:val="20"/>
                <w:szCs w:val="20"/>
                <w:color w:val="auto"/>
              </w:rPr>
            </w:pPr>
            <w:r>
              <w:rPr>
                <w:rFonts w:ascii="Arial" w:cs="Arial" w:eastAsia="Arial" w:hAnsi="Arial"/>
                <w:sz w:val="13"/>
                <w:szCs w:val="13"/>
                <w:color w:val="auto"/>
              </w:rPr>
              <w:t>1,567,378</w:t>
            </w:r>
          </w:p>
        </w:tc>
      </w:tr>
      <w:tr>
        <w:trPr>
          <w:trHeight w:val="27"/>
        </w:trPr>
        <w:tc>
          <w:tcPr>
            <w:tcW w:w="470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0" w:type="dxa"/>
            <w:vAlign w:val="bottom"/>
            <w:tcBorders>
              <w:bottom w:val="single" w:sz="8" w:color="auto"/>
            </w:tcBorders>
          </w:tcPr>
          <w:p>
            <w:pPr>
              <w:spacing w:after="0"/>
              <w:rPr>
                <w:sz w:val="2"/>
                <w:szCs w:val="2"/>
                <w:color w:val="auto"/>
              </w:rPr>
            </w:pPr>
          </w:p>
        </w:tc>
      </w:tr>
      <w:tr>
        <w:trPr>
          <w:trHeight w:val="221"/>
        </w:trPr>
        <w:tc>
          <w:tcPr>
            <w:tcW w:w="470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200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1420" w:type="dxa"/>
            <w:vAlign w:val="bottom"/>
            <w:tcBorders>
              <w:bottom w:val="single" w:sz="8" w:color="CCEEFF"/>
            </w:tcBorders>
            <w:shd w:val="clear" w:color="auto" w:fill="CCEEFF"/>
          </w:tcPr>
          <w:p>
            <w:pPr>
              <w:jc w:val="right"/>
              <w:ind w:right="1275"/>
              <w:spacing w:after="0"/>
              <w:rPr>
                <w:sz w:val="20"/>
                <w:szCs w:val="20"/>
                <w:color w:val="auto"/>
              </w:rPr>
            </w:pPr>
            <w:r>
              <w:rPr>
                <w:rFonts w:ascii="Arial" w:cs="Arial" w:eastAsia="Arial" w:hAnsi="Arial"/>
                <w:sz w:val="13"/>
                <w:szCs w:val="13"/>
                <w:color w:val="auto"/>
                <w:w w:val="82"/>
              </w:rPr>
              <w:t>$</w:t>
            </w: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23,117,048</w:t>
            </w:r>
          </w:p>
        </w:tc>
        <w:tc>
          <w:tcPr>
            <w:tcW w:w="100" w:type="dxa"/>
            <w:vAlign w:val="bottom"/>
            <w:tcBorders>
              <w:bottom w:val="single" w:sz="8" w:color="CCEEFF"/>
            </w:tcBorders>
            <w:shd w:val="clear" w:color="auto" w:fill="CCEEFF"/>
          </w:tcPr>
          <w:p>
            <w:pPr>
              <w:spacing w:after="0"/>
              <w:rPr>
                <w:sz w:val="18"/>
                <w:szCs w:val="18"/>
                <w:color w:val="auto"/>
              </w:rPr>
            </w:pPr>
          </w:p>
        </w:tc>
        <w:tc>
          <w:tcPr>
            <w:tcW w:w="2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23,117,048</w:t>
            </w:r>
          </w:p>
        </w:tc>
      </w:tr>
      <w:tr>
        <w:trPr>
          <w:trHeight w:val="20"/>
        </w:trPr>
        <w:tc>
          <w:tcPr>
            <w:tcW w:w="47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0" w:type="dxa"/>
            <w:vAlign w:val="bottom"/>
            <w:tcBorders>
              <w:top w:val="single" w:sz="8" w:color="auto"/>
              <w:bottom w:val="single" w:sz="8" w:color="auto"/>
            </w:tcBorders>
          </w:tcPr>
          <w:p>
            <w:pPr>
              <w:spacing w:after="0" w:line="20" w:lineRule="exact"/>
              <w:rPr>
                <w:sz w:val="1"/>
                <w:szCs w:val="1"/>
                <w:color w:val="auto"/>
              </w:rPr>
            </w:pPr>
          </w:p>
        </w:tc>
      </w:tr>
    </w:tbl>
    <w:p>
      <w:pPr>
        <w:spacing w:after="0" w:line="313" w:lineRule="exact"/>
        <w:rPr>
          <w:sz w:val="20"/>
          <w:szCs w:val="20"/>
          <w:color w:val="auto"/>
        </w:rPr>
      </w:pPr>
    </w:p>
    <w:p>
      <w:pPr>
        <w:ind w:left="840" w:hanging="510"/>
        <w:spacing w:after="0" w:line="272" w:lineRule="auto"/>
        <w:tabs>
          <w:tab w:leader="none" w:pos="518" w:val="left"/>
        </w:tabs>
        <w:numPr>
          <w:ilvl w:val="0"/>
          <w:numId w:val="33"/>
        </w:numPr>
        <w:rPr>
          <w:rFonts w:ascii="Arial" w:cs="Arial" w:eastAsia="Arial" w:hAnsi="Arial"/>
          <w:sz w:val="14"/>
          <w:szCs w:val="14"/>
          <w:color w:val="auto"/>
        </w:rPr>
      </w:pPr>
      <w:r>
        <w:rPr>
          <w:rFonts w:ascii="Arial" w:cs="Arial" w:eastAsia="Arial" w:hAnsi="Arial"/>
          <w:sz w:val="14"/>
          <w:szCs w:val="14"/>
          <w:color w:val="auto"/>
        </w:rPr>
        <w:t>The Company has certain basis swaps outstanding in which the Company receives three-month LIBOR and pays one-month LIBOR plus or minus a spread as defined in the agreements (the "1:3 Basis Swaps"). The Company entered into these derivative instruments to better match the interest rate characteristics on its student loan assets and the debt funding such assets. The following table summarizes the 1:3 Basis Swaps outstanding as of March 31, 2019.</w:t>
      </w:r>
    </w:p>
    <w:p>
      <w:pPr>
        <w:spacing w:after="0" w:line="13" w:lineRule="exact"/>
        <w:rPr>
          <w:sz w:val="20"/>
          <w:szCs w:val="20"/>
          <w:color w:val="auto"/>
        </w:rPr>
      </w:pPr>
    </w:p>
    <w:tbl>
      <w:tblPr>
        <w:tblLayout w:type="fixed"/>
        <w:tblInd w:w="2520" w:type="dxa"/>
        <w:tblCellMar>
          <w:top w:w="0" w:type="dxa"/>
          <w:left w:w="0" w:type="dxa"/>
          <w:bottom w:w="0" w:type="dxa"/>
          <w:right w:w="0" w:type="dxa"/>
        </w:tblCellMar>
      </w:tblPr>
      <w:tr>
        <w:trPr>
          <w:trHeight w:val="167"/>
        </w:trPr>
        <w:tc>
          <w:tcPr>
            <w:tcW w:w="1360" w:type="dxa"/>
            <w:vAlign w:val="bottom"/>
          </w:tcPr>
          <w:p>
            <w:pPr>
              <w:spacing w:after="0"/>
              <w:rPr>
                <w:sz w:val="14"/>
                <w:szCs w:val="14"/>
                <w:color w:val="auto"/>
              </w:rPr>
            </w:pPr>
          </w:p>
        </w:tc>
        <w:tc>
          <w:tcPr>
            <w:tcW w:w="1180" w:type="dxa"/>
            <w:vAlign w:val="bottom"/>
          </w:tcPr>
          <w:p>
            <w:pPr>
              <w:jc w:val="center"/>
              <w:spacing w:after="0"/>
              <w:rPr>
                <w:sz w:val="20"/>
                <w:szCs w:val="20"/>
                <w:color w:val="auto"/>
              </w:rPr>
            </w:pPr>
            <w:r>
              <w:rPr>
                <w:rFonts w:ascii="Arial" w:cs="Arial" w:eastAsia="Arial" w:hAnsi="Arial"/>
                <w:sz w:val="13"/>
                <w:szCs w:val="13"/>
                <w:b w:val="1"/>
                <w:bCs w:val="1"/>
                <w:color w:val="auto"/>
                <w:w w:val="98"/>
              </w:rPr>
              <w:t>Maturity</w:t>
            </w:r>
          </w:p>
        </w:tc>
        <w:tc>
          <w:tcPr>
            <w:tcW w:w="3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380" w:type="dxa"/>
            <w:vAlign w:val="bottom"/>
          </w:tcPr>
          <w:p>
            <w:pPr>
              <w:ind w:left="160"/>
              <w:spacing w:after="0"/>
              <w:rPr>
                <w:sz w:val="20"/>
                <w:szCs w:val="20"/>
                <w:color w:val="auto"/>
              </w:rPr>
            </w:pPr>
            <w:r>
              <w:rPr>
                <w:rFonts w:ascii="Arial" w:cs="Arial" w:eastAsia="Arial" w:hAnsi="Arial"/>
                <w:sz w:val="13"/>
                <w:szCs w:val="13"/>
                <w:b w:val="1"/>
                <w:bCs w:val="1"/>
                <w:color w:val="auto"/>
              </w:rPr>
              <w:t>Notional amount</w:t>
            </w:r>
          </w:p>
        </w:tc>
        <w:tc>
          <w:tcPr>
            <w:tcW w:w="320" w:type="dxa"/>
            <w:vAlign w:val="bottom"/>
          </w:tcPr>
          <w:p>
            <w:pPr>
              <w:spacing w:after="0"/>
              <w:rPr>
                <w:sz w:val="14"/>
                <w:szCs w:val="14"/>
                <w:color w:val="auto"/>
              </w:rPr>
            </w:pPr>
          </w:p>
        </w:tc>
        <w:tc>
          <w:tcPr>
            <w:tcW w:w="2180" w:type="dxa"/>
            <w:vAlign w:val="bottom"/>
          </w:tcPr>
          <w:p>
            <w:pPr>
              <w:spacing w:after="0"/>
              <w:rPr>
                <w:sz w:val="14"/>
                <w:szCs w:val="14"/>
                <w:color w:val="auto"/>
              </w:rPr>
            </w:pPr>
          </w:p>
        </w:tc>
      </w:tr>
      <w:tr>
        <w:trPr>
          <w:trHeight w:val="27"/>
        </w:trPr>
        <w:tc>
          <w:tcPr>
            <w:tcW w:w="1360" w:type="dxa"/>
            <w:vAlign w:val="bottom"/>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36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gridSpan w:val="2"/>
          </w:tcPr>
          <w:p>
            <w:pPr>
              <w:spacing w:after="0"/>
              <w:rPr>
                <w:sz w:val="2"/>
                <w:szCs w:val="2"/>
                <w:color w:val="auto"/>
              </w:rPr>
            </w:pPr>
          </w:p>
        </w:tc>
        <w:tc>
          <w:tcPr>
            <w:tcW w:w="2180" w:type="dxa"/>
            <w:vAlign w:val="bottom"/>
          </w:tcPr>
          <w:p>
            <w:pPr>
              <w:spacing w:after="0"/>
              <w:rPr>
                <w:sz w:val="2"/>
                <w:szCs w:val="2"/>
                <w:color w:val="auto"/>
              </w:rPr>
            </w:pPr>
          </w:p>
        </w:tc>
      </w:tr>
      <w:tr>
        <w:trPr>
          <w:trHeight w:val="176"/>
        </w:trPr>
        <w:tc>
          <w:tcPr>
            <w:tcW w:w="1360" w:type="dxa"/>
            <w:vAlign w:val="bottom"/>
          </w:tcPr>
          <w:p>
            <w:pPr>
              <w:spacing w:after="0"/>
              <w:rPr>
                <w:sz w:val="15"/>
                <w:szCs w:val="15"/>
                <w:color w:val="auto"/>
              </w:rPr>
            </w:pPr>
          </w:p>
        </w:tc>
        <w:tc>
          <w:tcPr>
            <w:tcW w:w="11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89"/>
              </w:rPr>
              <w:t>2019</w:t>
            </w:r>
          </w:p>
        </w:tc>
        <w:tc>
          <w:tcPr>
            <w:tcW w:w="820" w:type="dxa"/>
            <w:vAlign w:val="bottom"/>
            <w:tcBorders>
              <w:bottom w:val="single" w:sz="8" w:color="CCEEFF"/>
            </w:tcBorders>
            <w:gridSpan w:val="2"/>
            <w:shd w:val="clear" w:color="auto" w:fill="CCEEFF"/>
          </w:tcPr>
          <w:p>
            <w:pPr>
              <w:jc w:val="right"/>
              <w:ind w:right="315"/>
              <w:spacing w:after="0"/>
              <w:rPr>
                <w:sz w:val="20"/>
                <w:szCs w:val="20"/>
                <w:color w:val="auto"/>
              </w:rPr>
            </w:pPr>
            <w:r>
              <w:rPr>
                <w:rFonts w:ascii="Arial" w:cs="Arial" w:eastAsia="Arial" w:hAnsi="Arial"/>
                <w:sz w:val="13"/>
                <w:szCs w:val="13"/>
                <w:color w:val="auto"/>
              </w:rPr>
              <w:t>$</w:t>
            </w:r>
          </w:p>
        </w:tc>
        <w:tc>
          <w:tcPr>
            <w:tcW w:w="17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3"/>
                <w:szCs w:val="13"/>
                <w:color w:val="auto"/>
              </w:rPr>
              <w:t>3,250,000</w:t>
            </w:r>
          </w:p>
        </w:tc>
        <w:tc>
          <w:tcPr>
            <w:tcW w:w="2180" w:type="dxa"/>
            <w:vAlign w:val="bottom"/>
          </w:tcPr>
          <w:p>
            <w:pPr>
              <w:spacing w:after="0"/>
              <w:rPr>
                <w:sz w:val="15"/>
                <w:szCs w:val="15"/>
                <w:color w:val="auto"/>
              </w:rPr>
            </w:pPr>
          </w:p>
        </w:tc>
      </w:tr>
      <w:tr>
        <w:trPr>
          <w:trHeight w:val="178"/>
        </w:trPr>
        <w:tc>
          <w:tcPr>
            <w:tcW w:w="2540" w:type="dxa"/>
            <w:vAlign w:val="bottom"/>
            <w:gridSpan w:val="2"/>
          </w:tcPr>
          <w:p>
            <w:pPr>
              <w:jc w:val="center"/>
              <w:ind w:left="1297"/>
              <w:spacing w:after="0"/>
              <w:rPr>
                <w:sz w:val="20"/>
                <w:szCs w:val="20"/>
                <w:color w:val="auto"/>
              </w:rPr>
            </w:pPr>
            <w:r>
              <w:rPr>
                <w:rFonts w:ascii="Arial" w:cs="Arial" w:eastAsia="Arial" w:hAnsi="Arial"/>
                <w:sz w:val="13"/>
                <w:szCs w:val="13"/>
                <w:color w:val="auto"/>
                <w:w w:val="89"/>
              </w:rPr>
              <w:t>2020</w:t>
            </w:r>
          </w:p>
        </w:tc>
        <w:tc>
          <w:tcPr>
            <w:tcW w:w="820" w:type="dxa"/>
            <w:vAlign w:val="bottom"/>
            <w:gridSpan w:val="2"/>
          </w:tcPr>
          <w:p>
            <w:pPr>
              <w:ind w:left="20"/>
              <w:spacing w:after="0"/>
              <w:rPr>
                <w:sz w:val="20"/>
                <w:szCs w:val="20"/>
                <w:color w:val="auto"/>
              </w:rPr>
            </w:pPr>
            <w:r>
              <w:rPr>
                <w:rFonts w:ascii="Arial" w:cs="Arial" w:eastAsia="Arial" w:hAnsi="Arial"/>
                <w:sz w:val="13"/>
                <w:szCs w:val="13"/>
                <w:color w:val="auto"/>
              </w:rPr>
              <w:t>(a)</w:t>
            </w:r>
          </w:p>
        </w:tc>
        <w:tc>
          <w:tcPr>
            <w:tcW w:w="1700" w:type="dxa"/>
            <w:vAlign w:val="bottom"/>
            <w:gridSpan w:val="2"/>
          </w:tcPr>
          <w:p>
            <w:pPr>
              <w:jc w:val="right"/>
              <w:spacing w:after="0"/>
              <w:rPr>
                <w:sz w:val="20"/>
                <w:szCs w:val="20"/>
                <w:color w:val="auto"/>
              </w:rPr>
            </w:pPr>
            <w:r>
              <w:rPr>
                <w:rFonts w:ascii="Arial" w:cs="Arial" w:eastAsia="Arial" w:hAnsi="Arial"/>
                <w:sz w:val="13"/>
                <w:szCs w:val="13"/>
                <w:color w:val="auto"/>
              </w:rPr>
              <w:t>1,000,000</w:t>
            </w:r>
          </w:p>
        </w:tc>
        <w:tc>
          <w:tcPr>
            <w:tcW w:w="2180" w:type="dxa"/>
            <w:vAlign w:val="bottom"/>
          </w:tcPr>
          <w:p>
            <w:pPr>
              <w:spacing w:after="0"/>
              <w:rPr>
                <w:sz w:val="15"/>
                <w:szCs w:val="15"/>
                <w:color w:val="auto"/>
              </w:rPr>
            </w:pPr>
          </w:p>
        </w:tc>
      </w:tr>
      <w:tr>
        <w:trPr>
          <w:trHeight w:val="27"/>
        </w:trPr>
        <w:tc>
          <w:tcPr>
            <w:tcW w:w="2540" w:type="dxa"/>
            <w:vAlign w:val="bottom"/>
            <w:gridSpan w:val="2"/>
          </w:tcPr>
          <w:p>
            <w:pPr>
              <w:spacing w:after="0"/>
              <w:rPr>
                <w:sz w:val="2"/>
                <w:szCs w:val="2"/>
                <w:color w:val="auto"/>
              </w:rPr>
            </w:pPr>
          </w:p>
        </w:tc>
        <w:tc>
          <w:tcPr>
            <w:tcW w:w="360" w:type="dxa"/>
            <w:vAlign w:val="bottom"/>
          </w:tcPr>
          <w:p>
            <w:pPr>
              <w:spacing w:after="0"/>
              <w:rPr>
                <w:sz w:val="2"/>
                <w:szCs w:val="2"/>
                <w:color w:val="auto"/>
              </w:rPr>
            </w:pPr>
          </w:p>
        </w:tc>
        <w:tc>
          <w:tcPr>
            <w:tcW w:w="460" w:type="dxa"/>
            <w:vAlign w:val="bottom"/>
          </w:tcPr>
          <w:p>
            <w:pPr>
              <w:spacing w:after="0"/>
              <w:rPr>
                <w:sz w:val="2"/>
                <w:szCs w:val="2"/>
                <w:color w:val="auto"/>
              </w:rPr>
            </w:pPr>
          </w:p>
        </w:tc>
        <w:tc>
          <w:tcPr>
            <w:tcW w:w="1700" w:type="dxa"/>
            <w:vAlign w:val="bottom"/>
            <w:gridSpan w:val="2"/>
          </w:tcPr>
          <w:p>
            <w:pPr>
              <w:spacing w:after="0"/>
              <w:rPr>
                <w:sz w:val="2"/>
                <w:szCs w:val="2"/>
                <w:color w:val="auto"/>
              </w:rPr>
            </w:pPr>
          </w:p>
        </w:tc>
        <w:tc>
          <w:tcPr>
            <w:tcW w:w="2180" w:type="dxa"/>
            <w:vAlign w:val="bottom"/>
          </w:tcPr>
          <w:p>
            <w:pPr>
              <w:spacing w:after="0"/>
              <w:rPr>
                <w:sz w:val="2"/>
                <w:szCs w:val="2"/>
                <w:color w:val="auto"/>
              </w:rPr>
            </w:pPr>
          </w:p>
        </w:tc>
      </w:tr>
      <w:tr>
        <w:trPr>
          <w:trHeight w:val="185"/>
        </w:trPr>
        <w:tc>
          <w:tcPr>
            <w:tcW w:w="1360" w:type="dxa"/>
            <w:vAlign w:val="bottom"/>
          </w:tcPr>
          <w:p>
            <w:pPr>
              <w:spacing w:after="0"/>
              <w:rPr>
                <w:sz w:val="16"/>
                <w:szCs w:val="16"/>
                <w:color w:val="auto"/>
              </w:rPr>
            </w:pPr>
          </w:p>
        </w:tc>
        <w:tc>
          <w:tcPr>
            <w:tcW w:w="11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89"/>
              </w:rPr>
              <w:t>2021</w:t>
            </w:r>
          </w:p>
        </w:tc>
        <w:tc>
          <w:tcPr>
            <w:tcW w:w="8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3"/>
                <w:szCs w:val="13"/>
                <w:color w:val="auto"/>
              </w:rPr>
              <w:t>(a)</w:t>
            </w:r>
          </w:p>
        </w:tc>
        <w:tc>
          <w:tcPr>
            <w:tcW w:w="17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3"/>
                <w:szCs w:val="13"/>
                <w:color w:val="auto"/>
              </w:rPr>
              <w:t>250,000</w:t>
            </w:r>
          </w:p>
        </w:tc>
        <w:tc>
          <w:tcPr>
            <w:tcW w:w="2180" w:type="dxa"/>
            <w:vAlign w:val="bottom"/>
          </w:tcPr>
          <w:p>
            <w:pPr>
              <w:spacing w:after="0"/>
              <w:rPr>
                <w:sz w:val="16"/>
                <w:szCs w:val="16"/>
                <w:color w:val="auto"/>
              </w:rPr>
            </w:pPr>
          </w:p>
        </w:tc>
      </w:tr>
      <w:tr>
        <w:trPr>
          <w:trHeight w:val="178"/>
        </w:trPr>
        <w:tc>
          <w:tcPr>
            <w:tcW w:w="2540" w:type="dxa"/>
            <w:vAlign w:val="bottom"/>
            <w:gridSpan w:val="2"/>
          </w:tcPr>
          <w:p>
            <w:pPr>
              <w:jc w:val="center"/>
              <w:ind w:left="1297"/>
              <w:spacing w:after="0"/>
              <w:rPr>
                <w:sz w:val="20"/>
                <w:szCs w:val="20"/>
                <w:color w:val="auto"/>
              </w:rPr>
            </w:pPr>
            <w:r>
              <w:rPr>
                <w:rFonts w:ascii="Arial" w:cs="Arial" w:eastAsia="Arial" w:hAnsi="Arial"/>
                <w:sz w:val="13"/>
                <w:szCs w:val="13"/>
                <w:color w:val="auto"/>
                <w:w w:val="89"/>
              </w:rPr>
              <w:t>2022</w:t>
            </w:r>
          </w:p>
        </w:tc>
        <w:tc>
          <w:tcPr>
            <w:tcW w:w="820" w:type="dxa"/>
            <w:vAlign w:val="bottom"/>
            <w:gridSpan w:val="2"/>
          </w:tcPr>
          <w:p>
            <w:pPr>
              <w:ind w:left="20"/>
              <w:spacing w:after="0"/>
              <w:rPr>
                <w:sz w:val="20"/>
                <w:szCs w:val="20"/>
                <w:color w:val="auto"/>
              </w:rPr>
            </w:pPr>
            <w:r>
              <w:rPr>
                <w:rFonts w:ascii="Arial" w:cs="Arial" w:eastAsia="Arial" w:hAnsi="Arial"/>
                <w:sz w:val="13"/>
                <w:szCs w:val="13"/>
                <w:color w:val="auto"/>
              </w:rPr>
              <w:t>(b)</w:t>
            </w:r>
          </w:p>
        </w:tc>
        <w:tc>
          <w:tcPr>
            <w:tcW w:w="1700" w:type="dxa"/>
            <w:vAlign w:val="bottom"/>
            <w:gridSpan w:val="2"/>
          </w:tcPr>
          <w:p>
            <w:pPr>
              <w:jc w:val="right"/>
              <w:spacing w:after="0"/>
              <w:rPr>
                <w:sz w:val="20"/>
                <w:szCs w:val="20"/>
                <w:color w:val="auto"/>
              </w:rPr>
            </w:pPr>
            <w:r>
              <w:rPr>
                <w:rFonts w:ascii="Arial" w:cs="Arial" w:eastAsia="Arial" w:hAnsi="Arial"/>
                <w:sz w:val="13"/>
                <w:szCs w:val="13"/>
                <w:color w:val="auto"/>
              </w:rPr>
              <w:t>2,000,000</w:t>
            </w:r>
          </w:p>
        </w:tc>
        <w:tc>
          <w:tcPr>
            <w:tcW w:w="2180" w:type="dxa"/>
            <w:vAlign w:val="bottom"/>
          </w:tcPr>
          <w:p>
            <w:pPr>
              <w:spacing w:after="0"/>
              <w:rPr>
                <w:sz w:val="15"/>
                <w:szCs w:val="15"/>
                <w:color w:val="auto"/>
              </w:rPr>
            </w:pPr>
          </w:p>
        </w:tc>
      </w:tr>
      <w:tr>
        <w:trPr>
          <w:trHeight w:val="27"/>
        </w:trPr>
        <w:tc>
          <w:tcPr>
            <w:tcW w:w="2540" w:type="dxa"/>
            <w:vAlign w:val="bottom"/>
            <w:gridSpan w:val="2"/>
          </w:tcPr>
          <w:p>
            <w:pPr>
              <w:spacing w:after="0"/>
              <w:rPr>
                <w:sz w:val="2"/>
                <w:szCs w:val="2"/>
                <w:color w:val="auto"/>
              </w:rPr>
            </w:pPr>
          </w:p>
        </w:tc>
        <w:tc>
          <w:tcPr>
            <w:tcW w:w="360" w:type="dxa"/>
            <w:vAlign w:val="bottom"/>
          </w:tcPr>
          <w:p>
            <w:pPr>
              <w:spacing w:after="0"/>
              <w:rPr>
                <w:sz w:val="2"/>
                <w:szCs w:val="2"/>
                <w:color w:val="auto"/>
              </w:rPr>
            </w:pPr>
          </w:p>
        </w:tc>
        <w:tc>
          <w:tcPr>
            <w:tcW w:w="460" w:type="dxa"/>
            <w:vAlign w:val="bottom"/>
          </w:tcPr>
          <w:p>
            <w:pPr>
              <w:spacing w:after="0"/>
              <w:rPr>
                <w:sz w:val="2"/>
                <w:szCs w:val="2"/>
                <w:color w:val="auto"/>
              </w:rPr>
            </w:pPr>
          </w:p>
        </w:tc>
        <w:tc>
          <w:tcPr>
            <w:tcW w:w="1700" w:type="dxa"/>
            <w:vAlign w:val="bottom"/>
            <w:gridSpan w:val="2"/>
          </w:tcPr>
          <w:p>
            <w:pPr>
              <w:spacing w:after="0"/>
              <w:rPr>
                <w:sz w:val="2"/>
                <w:szCs w:val="2"/>
                <w:color w:val="auto"/>
              </w:rPr>
            </w:pPr>
          </w:p>
        </w:tc>
        <w:tc>
          <w:tcPr>
            <w:tcW w:w="2180" w:type="dxa"/>
            <w:vAlign w:val="bottom"/>
          </w:tcPr>
          <w:p>
            <w:pPr>
              <w:spacing w:after="0"/>
              <w:rPr>
                <w:sz w:val="2"/>
                <w:szCs w:val="2"/>
                <w:color w:val="auto"/>
              </w:rPr>
            </w:pPr>
          </w:p>
        </w:tc>
      </w:tr>
      <w:tr>
        <w:trPr>
          <w:trHeight w:val="185"/>
        </w:trPr>
        <w:tc>
          <w:tcPr>
            <w:tcW w:w="1360" w:type="dxa"/>
            <w:vAlign w:val="bottom"/>
          </w:tcPr>
          <w:p>
            <w:pPr>
              <w:spacing w:after="0"/>
              <w:rPr>
                <w:sz w:val="16"/>
                <w:szCs w:val="16"/>
                <w:color w:val="auto"/>
              </w:rPr>
            </w:pPr>
          </w:p>
        </w:tc>
        <w:tc>
          <w:tcPr>
            <w:tcW w:w="11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89"/>
              </w:rPr>
              <w:t>2023</w:t>
            </w:r>
          </w:p>
        </w:tc>
        <w:tc>
          <w:tcPr>
            <w:tcW w:w="360" w:type="dxa"/>
            <w:vAlign w:val="bottom"/>
            <w:tcBorders>
              <w:bottom w:val="single" w:sz="8" w:color="CCEEFF"/>
            </w:tcBorders>
            <w:shd w:val="clear" w:color="auto" w:fill="CCEEFF"/>
          </w:tcPr>
          <w:p>
            <w:pPr>
              <w:spacing w:after="0"/>
              <w:rPr>
                <w:sz w:val="16"/>
                <w:szCs w:val="16"/>
                <w:color w:val="auto"/>
              </w:rPr>
            </w:pPr>
          </w:p>
        </w:tc>
        <w:tc>
          <w:tcPr>
            <w:tcW w:w="460" w:type="dxa"/>
            <w:vAlign w:val="bottom"/>
            <w:tcBorders>
              <w:bottom w:val="single" w:sz="8" w:color="CCEEFF"/>
            </w:tcBorders>
            <w:shd w:val="clear" w:color="auto" w:fill="CCEEFF"/>
          </w:tcPr>
          <w:p>
            <w:pPr>
              <w:spacing w:after="0"/>
              <w:rPr>
                <w:sz w:val="16"/>
                <w:szCs w:val="16"/>
                <w:color w:val="auto"/>
              </w:rPr>
            </w:pPr>
          </w:p>
        </w:tc>
        <w:tc>
          <w:tcPr>
            <w:tcW w:w="17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3"/>
                <w:szCs w:val="13"/>
                <w:color w:val="auto"/>
              </w:rPr>
              <w:t>750,000</w:t>
            </w:r>
          </w:p>
        </w:tc>
        <w:tc>
          <w:tcPr>
            <w:tcW w:w="2180" w:type="dxa"/>
            <w:vAlign w:val="bottom"/>
          </w:tcPr>
          <w:p>
            <w:pPr>
              <w:spacing w:after="0"/>
              <w:rPr>
                <w:sz w:val="16"/>
                <w:szCs w:val="16"/>
                <w:color w:val="auto"/>
              </w:rPr>
            </w:pPr>
          </w:p>
        </w:tc>
      </w:tr>
      <w:tr>
        <w:trPr>
          <w:trHeight w:val="178"/>
        </w:trPr>
        <w:tc>
          <w:tcPr>
            <w:tcW w:w="2540" w:type="dxa"/>
            <w:vAlign w:val="bottom"/>
            <w:gridSpan w:val="2"/>
          </w:tcPr>
          <w:p>
            <w:pPr>
              <w:jc w:val="center"/>
              <w:ind w:left="1297"/>
              <w:spacing w:after="0"/>
              <w:rPr>
                <w:sz w:val="20"/>
                <w:szCs w:val="20"/>
                <w:color w:val="auto"/>
              </w:rPr>
            </w:pPr>
            <w:r>
              <w:rPr>
                <w:rFonts w:ascii="Arial" w:cs="Arial" w:eastAsia="Arial" w:hAnsi="Arial"/>
                <w:sz w:val="13"/>
                <w:szCs w:val="13"/>
                <w:color w:val="auto"/>
                <w:w w:val="89"/>
              </w:rPr>
              <w:t>2024</w:t>
            </w:r>
          </w:p>
        </w:tc>
        <w:tc>
          <w:tcPr>
            <w:tcW w:w="36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700" w:type="dxa"/>
            <w:vAlign w:val="bottom"/>
            <w:gridSpan w:val="2"/>
          </w:tcPr>
          <w:p>
            <w:pPr>
              <w:jc w:val="right"/>
              <w:spacing w:after="0"/>
              <w:rPr>
                <w:sz w:val="20"/>
                <w:szCs w:val="20"/>
                <w:color w:val="auto"/>
              </w:rPr>
            </w:pPr>
            <w:r>
              <w:rPr>
                <w:rFonts w:ascii="Arial" w:cs="Arial" w:eastAsia="Arial" w:hAnsi="Arial"/>
                <w:sz w:val="13"/>
                <w:szCs w:val="13"/>
                <w:color w:val="auto"/>
              </w:rPr>
              <w:t>250,000</w:t>
            </w:r>
          </w:p>
        </w:tc>
        <w:tc>
          <w:tcPr>
            <w:tcW w:w="2180" w:type="dxa"/>
            <w:vAlign w:val="bottom"/>
          </w:tcPr>
          <w:p>
            <w:pPr>
              <w:spacing w:after="0"/>
              <w:rPr>
                <w:sz w:val="15"/>
                <w:szCs w:val="15"/>
                <w:color w:val="auto"/>
              </w:rPr>
            </w:pPr>
          </w:p>
        </w:tc>
      </w:tr>
      <w:tr>
        <w:trPr>
          <w:trHeight w:val="27"/>
        </w:trPr>
        <w:tc>
          <w:tcPr>
            <w:tcW w:w="2540" w:type="dxa"/>
            <w:vAlign w:val="bottom"/>
            <w:gridSpan w:val="2"/>
          </w:tcPr>
          <w:p>
            <w:pPr>
              <w:spacing w:after="0"/>
              <w:rPr>
                <w:sz w:val="2"/>
                <w:szCs w:val="2"/>
                <w:color w:val="auto"/>
              </w:rPr>
            </w:pPr>
          </w:p>
        </w:tc>
        <w:tc>
          <w:tcPr>
            <w:tcW w:w="360" w:type="dxa"/>
            <w:vAlign w:val="bottom"/>
          </w:tcPr>
          <w:p>
            <w:pPr>
              <w:spacing w:after="0"/>
              <w:rPr>
                <w:sz w:val="2"/>
                <w:szCs w:val="2"/>
                <w:color w:val="auto"/>
              </w:rPr>
            </w:pPr>
          </w:p>
        </w:tc>
        <w:tc>
          <w:tcPr>
            <w:tcW w:w="460" w:type="dxa"/>
            <w:vAlign w:val="bottom"/>
          </w:tcPr>
          <w:p>
            <w:pPr>
              <w:spacing w:after="0"/>
              <w:rPr>
                <w:sz w:val="2"/>
                <w:szCs w:val="2"/>
                <w:color w:val="auto"/>
              </w:rPr>
            </w:pPr>
          </w:p>
        </w:tc>
        <w:tc>
          <w:tcPr>
            <w:tcW w:w="1700" w:type="dxa"/>
            <w:vAlign w:val="bottom"/>
            <w:gridSpan w:val="2"/>
          </w:tcPr>
          <w:p>
            <w:pPr>
              <w:spacing w:after="0"/>
              <w:rPr>
                <w:sz w:val="2"/>
                <w:szCs w:val="2"/>
                <w:color w:val="auto"/>
              </w:rPr>
            </w:pPr>
          </w:p>
        </w:tc>
        <w:tc>
          <w:tcPr>
            <w:tcW w:w="2180" w:type="dxa"/>
            <w:vAlign w:val="bottom"/>
          </w:tcPr>
          <w:p>
            <w:pPr>
              <w:spacing w:after="0"/>
              <w:rPr>
                <w:sz w:val="2"/>
                <w:szCs w:val="2"/>
                <w:color w:val="auto"/>
              </w:rPr>
            </w:pPr>
          </w:p>
        </w:tc>
      </w:tr>
      <w:tr>
        <w:trPr>
          <w:trHeight w:val="185"/>
        </w:trPr>
        <w:tc>
          <w:tcPr>
            <w:tcW w:w="1360" w:type="dxa"/>
            <w:vAlign w:val="bottom"/>
          </w:tcPr>
          <w:p>
            <w:pPr>
              <w:spacing w:after="0"/>
              <w:rPr>
                <w:sz w:val="16"/>
                <w:szCs w:val="16"/>
                <w:color w:val="auto"/>
              </w:rPr>
            </w:pPr>
          </w:p>
        </w:tc>
        <w:tc>
          <w:tcPr>
            <w:tcW w:w="11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89"/>
              </w:rPr>
              <w:t>2026</w:t>
            </w:r>
          </w:p>
        </w:tc>
        <w:tc>
          <w:tcPr>
            <w:tcW w:w="360" w:type="dxa"/>
            <w:vAlign w:val="bottom"/>
            <w:tcBorders>
              <w:bottom w:val="single" w:sz="8" w:color="CCEEFF"/>
            </w:tcBorders>
            <w:shd w:val="clear" w:color="auto" w:fill="CCEEFF"/>
          </w:tcPr>
          <w:p>
            <w:pPr>
              <w:spacing w:after="0"/>
              <w:rPr>
                <w:sz w:val="16"/>
                <w:szCs w:val="16"/>
                <w:color w:val="auto"/>
              </w:rPr>
            </w:pPr>
          </w:p>
        </w:tc>
        <w:tc>
          <w:tcPr>
            <w:tcW w:w="460" w:type="dxa"/>
            <w:vAlign w:val="bottom"/>
            <w:tcBorders>
              <w:bottom w:val="single" w:sz="8" w:color="CCEEFF"/>
            </w:tcBorders>
            <w:shd w:val="clear" w:color="auto" w:fill="CCEEFF"/>
          </w:tcPr>
          <w:p>
            <w:pPr>
              <w:spacing w:after="0"/>
              <w:rPr>
                <w:sz w:val="16"/>
                <w:szCs w:val="16"/>
                <w:color w:val="auto"/>
              </w:rPr>
            </w:pPr>
          </w:p>
        </w:tc>
        <w:tc>
          <w:tcPr>
            <w:tcW w:w="17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3"/>
                <w:szCs w:val="13"/>
                <w:color w:val="auto"/>
              </w:rPr>
              <w:t>1,150,000</w:t>
            </w:r>
          </w:p>
        </w:tc>
        <w:tc>
          <w:tcPr>
            <w:tcW w:w="2180" w:type="dxa"/>
            <w:vAlign w:val="bottom"/>
          </w:tcPr>
          <w:p>
            <w:pPr>
              <w:spacing w:after="0"/>
              <w:rPr>
                <w:sz w:val="16"/>
                <w:szCs w:val="16"/>
                <w:color w:val="auto"/>
              </w:rPr>
            </w:pPr>
          </w:p>
        </w:tc>
      </w:tr>
      <w:tr>
        <w:trPr>
          <w:trHeight w:val="178"/>
        </w:trPr>
        <w:tc>
          <w:tcPr>
            <w:tcW w:w="2540" w:type="dxa"/>
            <w:vAlign w:val="bottom"/>
            <w:gridSpan w:val="2"/>
          </w:tcPr>
          <w:p>
            <w:pPr>
              <w:jc w:val="center"/>
              <w:ind w:left="1297"/>
              <w:spacing w:after="0"/>
              <w:rPr>
                <w:sz w:val="20"/>
                <w:szCs w:val="20"/>
                <w:color w:val="auto"/>
              </w:rPr>
            </w:pPr>
            <w:r>
              <w:rPr>
                <w:rFonts w:ascii="Arial" w:cs="Arial" w:eastAsia="Arial" w:hAnsi="Arial"/>
                <w:sz w:val="13"/>
                <w:szCs w:val="13"/>
                <w:color w:val="auto"/>
                <w:w w:val="89"/>
              </w:rPr>
              <w:t>2027</w:t>
            </w:r>
          </w:p>
        </w:tc>
        <w:tc>
          <w:tcPr>
            <w:tcW w:w="36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700" w:type="dxa"/>
            <w:vAlign w:val="bottom"/>
            <w:gridSpan w:val="2"/>
          </w:tcPr>
          <w:p>
            <w:pPr>
              <w:jc w:val="right"/>
              <w:spacing w:after="0"/>
              <w:rPr>
                <w:sz w:val="20"/>
                <w:szCs w:val="20"/>
                <w:color w:val="auto"/>
              </w:rPr>
            </w:pPr>
            <w:r>
              <w:rPr>
                <w:rFonts w:ascii="Arial" w:cs="Arial" w:eastAsia="Arial" w:hAnsi="Arial"/>
                <w:sz w:val="13"/>
                <w:szCs w:val="13"/>
                <w:color w:val="auto"/>
              </w:rPr>
              <w:t>375,000</w:t>
            </w:r>
          </w:p>
        </w:tc>
        <w:tc>
          <w:tcPr>
            <w:tcW w:w="2180" w:type="dxa"/>
            <w:vAlign w:val="bottom"/>
          </w:tcPr>
          <w:p>
            <w:pPr>
              <w:spacing w:after="0"/>
              <w:rPr>
                <w:sz w:val="15"/>
                <w:szCs w:val="15"/>
                <w:color w:val="auto"/>
              </w:rPr>
            </w:pPr>
          </w:p>
        </w:tc>
      </w:tr>
      <w:tr>
        <w:trPr>
          <w:trHeight w:val="27"/>
        </w:trPr>
        <w:tc>
          <w:tcPr>
            <w:tcW w:w="2540" w:type="dxa"/>
            <w:vAlign w:val="bottom"/>
            <w:gridSpan w:val="2"/>
          </w:tcPr>
          <w:p>
            <w:pPr>
              <w:spacing w:after="0"/>
              <w:rPr>
                <w:sz w:val="2"/>
                <w:szCs w:val="2"/>
                <w:color w:val="auto"/>
              </w:rPr>
            </w:pPr>
          </w:p>
        </w:tc>
        <w:tc>
          <w:tcPr>
            <w:tcW w:w="360" w:type="dxa"/>
            <w:vAlign w:val="bottom"/>
          </w:tcPr>
          <w:p>
            <w:pPr>
              <w:spacing w:after="0"/>
              <w:rPr>
                <w:sz w:val="2"/>
                <w:szCs w:val="2"/>
                <w:color w:val="auto"/>
              </w:rPr>
            </w:pPr>
          </w:p>
        </w:tc>
        <w:tc>
          <w:tcPr>
            <w:tcW w:w="460" w:type="dxa"/>
            <w:vAlign w:val="bottom"/>
          </w:tcPr>
          <w:p>
            <w:pPr>
              <w:spacing w:after="0"/>
              <w:rPr>
                <w:sz w:val="2"/>
                <w:szCs w:val="2"/>
                <w:color w:val="auto"/>
              </w:rPr>
            </w:pPr>
          </w:p>
        </w:tc>
        <w:tc>
          <w:tcPr>
            <w:tcW w:w="1700" w:type="dxa"/>
            <w:vAlign w:val="bottom"/>
            <w:gridSpan w:val="2"/>
          </w:tcPr>
          <w:p>
            <w:pPr>
              <w:spacing w:after="0"/>
              <w:rPr>
                <w:sz w:val="2"/>
                <w:szCs w:val="2"/>
                <w:color w:val="auto"/>
              </w:rPr>
            </w:pPr>
          </w:p>
        </w:tc>
        <w:tc>
          <w:tcPr>
            <w:tcW w:w="2180" w:type="dxa"/>
            <w:vAlign w:val="bottom"/>
          </w:tcPr>
          <w:p>
            <w:pPr>
              <w:spacing w:after="0"/>
              <w:rPr>
                <w:sz w:val="2"/>
                <w:szCs w:val="2"/>
                <w:color w:val="auto"/>
              </w:rPr>
            </w:pPr>
          </w:p>
        </w:tc>
      </w:tr>
      <w:tr>
        <w:trPr>
          <w:trHeight w:val="185"/>
        </w:trPr>
        <w:tc>
          <w:tcPr>
            <w:tcW w:w="1360" w:type="dxa"/>
            <w:vAlign w:val="bottom"/>
          </w:tcPr>
          <w:p>
            <w:pPr>
              <w:spacing w:after="0"/>
              <w:rPr>
                <w:sz w:val="16"/>
                <w:szCs w:val="16"/>
                <w:color w:val="auto"/>
              </w:rPr>
            </w:pPr>
          </w:p>
        </w:tc>
        <w:tc>
          <w:tcPr>
            <w:tcW w:w="11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89"/>
              </w:rPr>
              <w:t>2028</w:t>
            </w:r>
          </w:p>
        </w:tc>
        <w:tc>
          <w:tcPr>
            <w:tcW w:w="360" w:type="dxa"/>
            <w:vAlign w:val="bottom"/>
            <w:tcBorders>
              <w:bottom w:val="single" w:sz="8" w:color="CCEEFF"/>
            </w:tcBorders>
            <w:shd w:val="clear" w:color="auto" w:fill="CCEEFF"/>
          </w:tcPr>
          <w:p>
            <w:pPr>
              <w:spacing w:after="0"/>
              <w:rPr>
                <w:sz w:val="16"/>
                <w:szCs w:val="16"/>
                <w:color w:val="auto"/>
              </w:rPr>
            </w:pPr>
          </w:p>
        </w:tc>
        <w:tc>
          <w:tcPr>
            <w:tcW w:w="460" w:type="dxa"/>
            <w:vAlign w:val="bottom"/>
            <w:tcBorders>
              <w:bottom w:val="single" w:sz="8" w:color="CCEEFF"/>
            </w:tcBorders>
            <w:shd w:val="clear" w:color="auto" w:fill="CCEEFF"/>
          </w:tcPr>
          <w:p>
            <w:pPr>
              <w:spacing w:after="0"/>
              <w:rPr>
                <w:sz w:val="16"/>
                <w:szCs w:val="16"/>
                <w:color w:val="auto"/>
              </w:rPr>
            </w:pPr>
          </w:p>
        </w:tc>
        <w:tc>
          <w:tcPr>
            <w:tcW w:w="17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3"/>
                <w:szCs w:val="13"/>
                <w:color w:val="auto"/>
              </w:rPr>
              <w:t>325,000</w:t>
            </w:r>
          </w:p>
        </w:tc>
        <w:tc>
          <w:tcPr>
            <w:tcW w:w="2180" w:type="dxa"/>
            <w:vAlign w:val="bottom"/>
          </w:tcPr>
          <w:p>
            <w:pPr>
              <w:spacing w:after="0"/>
              <w:rPr>
                <w:sz w:val="16"/>
                <w:szCs w:val="16"/>
                <w:color w:val="auto"/>
              </w:rPr>
            </w:pPr>
          </w:p>
        </w:tc>
      </w:tr>
      <w:tr>
        <w:trPr>
          <w:trHeight w:val="178"/>
        </w:trPr>
        <w:tc>
          <w:tcPr>
            <w:tcW w:w="2540" w:type="dxa"/>
            <w:vAlign w:val="bottom"/>
            <w:gridSpan w:val="2"/>
          </w:tcPr>
          <w:p>
            <w:pPr>
              <w:jc w:val="center"/>
              <w:ind w:left="1297"/>
              <w:spacing w:after="0"/>
              <w:rPr>
                <w:sz w:val="20"/>
                <w:szCs w:val="20"/>
                <w:color w:val="auto"/>
              </w:rPr>
            </w:pPr>
            <w:r>
              <w:rPr>
                <w:rFonts w:ascii="Arial" w:cs="Arial" w:eastAsia="Arial" w:hAnsi="Arial"/>
                <w:sz w:val="13"/>
                <w:szCs w:val="13"/>
                <w:color w:val="auto"/>
                <w:w w:val="89"/>
              </w:rPr>
              <w:t>2029</w:t>
            </w:r>
          </w:p>
        </w:tc>
        <w:tc>
          <w:tcPr>
            <w:tcW w:w="36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700" w:type="dxa"/>
            <w:vAlign w:val="bottom"/>
            <w:gridSpan w:val="2"/>
          </w:tcPr>
          <w:p>
            <w:pPr>
              <w:jc w:val="right"/>
              <w:spacing w:after="0"/>
              <w:rPr>
                <w:sz w:val="20"/>
                <w:szCs w:val="20"/>
                <w:color w:val="auto"/>
              </w:rPr>
            </w:pPr>
            <w:r>
              <w:rPr>
                <w:rFonts w:ascii="Arial" w:cs="Arial" w:eastAsia="Arial" w:hAnsi="Arial"/>
                <w:sz w:val="13"/>
                <w:szCs w:val="13"/>
                <w:color w:val="auto"/>
              </w:rPr>
              <w:t>100,000</w:t>
            </w:r>
          </w:p>
        </w:tc>
        <w:tc>
          <w:tcPr>
            <w:tcW w:w="2180" w:type="dxa"/>
            <w:vAlign w:val="bottom"/>
          </w:tcPr>
          <w:p>
            <w:pPr>
              <w:spacing w:after="0"/>
              <w:rPr>
                <w:sz w:val="15"/>
                <w:szCs w:val="15"/>
                <w:color w:val="auto"/>
              </w:rPr>
            </w:pPr>
          </w:p>
        </w:tc>
      </w:tr>
      <w:tr>
        <w:trPr>
          <w:trHeight w:val="27"/>
        </w:trPr>
        <w:tc>
          <w:tcPr>
            <w:tcW w:w="2540" w:type="dxa"/>
            <w:vAlign w:val="bottom"/>
            <w:gridSpan w:val="2"/>
          </w:tcPr>
          <w:p>
            <w:pPr>
              <w:spacing w:after="0"/>
              <w:rPr>
                <w:sz w:val="2"/>
                <w:szCs w:val="2"/>
                <w:color w:val="auto"/>
              </w:rPr>
            </w:pPr>
          </w:p>
        </w:tc>
        <w:tc>
          <w:tcPr>
            <w:tcW w:w="360" w:type="dxa"/>
            <w:vAlign w:val="bottom"/>
          </w:tcPr>
          <w:p>
            <w:pPr>
              <w:spacing w:after="0"/>
              <w:rPr>
                <w:sz w:val="2"/>
                <w:szCs w:val="2"/>
                <w:color w:val="auto"/>
              </w:rPr>
            </w:pPr>
          </w:p>
        </w:tc>
        <w:tc>
          <w:tcPr>
            <w:tcW w:w="460" w:type="dxa"/>
            <w:vAlign w:val="bottom"/>
          </w:tcPr>
          <w:p>
            <w:pPr>
              <w:spacing w:after="0"/>
              <w:rPr>
                <w:sz w:val="2"/>
                <w:szCs w:val="2"/>
                <w:color w:val="auto"/>
              </w:rPr>
            </w:pPr>
          </w:p>
        </w:tc>
        <w:tc>
          <w:tcPr>
            <w:tcW w:w="1700" w:type="dxa"/>
            <w:vAlign w:val="bottom"/>
            <w:gridSpan w:val="2"/>
          </w:tcPr>
          <w:p>
            <w:pPr>
              <w:spacing w:after="0"/>
              <w:rPr>
                <w:sz w:val="2"/>
                <w:szCs w:val="2"/>
                <w:color w:val="auto"/>
              </w:rPr>
            </w:pPr>
          </w:p>
        </w:tc>
        <w:tc>
          <w:tcPr>
            <w:tcW w:w="2180" w:type="dxa"/>
            <w:vAlign w:val="bottom"/>
          </w:tcPr>
          <w:p>
            <w:pPr>
              <w:spacing w:after="0"/>
              <w:rPr>
                <w:sz w:val="2"/>
                <w:szCs w:val="2"/>
                <w:color w:val="auto"/>
              </w:rPr>
            </w:pPr>
          </w:p>
        </w:tc>
      </w:tr>
      <w:tr>
        <w:trPr>
          <w:trHeight w:val="205"/>
        </w:trPr>
        <w:tc>
          <w:tcPr>
            <w:tcW w:w="1360" w:type="dxa"/>
            <w:vAlign w:val="bottom"/>
          </w:tcPr>
          <w:p>
            <w:pPr>
              <w:spacing w:after="0"/>
              <w:rPr>
                <w:sz w:val="17"/>
                <w:szCs w:val="17"/>
                <w:color w:val="auto"/>
              </w:rPr>
            </w:pPr>
          </w:p>
        </w:tc>
        <w:tc>
          <w:tcPr>
            <w:tcW w:w="11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89"/>
              </w:rPr>
              <w:t>2031</w:t>
            </w:r>
          </w:p>
        </w:tc>
        <w:tc>
          <w:tcPr>
            <w:tcW w:w="360" w:type="dxa"/>
            <w:vAlign w:val="bottom"/>
            <w:tcBorders>
              <w:bottom w:val="single" w:sz="8" w:color="CCEEFF"/>
            </w:tcBorders>
            <w:shd w:val="clear" w:color="auto" w:fill="CCEEFF"/>
          </w:tcPr>
          <w:p>
            <w:pPr>
              <w:spacing w:after="0"/>
              <w:rPr>
                <w:sz w:val="17"/>
                <w:szCs w:val="17"/>
                <w:color w:val="auto"/>
              </w:rPr>
            </w:pPr>
          </w:p>
        </w:tc>
        <w:tc>
          <w:tcPr>
            <w:tcW w:w="460" w:type="dxa"/>
            <w:vAlign w:val="bottom"/>
            <w:tcBorders>
              <w:bottom w:val="single" w:sz="8" w:color="CCEEFF"/>
            </w:tcBorders>
            <w:shd w:val="clear" w:color="auto" w:fill="CCEEFF"/>
          </w:tcPr>
          <w:p>
            <w:pPr>
              <w:spacing w:after="0"/>
              <w:rPr>
                <w:sz w:val="17"/>
                <w:szCs w:val="17"/>
                <w:color w:val="auto"/>
              </w:rPr>
            </w:pPr>
          </w:p>
        </w:tc>
        <w:tc>
          <w:tcPr>
            <w:tcW w:w="17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3"/>
                <w:szCs w:val="13"/>
                <w:color w:val="auto"/>
              </w:rPr>
              <w:t>300,000</w:t>
            </w:r>
          </w:p>
        </w:tc>
        <w:tc>
          <w:tcPr>
            <w:tcW w:w="2180" w:type="dxa"/>
            <w:vAlign w:val="bottom"/>
          </w:tcPr>
          <w:p>
            <w:pPr>
              <w:spacing w:after="0"/>
              <w:rPr>
                <w:sz w:val="17"/>
                <w:szCs w:val="17"/>
                <w:color w:val="auto"/>
              </w:rPr>
            </w:pPr>
          </w:p>
        </w:tc>
      </w:tr>
      <w:tr>
        <w:trPr>
          <w:trHeight w:val="169"/>
        </w:trPr>
        <w:tc>
          <w:tcPr>
            <w:tcW w:w="136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460" w:type="dxa"/>
            <w:vAlign w:val="bottom"/>
            <w:tcBorders>
              <w:top w:val="single" w:sz="8" w:color="auto"/>
            </w:tcBorders>
          </w:tcPr>
          <w:p>
            <w:pPr>
              <w:jc w:val="right"/>
              <w:ind w:right="315"/>
              <w:spacing w:after="0"/>
              <w:rPr>
                <w:sz w:val="20"/>
                <w:szCs w:val="20"/>
                <w:color w:val="auto"/>
              </w:rPr>
            </w:pPr>
            <w:r>
              <w:rPr>
                <w:rFonts w:ascii="Arial" w:cs="Arial" w:eastAsia="Arial" w:hAnsi="Arial"/>
                <w:sz w:val="13"/>
                <w:szCs w:val="13"/>
                <w:color w:val="auto"/>
                <w:w w:val="82"/>
              </w:rPr>
              <w:t>$</w:t>
            </w:r>
          </w:p>
        </w:tc>
        <w:tc>
          <w:tcPr>
            <w:tcW w:w="1700" w:type="dxa"/>
            <w:vAlign w:val="bottom"/>
            <w:tcBorders>
              <w:top w:val="single" w:sz="8" w:color="auto"/>
            </w:tcBorders>
            <w:gridSpan w:val="2"/>
          </w:tcPr>
          <w:p>
            <w:pPr>
              <w:jc w:val="right"/>
              <w:spacing w:after="0"/>
              <w:rPr>
                <w:sz w:val="20"/>
                <w:szCs w:val="20"/>
                <w:color w:val="auto"/>
              </w:rPr>
            </w:pPr>
            <w:r>
              <w:rPr>
                <w:rFonts w:ascii="Arial" w:cs="Arial" w:eastAsia="Arial" w:hAnsi="Arial"/>
                <w:sz w:val="13"/>
                <w:szCs w:val="13"/>
                <w:color w:val="auto"/>
              </w:rPr>
              <w:t>9,750,000</w:t>
            </w:r>
          </w:p>
        </w:tc>
        <w:tc>
          <w:tcPr>
            <w:tcW w:w="2180" w:type="dxa"/>
            <w:vAlign w:val="bottom"/>
          </w:tcPr>
          <w:p>
            <w:pPr>
              <w:spacing w:after="0"/>
              <w:rPr>
                <w:sz w:val="14"/>
                <w:szCs w:val="14"/>
                <w:color w:val="auto"/>
              </w:rPr>
            </w:pPr>
          </w:p>
        </w:tc>
      </w:tr>
      <w:tr>
        <w:trPr>
          <w:trHeight w:val="27"/>
        </w:trPr>
        <w:tc>
          <w:tcPr>
            <w:tcW w:w="2900" w:type="dxa"/>
            <w:vAlign w:val="bottom"/>
            <w:gridSpan w:val="3"/>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2180" w:type="dxa"/>
            <w:vAlign w:val="bottom"/>
          </w:tcPr>
          <w:p>
            <w:pPr>
              <w:spacing w:after="0"/>
              <w:rPr>
                <w:sz w:val="2"/>
                <w:szCs w:val="2"/>
                <w:color w:val="auto"/>
              </w:rPr>
            </w:pPr>
          </w:p>
        </w:tc>
      </w:tr>
      <w:tr>
        <w:trPr>
          <w:trHeight w:val="20"/>
        </w:trPr>
        <w:tc>
          <w:tcPr>
            <w:tcW w:w="2900" w:type="dxa"/>
            <w:vAlign w:val="bottom"/>
            <w:gridSpan w:val="3"/>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2180" w:type="dxa"/>
            <w:vAlign w:val="bottom"/>
          </w:tcPr>
          <w:p>
            <w:pPr>
              <w:spacing w:after="0" w:line="20" w:lineRule="exact"/>
              <w:rPr>
                <w:sz w:val="1"/>
                <w:szCs w:val="1"/>
                <w:color w:val="auto"/>
              </w:rPr>
            </w:pPr>
          </w:p>
        </w:tc>
      </w:tr>
      <w:tr>
        <w:trPr>
          <w:trHeight w:val="287"/>
        </w:trPr>
        <w:tc>
          <w:tcPr>
            <w:tcW w:w="3360" w:type="dxa"/>
            <w:vAlign w:val="bottom"/>
            <w:gridSpan w:val="4"/>
          </w:tcPr>
          <w:p>
            <w:pPr>
              <w:spacing w:after="0"/>
              <w:rPr>
                <w:sz w:val="20"/>
                <w:szCs w:val="20"/>
                <w:color w:val="auto"/>
              </w:rPr>
            </w:pPr>
            <w:r>
              <w:rPr>
                <w:rFonts w:ascii="Arial" w:cs="Arial" w:eastAsia="Arial" w:hAnsi="Arial"/>
                <w:sz w:val="11"/>
                <w:szCs w:val="11"/>
                <w:color w:val="auto"/>
                <w:w w:val="98"/>
              </w:rPr>
              <w:t>(a) These derivatives have a forward effective start date in May 2019.</w:t>
            </w:r>
          </w:p>
        </w:tc>
        <w:tc>
          <w:tcPr>
            <w:tcW w:w="13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180" w:type="dxa"/>
            <w:vAlign w:val="bottom"/>
          </w:tcPr>
          <w:p>
            <w:pPr>
              <w:spacing w:after="0"/>
              <w:rPr>
                <w:sz w:val="24"/>
                <w:szCs w:val="24"/>
                <w:color w:val="auto"/>
              </w:rPr>
            </w:pPr>
          </w:p>
        </w:tc>
      </w:tr>
      <w:tr>
        <w:trPr>
          <w:trHeight w:val="172"/>
        </w:trPr>
        <w:tc>
          <w:tcPr>
            <w:tcW w:w="4740" w:type="dxa"/>
            <w:vAlign w:val="bottom"/>
            <w:gridSpan w:val="5"/>
          </w:tcPr>
          <w:p>
            <w:pPr>
              <w:spacing w:after="0"/>
              <w:rPr>
                <w:sz w:val="20"/>
                <w:szCs w:val="20"/>
                <w:color w:val="auto"/>
              </w:rPr>
            </w:pPr>
            <w:r>
              <w:rPr>
                <w:rFonts w:ascii="Arial" w:cs="Arial" w:eastAsia="Arial" w:hAnsi="Arial"/>
                <w:sz w:val="11"/>
                <w:szCs w:val="11"/>
                <w:color w:val="auto"/>
                <w:w w:val="98"/>
              </w:rPr>
              <w:t>(b) $250 million and $750 million of the notional amount of these derivatives have forward effective</w:t>
            </w:r>
          </w:p>
        </w:tc>
        <w:tc>
          <w:tcPr>
            <w:tcW w:w="2500" w:type="dxa"/>
            <w:vAlign w:val="bottom"/>
            <w:gridSpan w:val="2"/>
          </w:tcPr>
          <w:p>
            <w:pPr>
              <w:ind w:left="100"/>
              <w:spacing w:after="0"/>
              <w:rPr>
                <w:sz w:val="20"/>
                <w:szCs w:val="20"/>
                <w:color w:val="auto"/>
              </w:rPr>
            </w:pPr>
            <w:r>
              <w:rPr>
                <w:rFonts w:ascii="Arial" w:cs="Arial" w:eastAsia="Arial" w:hAnsi="Arial"/>
                <w:sz w:val="11"/>
                <w:szCs w:val="11"/>
                <w:color w:val="auto"/>
                <w:w w:val="93"/>
              </w:rPr>
              <w:t>start dates in May 2019 and May 2020, respectively.</w:t>
            </w:r>
          </w:p>
        </w:tc>
      </w:tr>
    </w:tbl>
    <w:p>
      <w:pPr>
        <w:spacing w:after="0" w:line="160" w:lineRule="exact"/>
        <w:rPr>
          <w:sz w:val="20"/>
          <w:szCs w:val="20"/>
          <w:color w:val="auto"/>
        </w:rPr>
      </w:pPr>
    </w:p>
    <w:p>
      <w:pPr>
        <w:ind w:left="840"/>
        <w:spacing w:after="0"/>
        <w:rPr>
          <w:sz w:val="20"/>
          <w:szCs w:val="20"/>
          <w:color w:val="auto"/>
        </w:rPr>
      </w:pPr>
      <w:r>
        <w:rPr>
          <w:rFonts w:ascii="Arial" w:cs="Arial" w:eastAsia="Arial" w:hAnsi="Arial"/>
          <w:sz w:val="14"/>
          <w:szCs w:val="14"/>
          <w:color w:val="auto"/>
        </w:rPr>
        <w:t>The weighted average rate paid by the Company on the 1:3 Basis Swaps as of March 31, 2019 was one-month LIBOR plus 9.5 basis points.</w:t>
      </w:r>
    </w:p>
    <w:p>
      <w:pPr>
        <w:spacing w:after="0" w:line="200" w:lineRule="exact"/>
        <w:rPr>
          <w:sz w:val="20"/>
          <w:szCs w:val="20"/>
          <w:color w:val="auto"/>
        </w:rPr>
      </w:pP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56</w:t>
      </w:r>
    </w:p>
    <w:p>
      <w:pPr>
        <w:sectPr>
          <w:pgSz w:w="11900" w:h="16838" w:orient="portrait"/>
          <w:cols w:equalWidth="0" w:num="1">
            <w:col w:w="11460"/>
          </w:cols>
          <w:pgMar w:left="220" w:top="916" w:right="219" w:bottom="1440" w:gutter="0" w:footer="0" w:header="0"/>
        </w:sectPr>
      </w:pPr>
    </w:p>
    <w:bookmarkStart w:id="57" w:name="page58"/>
    <w:bookmarkEnd w:id="57"/>
    <w:p>
      <w:pPr>
        <w:ind w:left="840" w:hanging="510"/>
        <w:spacing w:after="0" w:line="272" w:lineRule="auto"/>
        <w:tabs>
          <w:tab w:leader="none" w:pos="532" w:val="left"/>
        </w:tabs>
        <w:numPr>
          <w:ilvl w:val="0"/>
          <w:numId w:val="34"/>
        </w:numPr>
        <w:rPr>
          <w:rFonts w:ascii="Arial" w:cs="Arial" w:eastAsia="Arial" w:hAnsi="Arial"/>
          <w:sz w:val="14"/>
          <w:szCs w:val="14"/>
          <w:color w:val="auto"/>
        </w:rPr>
      </w:pPr>
      <w:r>
        <w:rPr>
          <w:rFonts w:ascii="Arial" w:cs="Arial" w:eastAsia="Arial" w:hAnsi="Arial"/>
          <w:sz w:val="14"/>
          <w:szCs w:val="14"/>
          <w:color w:val="auto"/>
        </w:rPr>
        <w:t>As of March 31, 2019, the Company was sponsor for $787.7 million of asset-backed securities that are set and periodically reset via a "dutch auction" (“Auction Rate Securities”). The Auction Rate Securities generally pay interest to the holder at a maximum rate as defined by the indenture. While these rates will vary, they will generally be based on a spread to LIBOR or Treasury Securities, or the Net Loan Rate as defined in the financing documents.</w:t>
      </w:r>
    </w:p>
    <w:p>
      <w:pPr>
        <w:spacing w:after="0" w:line="99" w:lineRule="exact"/>
        <w:rPr>
          <w:rFonts w:ascii="Arial" w:cs="Arial" w:eastAsia="Arial" w:hAnsi="Arial"/>
          <w:sz w:val="14"/>
          <w:szCs w:val="14"/>
          <w:color w:val="auto"/>
        </w:rPr>
      </w:pPr>
    </w:p>
    <w:p>
      <w:pPr>
        <w:ind w:left="520" w:hanging="190"/>
        <w:spacing w:after="0"/>
        <w:tabs>
          <w:tab w:leader="none" w:pos="520" w:val="left"/>
        </w:tabs>
        <w:numPr>
          <w:ilvl w:val="0"/>
          <w:numId w:val="34"/>
        </w:numPr>
        <w:rPr>
          <w:rFonts w:ascii="Arial" w:cs="Arial" w:eastAsia="Arial" w:hAnsi="Arial"/>
          <w:sz w:val="14"/>
          <w:szCs w:val="14"/>
          <w:color w:val="auto"/>
        </w:rPr>
      </w:pPr>
      <w:r>
        <w:rPr>
          <w:rFonts w:ascii="Arial" w:cs="Arial" w:eastAsia="Arial" w:hAnsi="Arial"/>
          <w:sz w:val="14"/>
          <w:szCs w:val="14"/>
          <w:color w:val="auto"/>
        </w:rPr>
        <w:t>The interest rates on the Company's warehouse facilities are indexed to asset-backed commercial paper rates.</w:t>
      </w:r>
    </w:p>
    <w:p>
      <w:pPr>
        <w:spacing w:after="0" w:line="140" w:lineRule="exact"/>
        <w:rPr>
          <w:rFonts w:ascii="Arial" w:cs="Arial" w:eastAsia="Arial" w:hAnsi="Arial"/>
          <w:sz w:val="14"/>
          <w:szCs w:val="14"/>
          <w:color w:val="auto"/>
        </w:rPr>
      </w:pPr>
    </w:p>
    <w:p>
      <w:pPr>
        <w:ind w:left="840" w:hanging="510"/>
        <w:spacing w:after="0" w:line="288" w:lineRule="auto"/>
        <w:tabs>
          <w:tab w:leader="none" w:pos="535" w:val="left"/>
        </w:tabs>
        <w:numPr>
          <w:ilvl w:val="0"/>
          <w:numId w:val="34"/>
        </w:numPr>
        <w:rPr>
          <w:rFonts w:ascii="Arial" w:cs="Arial" w:eastAsia="Arial" w:hAnsi="Arial"/>
          <w:sz w:val="14"/>
          <w:szCs w:val="14"/>
          <w:color w:val="auto"/>
        </w:rPr>
      </w:pPr>
      <w:r>
        <w:rPr>
          <w:rFonts w:ascii="Arial" w:cs="Arial" w:eastAsia="Arial" w:hAnsi="Arial"/>
          <w:sz w:val="14"/>
          <w:szCs w:val="14"/>
          <w:color w:val="auto"/>
        </w:rPr>
        <w:t>Assets include accrued interest receivable and restricted cash. Funding represents overcollateralization (equity) and other liabilities included in FFELP asset-backed securitizations and warehouse facilities.</w:t>
      </w:r>
    </w:p>
    <w:p>
      <w:pPr>
        <w:spacing w:after="0" w:line="88" w:lineRule="exact"/>
        <w:rPr>
          <w:sz w:val="20"/>
          <w:szCs w:val="20"/>
          <w:color w:val="auto"/>
        </w:rPr>
      </w:pPr>
    </w:p>
    <w:p>
      <w:pPr>
        <w:jc w:val="both"/>
        <w:spacing w:after="0" w:line="272" w:lineRule="auto"/>
        <w:rPr>
          <w:sz w:val="20"/>
          <w:szCs w:val="20"/>
          <w:color w:val="auto"/>
        </w:rPr>
      </w:pPr>
      <w:r>
        <w:rPr>
          <w:rFonts w:ascii="Arial" w:cs="Arial" w:eastAsia="Arial" w:hAnsi="Arial"/>
          <w:sz w:val="14"/>
          <w:szCs w:val="14"/>
          <w:color w:val="auto"/>
        </w:rPr>
        <w:t>There is significant uncertainty regarding the availability of LIBOR as a benchmark rate after 2021, and any market transition away from the current LIBOR framework could result in significant changes to the interest rate characteristics of the Company's LIBOR-indexed assets and funding for those assets. See Item 1A, "Risk Factors - Loan Portfolio - Interest rate risk - replacement of LIBOR as a benchmark rate" in the Company's 2018 Annual Report.</w:t>
      </w:r>
    </w:p>
    <w:p>
      <w:pPr>
        <w:spacing w:after="0" w:line="99" w:lineRule="exact"/>
        <w:rPr>
          <w:sz w:val="20"/>
          <w:szCs w:val="20"/>
          <w:color w:val="auto"/>
        </w:rPr>
      </w:pPr>
    </w:p>
    <w:p>
      <w:pPr>
        <w:spacing w:after="0"/>
        <w:rPr>
          <w:sz w:val="20"/>
          <w:szCs w:val="20"/>
          <w:color w:val="auto"/>
        </w:rPr>
      </w:pPr>
      <w:r>
        <w:rPr>
          <w:rFonts w:ascii="Arial" w:cs="Arial" w:eastAsia="Arial" w:hAnsi="Arial"/>
          <w:sz w:val="14"/>
          <w:szCs w:val="14"/>
          <w:b w:val="1"/>
          <w:bCs w:val="1"/>
          <w:i w:val="1"/>
          <w:iCs w:val="1"/>
          <w:color w:val="auto"/>
        </w:rPr>
        <w:t>Sensitivity Analysis</w:t>
      </w:r>
    </w:p>
    <w:p>
      <w:pPr>
        <w:spacing w:after="0" w:line="141" w:lineRule="exact"/>
        <w:rPr>
          <w:sz w:val="20"/>
          <w:szCs w:val="20"/>
          <w:color w:val="auto"/>
        </w:rPr>
      </w:pPr>
    </w:p>
    <w:p>
      <w:pPr>
        <w:jc w:val="both"/>
        <w:spacing w:after="0" w:line="267" w:lineRule="auto"/>
        <w:rPr>
          <w:sz w:val="20"/>
          <w:szCs w:val="20"/>
          <w:color w:val="auto"/>
        </w:rPr>
      </w:pPr>
      <w:r>
        <w:rPr>
          <w:rFonts w:ascii="Arial" w:cs="Arial" w:eastAsia="Arial" w:hAnsi="Arial"/>
          <w:sz w:val="14"/>
          <w:szCs w:val="14"/>
          <w:color w:val="auto"/>
        </w:rPr>
        <w:t>The following tables summarize the effect on the Company’s earnings, based upon a sensitivity analysis performed by the Company assuming hypothetical increases in interest rates of 100 basis points and 300 basis points while funding spreads remain constant. In addition, a sensitivity analysis was performed assuming the funding index increases 10 basis points and 30 basis points while holding the asset index constant, if the funding index is different than the asset index. The sensitivity analysis was performed on the Company’s variable rate assets (including loans earning fixed rate floor income) and liabilities. The analysis includes the effects of the Company’s interest rate and basis swaps in existence during these periods.</w:t>
      </w:r>
    </w:p>
    <w:p>
      <w:pPr>
        <w:spacing w:after="0" w:line="55"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33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80" w:type="dxa"/>
            <w:vAlign w:val="bottom"/>
            <w:gridSpan w:val="4"/>
          </w:tcPr>
          <w:p>
            <w:pPr>
              <w:jc w:val="right"/>
              <w:ind w:right="460"/>
              <w:spacing w:after="0"/>
              <w:rPr>
                <w:sz w:val="20"/>
                <w:szCs w:val="20"/>
                <w:color w:val="auto"/>
              </w:rPr>
            </w:pPr>
            <w:r>
              <w:rPr>
                <w:rFonts w:ascii="Arial" w:cs="Arial" w:eastAsia="Arial" w:hAnsi="Arial"/>
                <w:sz w:val="14"/>
                <w:szCs w:val="14"/>
                <w:b w:val="1"/>
                <w:bCs w:val="1"/>
                <w:color w:val="auto"/>
              </w:rPr>
              <w:t>Interest rates</w:t>
            </w:r>
          </w:p>
        </w:tc>
        <w:tc>
          <w:tcPr>
            <w:tcW w:w="1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100" w:type="dxa"/>
            <w:vAlign w:val="bottom"/>
            <w:gridSpan w:val="9"/>
          </w:tcPr>
          <w:p>
            <w:pPr>
              <w:ind w:left="760"/>
              <w:spacing w:after="0"/>
              <w:rPr>
                <w:sz w:val="20"/>
                <w:szCs w:val="20"/>
                <w:color w:val="auto"/>
              </w:rPr>
            </w:pPr>
            <w:r>
              <w:rPr>
                <w:rFonts w:ascii="Arial" w:cs="Arial" w:eastAsia="Arial" w:hAnsi="Arial"/>
                <w:sz w:val="14"/>
                <w:szCs w:val="14"/>
                <w:b w:val="1"/>
                <w:bCs w:val="1"/>
                <w:color w:val="auto"/>
                <w:w w:val="93"/>
              </w:rPr>
              <w:t>Asset and funding index mismatches</w:t>
            </w:r>
          </w:p>
        </w:tc>
        <w:tc>
          <w:tcPr>
            <w:tcW w:w="7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
        </w:trPr>
        <w:tc>
          <w:tcPr>
            <w:tcW w:w="3380" w:type="dxa"/>
            <w:vAlign w:val="bottom"/>
          </w:tcPr>
          <w:p>
            <w:pPr>
              <w:spacing w:after="0" w:line="20" w:lineRule="exact"/>
              <w:rPr>
                <w:sz w:val="1"/>
                <w:szCs w:val="1"/>
                <w:color w:val="auto"/>
              </w:rPr>
            </w:pPr>
          </w:p>
        </w:tc>
        <w:tc>
          <w:tcPr>
            <w:tcW w:w="1980" w:type="dxa"/>
            <w:vAlign w:val="bottom"/>
            <w:tcBorders>
              <w:bottom w:val="single" w:sz="8" w:color="auto"/>
            </w:tcBorders>
            <w:gridSpan w:val="5"/>
          </w:tcPr>
          <w:p>
            <w:pPr>
              <w:spacing w:after="0" w:line="20" w:lineRule="exact"/>
              <w:rPr>
                <w:sz w:val="1"/>
                <w:szCs w:val="1"/>
                <w:color w:val="auto"/>
              </w:rPr>
            </w:pPr>
          </w:p>
        </w:tc>
        <w:tc>
          <w:tcPr>
            <w:tcW w:w="1880" w:type="dxa"/>
            <w:vAlign w:val="bottom"/>
            <w:tcBorders>
              <w:bottom w:val="single" w:sz="8" w:color="auto"/>
            </w:tcBorders>
            <w:gridSpan w:val="4"/>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70"/>
        </w:trPr>
        <w:tc>
          <w:tcPr>
            <w:tcW w:w="3380" w:type="dxa"/>
            <w:vAlign w:val="bottom"/>
          </w:tcPr>
          <w:p>
            <w:pPr>
              <w:spacing w:after="0"/>
              <w:rPr>
                <w:sz w:val="14"/>
                <w:szCs w:val="14"/>
                <w:color w:val="auto"/>
              </w:rPr>
            </w:pPr>
          </w:p>
        </w:tc>
        <w:tc>
          <w:tcPr>
            <w:tcW w:w="1980" w:type="dxa"/>
            <w:vAlign w:val="bottom"/>
            <w:gridSpan w:val="5"/>
          </w:tcPr>
          <w:p>
            <w:pPr>
              <w:jc w:val="center"/>
              <w:ind w:right="100"/>
              <w:spacing w:after="0"/>
              <w:rPr>
                <w:sz w:val="20"/>
                <w:szCs w:val="20"/>
                <w:color w:val="auto"/>
              </w:rPr>
            </w:pPr>
            <w:r>
              <w:rPr>
                <w:rFonts w:ascii="Arial" w:cs="Arial" w:eastAsia="Arial" w:hAnsi="Arial"/>
                <w:sz w:val="14"/>
                <w:szCs w:val="14"/>
                <w:b w:val="1"/>
                <w:bCs w:val="1"/>
                <w:color w:val="auto"/>
                <w:w w:val="91"/>
              </w:rPr>
              <w:t>Change from increase of 100</w:t>
            </w:r>
          </w:p>
        </w:tc>
        <w:tc>
          <w:tcPr>
            <w:tcW w:w="1980" w:type="dxa"/>
            <w:vAlign w:val="bottom"/>
            <w:gridSpan w:val="5"/>
          </w:tcPr>
          <w:p>
            <w:pPr>
              <w:jc w:val="center"/>
              <w:ind w:right="80"/>
              <w:spacing w:after="0"/>
              <w:rPr>
                <w:sz w:val="20"/>
                <w:szCs w:val="20"/>
                <w:color w:val="auto"/>
              </w:rPr>
            </w:pPr>
            <w:r>
              <w:rPr>
                <w:rFonts w:ascii="Arial" w:cs="Arial" w:eastAsia="Arial" w:hAnsi="Arial"/>
                <w:sz w:val="14"/>
                <w:szCs w:val="14"/>
                <w:b w:val="1"/>
                <w:bCs w:val="1"/>
                <w:color w:val="auto"/>
                <w:w w:val="90"/>
              </w:rPr>
              <w:t>Change from increase of 300</w:t>
            </w:r>
          </w:p>
        </w:tc>
        <w:tc>
          <w:tcPr>
            <w:tcW w:w="1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6"/>
        </w:trPr>
        <w:tc>
          <w:tcPr>
            <w:tcW w:w="33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840" w:type="dxa"/>
            <w:vAlign w:val="bottom"/>
            <w:gridSpan w:val="4"/>
          </w:tcPr>
          <w:p>
            <w:pPr>
              <w:jc w:val="center"/>
              <w:ind w:right="240"/>
              <w:spacing w:after="0"/>
              <w:rPr>
                <w:sz w:val="20"/>
                <w:szCs w:val="20"/>
                <w:color w:val="auto"/>
              </w:rPr>
            </w:pPr>
            <w:r>
              <w:rPr>
                <w:rFonts w:ascii="Arial" w:cs="Arial" w:eastAsia="Arial" w:hAnsi="Arial"/>
                <w:sz w:val="14"/>
                <w:szCs w:val="14"/>
                <w:b w:val="1"/>
                <w:bCs w:val="1"/>
                <w:color w:val="auto"/>
                <w:w w:val="88"/>
              </w:rPr>
              <w:t>basis points</w:t>
            </w:r>
          </w:p>
        </w:tc>
        <w:tc>
          <w:tcPr>
            <w:tcW w:w="140" w:type="dxa"/>
            <w:vAlign w:val="bottom"/>
          </w:tcPr>
          <w:p>
            <w:pPr>
              <w:spacing w:after="0"/>
              <w:rPr>
                <w:sz w:val="16"/>
                <w:szCs w:val="16"/>
                <w:color w:val="auto"/>
              </w:rPr>
            </w:pPr>
          </w:p>
        </w:tc>
        <w:tc>
          <w:tcPr>
            <w:tcW w:w="1840" w:type="dxa"/>
            <w:vAlign w:val="bottom"/>
            <w:gridSpan w:val="4"/>
          </w:tcPr>
          <w:p>
            <w:pPr>
              <w:jc w:val="center"/>
              <w:ind w:right="240"/>
              <w:spacing w:after="0"/>
              <w:rPr>
                <w:sz w:val="20"/>
                <w:szCs w:val="20"/>
                <w:color w:val="auto"/>
              </w:rPr>
            </w:pPr>
            <w:r>
              <w:rPr>
                <w:rFonts w:ascii="Arial" w:cs="Arial" w:eastAsia="Arial" w:hAnsi="Arial"/>
                <w:sz w:val="14"/>
                <w:szCs w:val="14"/>
                <w:b w:val="1"/>
                <w:bCs w:val="1"/>
                <w:color w:val="auto"/>
                <w:w w:val="88"/>
              </w:rPr>
              <w:t>basis points</w:t>
            </w:r>
          </w:p>
        </w:tc>
        <w:tc>
          <w:tcPr>
            <w:tcW w:w="120" w:type="dxa"/>
            <w:vAlign w:val="bottom"/>
          </w:tcPr>
          <w:p>
            <w:pPr>
              <w:spacing w:after="0"/>
              <w:rPr>
                <w:sz w:val="16"/>
                <w:szCs w:val="16"/>
                <w:color w:val="auto"/>
              </w:rPr>
            </w:pPr>
          </w:p>
        </w:tc>
        <w:tc>
          <w:tcPr>
            <w:tcW w:w="1940" w:type="dxa"/>
            <w:vAlign w:val="bottom"/>
            <w:gridSpan w:val="5"/>
          </w:tcPr>
          <w:p>
            <w:pPr>
              <w:ind w:left="60"/>
              <w:spacing w:after="0"/>
              <w:rPr>
                <w:sz w:val="20"/>
                <w:szCs w:val="20"/>
                <w:color w:val="auto"/>
              </w:rPr>
            </w:pPr>
            <w:r>
              <w:rPr>
                <w:rFonts w:ascii="Arial" w:cs="Arial" w:eastAsia="Arial" w:hAnsi="Arial"/>
                <w:sz w:val="14"/>
                <w:szCs w:val="14"/>
                <w:b w:val="1"/>
                <w:bCs w:val="1"/>
                <w:color w:val="auto"/>
              </w:rPr>
              <w:t>Increase of 10 basis points</w:t>
            </w:r>
          </w:p>
        </w:tc>
        <w:tc>
          <w:tcPr>
            <w:tcW w:w="120" w:type="dxa"/>
            <w:vAlign w:val="bottom"/>
          </w:tcPr>
          <w:p>
            <w:pPr>
              <w:spacing w:after="0"/>
              <w:rPr>
                <w:sz w:val="16"/>
                <w:szCs w:val="16"/>
                <w:color w:val="auto"/>
              </w:rPr>
            </w:pPr>
          </w:p>
        </w:tc>
        <w:tc>
          <w:tcPr>
            <w:tcW w:w="1820" w:type="dxa"/>
            <w:vAlign w:val="bottom"/>
            <w:gridSpan w:val="4"/>
          </w:tcPr>
          <w:p>
            <w:pPr>
              <w:jc w:val="right"/>
              <w:ind w:right="121"/>
              <w:spacing w:after="0"/>
              <w:rPr>
                <w:sz w:val="20"/>
                <w:szCs w:val="20"/>
                <w:color w:val="auto"/>
              </w:rPr>
            </w:pPr>
            <w:r>
              <w:rPr>
                <w:rFonts w:ascii="Arial" w:cs="Arial" w:eastAsia="Arial" w:hAnsi="Arial"/>
                <w:sz w:val="14"/>
                <w:szCs w:val="14"/>
                <w:b w:val="1"/>
                <w:bCs w:val="1"/>
                <w:color w:val="auto"/>
                <w:w w:val="90"/>
              </w:rPr>
              <w:t>Increase of 30 basis points</w:t>
            </w:r>
          </w:p>
        </w:tc>
        <w:tc>
          <w:tcPr>
            <w:tcW w:w="0" w:type="dxa"/>
            <w:vAlign w:val="bottom"/>
          </w:tcPr>
          <w:p>
            <w:pPr>
              <w:spacing w:after="0"/>
              <w:rPr>
                <w:sz w:val="1"/>
                <w:szCs w:val="1"/>
                <w:color w:val="auto"/>
              </w:rPr>
            </w:pPr>
          </w:p>
        </w:tc>
      </w:tr>
      <w:tr>
        <w:trPr>
          <w:trHeight w:val="23"/>
        </w:trPr>
        <w:tc>
          <w:tcPr>
            <w:tcW w:w="33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gridSpan w:val="2"/>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gridSpan w:val="3"/>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gridSpan w:val="3"/>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4"/>
        </w:trPr>
        <w:tc>
          <w:tcPr>
            <w:tcW w:w="33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40" w:type="dxa"/>
            <w:vAlign w:val="bottom"/>
            <w:gridSpan w:val="2"/>
          </w:tcPr>
          <w:p>
            <w:pPr>
              <w:ind w:left="80"/>
              <w:spacing w:after="0"/>
              <w:rPr>
                <w:sz w:val="20"/>
                <w:szCs w:val="20"/>
                <w:color w:val="auto"/>
              </w:rPr>
            </w:pPr>
            <w:r>
              <w:rPr>
                <w:rFonts w:ascii="Arial" w:cs="Arial" w:eastAsia="Arial" w:hAnsi="Arial"/>
                <w:sz w:val="14"/>
                <w:szCs w:val="14"/>
                <w:b w:val="1"/>
                <w:bCs w:val="1"/>
                <w:color w:val="auto"/>
              </w:rPr>
              <w:t>Dollars</w:t>
            </w:r>
          </w:p>
        </w:tc>
        <w:tc>
          <w:tcPr>
            <w:tcW w:w="1000" w:type="dxa"/>
            <w:vAlign w:val="bottom"/>
            <w:gridSpan w:val="2"/>
          </w:tcPr>
          <w:p>
            <w:pPr>
              <w:ind w:left="220"/>
              <w:spacing w:after="0"/>
              <w:rPr>
                <w:sz w:val="20"/>
                <w:szCs w:val="20"/>
                <w:color w:val="auto"/>
              </w:rPr>
            </w:pPr>
            <w:r>
              <w:rPr>
                <w:rFonts w:ascii="Arial" w:cs="Arial" w:eastAsia="Arial" w:hAnsi="Arial"/>
                <w:sz w:val="14"/>
                <w:szCs w:val="14"/>
                <w:b w:val="1"/>
                <w:bCs w:val="1"/>
                <w:color w:val="auto"/>
              </w:rPr>
              <w:t>Percent</w:t>
            </w:r>
          </w:p>
        </w:tc>
        <w:tc>
          <w:tcPr>
            <w:tcW w:w="140" w:type="dxa"/>
            <w:vAlign w:val="bottom"/>
          </w:tcPr>
          <w:p>
            <w:pPr>
              <w:spacing w:after="0"/>
              <w:rPr>
                <w:sz w:val="15"/>
                <w:szCs w:val="15"/>
                <w:color w:val="auto"/>
              </w:rPr>
            </w:pPr>
          </w:p>
        </w:tc>
        <w:tc>
          <w:tcPr>
            <w:tcW w:w="740" w:type="dxa"/>
            <w:vAlign w:val="bottom"/>
          </w:tcPr>
          <w:p>
            <w:pPr>
              <w:jc w:val="right"/>
              <w:ind w:right="160"/>
              <w:spacing w:after="0"/>
              <w:rPr>
                <w:sz w:val="20"/>
                <w:szCs w:val="20"/>
                <w:color w:val="auto"/>
              </w:rPr>
            </w:pPr>
            <w:r>
              <w:rPr>
                <w:rFonts w:ascii="Arial" w:cs="Arial" w:eastAsia="Arial" w:hAnsi="Arial"/>
                <w:sz w:val="14"/>
                <w:szCs w:val="14"/>
                <w:b w:val="1"/>
                <w:bCs w:val="1"/>
                <w:color w:val="auto"/>
              </w:rPr>
              <w:t>Dollars</w:t>
            </w:r>
          </w:p>
        </w:tc>
        <w:tc>
          <w:tcPr>
            <w:tcW w:w="100" w:type="dxa"/>
            <w:vAlign w:val="bottom"/>
          </w:tcPr>
          <w:p>
            <w:pPr>
              <w:spacing w:after="0"/>
              <w:rPr>
                <w:sz w:val="15"/>
                <w:szCs w:val="15"/>
                <w:color w:val="auto"/>
              </w:rPr>
            </w:pPr>
          </w:p>
        </w:tc>
        <w:tc>
          <w:tcPr>
            <w:tcW w:w="1000" w:type="dxa"/>
            <w:vAlign w:val="bottom"/>
            <w:gridSpan w:val="2"/>
          </w:tcPr>
          <w:p>
            <w:pPr>
              <w:ind w:left="220"/>
              <w:spacing w:after="0"/>
              <w:rPr>
                <w:sz w:val="20"/>
                <w:szCs w:val="20"/>
                <w:color w:val="auto"/>
              </w:rPr>
            </w:pPr>
            <w:r>
              <w:rPr>
                <w:rFonts w:ascii="Arial" w:cs="Arial" w:eastAsia="Arial" w:hAnsi="Arial"/>
                <w:sz w:val="14"/>
                <w:szCs w:val="14"/>
                <w:b w:val="1"/>
                <w:bCs w:val="1"/>
                <w:color w:val="auto"/>
              </w:rPr>
              <w:t>Percent</w:t>
            </w:r>
          </w:p>
        </w:tc>
        <w:tc>
          <w:tcPr>
            <w:tcW w:w="120" w:type="dxa"/>
            <w:vAlign w:val="bottom"/>
          </w:tcPr>
          <w:p>
            <w:pPr>
              <w:spacing w:after="0"/>
              <w:rPr>
                <w:sz w:val="15"/>
                <w:szCs w:val="15"/>
                <w:color w:val="auto"/>
              </w:rPr>
            </w:pPr>
          </w:p>
        </w:tc>
        <w:tc>
          <w:tcPr>
            <w:tcW w:w="1080" w:type="dxa"/>
            <w:vAlign w:val="bottom"/>
            <w:gridSpan w:val="3"/>
          </w:tcPr>
          <w:p>
            <w:pPr>
              <w:ind w:left="120"/>
              <w:spacing w:after="0"/>
              <w:rPr>
                <w:sz w:val="20"/>
                <w:szCs w:val="20"/>
                <w:color w:val="auto"/>
              </w:rPr>
            </w:pPr>
            <w:r>
              <w:rPr>
                <w:rFonts w:ascii="Arial" w:cs="Arial" w:eastAsia="Arial" w:hAnsi="Arial"/>
                <w:sz w:val="14"/>
                <w:szCs w:val="14"/>
                <w:b w:val="1"/>
                <w:bCs w:val="1"/>
                <w:color w:val="auto"/>
              </w:rPr>
              <w:t>Dollars</w:t>
            </w:r>
          </w:p>
        </w:tc>
        <w:tc>
          <w:tcPr>
            <w:tcW w:w="860" w:type="dxa"/>
            <w:vAlign w:val="bottom"/>
            <w:gridSpan w:val="2"/>
          </w:tcPr>
          <w:p>
            <w:pPr>
              <w:ind w:left="60"/>
              <w:spacing w:after="0"/>
              <w:rPr>
                <w:sz w:val="20"/>
                <w:szCs w:val="20"/>
                <w:color w:val="auto"/>
              </w:rPr>
            </w:pPr>
            <w:r>
              <w:rPr>
                <w:rFonts w:ascii="Arial" w:cs="Arial" w:eastAsia="Arial" w:hAnsi="Arial"/>
                <w:sz w:val="14"/>
                <w:szCs w:val="14"/>
                <w:b w:val="1"/>
                <w:bCs w:val="1"/>
                <w:color w:val="auto"/>
              </w:rPr>
              <w:t>Percent</w:t>
            </w:r>
          </w:p>
        </w:tc>
        <w:tc>
          <w:tcPr>
            <w:tcW w:w="120" w:type="dxa"/>
            <w:vAlign w:val="bottom"/>
          </w:tcPr>
          <w:p>
            <w:pPr>
              <w:spacing w:after="0"/>
              <w:rPr>
                <w:sz w:val="15"/>
                <w:szCs w:val="15"/>
                <w:color w:val="auto"/>
              </w:rPr>
            </w:pPr>
          </w:p>
        </w:tc>
        <w:tc>
          <w:tcPr>
            <w:tcW w:w="1040" w:type="dxa"/>
            <w:vAlign w:val="bottom"/>
            <w:gridSpan w:val="3"/>
          </w:tcPr>
          <w:p>
            <w:pPr>
              <w:ind w:left="100"/>
              <w:spacing w:after="0"/>
              <w:rPr>
                <w:sz w:val="20"/>
                <w:szCs w:val="20"/>
                <w:color w:val="auto"/>
              </w:rPr>
            </w:pPr>
            <w:r>
              <w:rPr>
                <w:rFonts w:ascii="Arial" w:cs="Arial" w:eastAsia="Arial" w:hAnsi="Arial"/>
                <w:sz w:val="14"/>
                <w:szCs w:val="14"/>
                <w:b w:val="1"/>
                <w:bCs w:val="1"/>
                <w:color w:val="auto"/>
              </w:rPr>
              <w:t>Dollars</w:t>
            </w:r>
          </w:p>
        </w:tc>
        <w:tc>
          <w:tcPr>
            <w:tcW w:w="780" w:type="dxa"/>
            <w:vAlign w:val="bottom"/>
          </w:tcPr>
          <w:p>
            <w:pPr>
              <w:jc w:val="right"/>
              <w:ind w:right="181"/>
              <w:spacing w:after="0"/>
              <w:rPr>
                <w:sz w:val="20"/>
                <w:szCs w:val="20"/>
                <w:color w:val="auto"/>
              </w:rPr>
            </w:pPr>
            <w:r>
              <w:rPr>
                <w:rFonts w:ascii="Arial" w:cs="Arial" w:eastAsia="Arial" w:hAnsi="Arial"/>
                <w:sz w:val="14"/>
                <w:szCs w:val="14"/>
                <w:b w:val="1"/>
                <w:bCs w:val="1"/>
                <w:color w:val="auto"/>
              </w:rPr>
              <w:t>Percent</w:t>
            </w:r>
          </w:p>
        </w:tc>
        <w:tc>
          <w:tcPr>
            <w:tcW w:w="0" w:type="dxa"/>
            <w:vAlign w:val="bottom"/>
          </w:tcPr>
          <w:p>
            <w:pPr>
              <w:spacing w:after="0"/>
              <w:rPr>
                <w:sz w:val="1"/>
                <w:szCs w:val="1"/>
                <w:color w:val="auto"/>
              </w:rPr>
            </w:pPr>
          </w:p>
        </w:tc>
      </w:tr>
      <w:tr>
        <w:trPr>
          <w:trHeight w:val="23"/>
        </w:trPr>
        <w:tc>
          <w:tcPr>
            <w:tcW w:w="33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300" w:type="dxa"/>
            <w:vAlign w:val="bottom"/>
            <w:tcBorders>
              <w:bottom w:val="single" w:sz="8" w:color="auto"/>
            </w:tcBorders>
            <w:gridSpan w:val="7"/>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4"/>
        </w:trPr>
        <w:tc>
          <w:tcPr>
            <w:tcW w:w="33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300" w:type="dxa"/>
            <w:vAlign w:val="bottom"/>
            <w:gridSpan w:val="7"/>
          </w:tcPr>
          <w:p>
            <w:pPr>
              <w:spacing w:after="0"/>
              <w:rPr>
                <w:sz w:val="20"/>
                <w:szCs w:val="20"/>
                <w:color w:val="auto"/>
              </w:rPr>
            </w:pPr>
            <w:r>
              <w:rPr>
                <w:rFonts w:ascii="Arial" w:cs="Arial" w:eastAsia="Arial" w:hAnsi="Arial"/>
                <w:sz w:val="14"/>
                <w:szCs w:val="14"/>
                <w:b w:val="1"/>
                <w:bCs w:val="1"/>
                <w:color w:val="auto"/>
                <w:w w:val="94"/>
              </w:rPr>
              <w:t>Three months ended March 31, 2019</w:t>
            </w:r>
          </w:p>
        </w:tc>
        <w:tc>
          <w:tcPr>
            <w:tcW w:w="7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
        </w:trPr>
        <w:tc>
          <w:tcPr>
            <w:tcW w:w="3380" w:type="dxa"/>
            <w:vAlign w:val="bottom"/>
            <w:vMerge w:val="restart"/>
          </w:tcPr>
          <w:p>
            <w:pPr>
              <w:jc w:val="center"/>
              <w:ind w:right="2295"/>
              <w:spacing w:after="0"/>
              <w:rPr>
                <w:sz w:val="20"/>
                <w:szCs w:val="20"/>
                <w:color w:val="auto"/>
              </w:rPr>
            </w:pPr>
            <w:r>
              <w:rPr>
                <w:rFonts w:ascii="Arial" w:cs="Arial" w:eastAsia="Arial" w:hAnsi="Arial"/>
                <w:sz w:val="13"/>
                <w:szCs w:val="13"/>
                <w:color w:val="auto"/>
                <w:w w:val="90"/>
              </w:rPr>
              <w:t>Effect on earnings:</w:t>
            </w:r>
          </w:p>
        </w:tc>
        <w:tc>
          <w:tcPr>
            <w:tcW w:w="1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0"/>
        </w:trPr>
        <w:tc>
          <w:tcPr>
            <w:tcW w:w="3380" w:type="dxa"/>
            <w:vAlign w:val="bottom"/>
            <w:vMerge w:val="continue"/>
          </w:tcPr>
          <w:p>
            <w:pPr>
              <w:spacing w:after="0"/>
              <w:rPr>
                <w:sz w:val="15"/>
                <w:szCs w:val="15"/>
                <w:color w:val="auto"/>
              </w:rPr>
            </w:pPr>
          </w:p>
        </w:tc>
        <w:tc>
          <w:tcPr>
            <w:tcW w:w="1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7"/>
        </w:trPr>
        <w:tc>
          <w:tcPr>
            <w:tcW w:w="3380" w:type="dxa"/>
            <w:vAlign w:val="bottom"/>
          </w:tcPr>
          <w:p>
            <w:pPr>
              <w:spacing w:after="0"/>
              <w:rPr>
                <w:sz w:val="2"/>
                <w:szCs w:val="2"/>
                <w:color w:val="auto"/>
              </w:rPr>
            </w:pPr>
          </w:p>
        </w:tc>
        <w:tc>
          <w:tcPr>
            <w:tcW w:w="14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7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33"/>
        </w:trPr>
        <w:tc>
          <w:tcPr>
            <w:tcW w:w="3380" w:type="dxa"/>
            <w:vAlign w:val="bottom"/>
            <w:shd w:val="clear" w:color="auto" w:fill="CCEEFF"/>
          </w:tcPr>
          <w:p>
            <w:pPr>
              <w:ind w:left="100"/>
              <w:spacing w:after="0" w:line="134" w:lineRule="exact"/>
              <w:rPr>
                <w:sz w:val="20"/>
                <w:szCs w:val="20"/>
                <w:color w:val="auto"/>
              </w:rPr>
            </w:pPr>
            <w:r>
              <w:rPr>
                <w:rFonts w:ascii="Arial" w:cs="Arial" w:eastAsia="Arial" w:hAnsi="Arial"/>
                <w:sz w:val="13"/>
                <w:szCs w:val="13"/>
                <w:color w:val="auto"/>
                <w:w w:val="96"/>
              </w:rPr>
              <w:t>Decrease in pre-tax net income before impact of derivative</w:t>
            </w:r>
          </w:p>
        </w:tc>
        <w:tc>
          <w:tcPr>
            <w:tcW w:w="140" w:type="dxa"/>
            <w:vAlign w:val="bottom"/>
            <w:shd w:val="clear" w:color="auto" w:fill="CCEEFF"/>
          </w:tcPr>
          <w:p>
            <w:pPr>
              <w:spacing w:after="0"/>
              <w:rPr>
                <w:sz w:val="11"/>
                <w:szCs w:val="11"/>
                <w:color w:val="auto"/>
              </w:rPr>
            </w:pPr>
          </w:p>
        </w:tc>
        <w:tc>
          <w:tcPr>
            <w:tcW w:w="7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68"/>
        </w:trPr>
        <w:tc>
          <w:tcPr>
            <w:tcW w:w="3380" w:type="dxa"/>
            <w:vAlign w:val="bottom"/>
            <w:shd w:val="clear" w:color="auto" w:fill="CCEEFF"/>
          </w:tcPr>
          <w:p>
            <w:pPr>
              <w:jc w:val="center"/>
              <w:ind w:right="2295"/>
              <w:spacing w:after="0"/>
              <w:rPr>
                <w:sz w:val="20"/>
                <w:szCs w:val="20"/>
                <w:color w:val="auto"/>
              </w:rPr>
            </w:pPr>
            <w:r>
              <w:rPr>
                <w:rFonts w:ascii="Arial" w:cs="Arial" w:eastAsia="Arial" w:hAnsi="Arial"/>
                <w:sz w:val="13"/>
                <w:szCs w:val="13"/>
                <w:color w:val="auto"/>
                <w:w w:val="87"/>
              </w:rPr>
              <w:t>settlements</w:t>
            </w:r>
          </w:p>
        </w:tc>
        <w:tc>
          <w:tcPr>
            <w:tcW w:w="140" w:type="dxa"/>
            <w:vAlign w:val="bottom"/>
            <w:shd w:val="clear" w:color="auto" w:fill="CCEEFF"/>
          </w:tcPr>
          <w:p>
            <w:pPr>
              <w:jc w:val="right"/>
              <w:ind w:right="1"/>
              <w:spacing w:after="0"/>
              <w:rPr>
                <w:sz w:val="20"/>
                <w:szCs w:val="20"/>
                <w:color w:val="auto"/>
              </w:rPr>
            </w:pPr>
            <w:r>
              <w:rPr>
                <w:rFonts w:ascii="Arial" w:cs="Arial" w:eastAsia="Arial" w:hAnsi="Arial"/>
                <w:sz w:val="11"/>
                <w:szCs w:val="11"/>
                <w:color w:val="auto"/>
                <w:w w:val="97"/>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1"/>
                <w:szCs w:val="11"/>
                <w:color w:val="auto"/>
              </w:rPr>
              <w:t>(3,470)</w:t>
            </w:r>
          </w:p>
        </w:tc>
        <w:tc>
          <w:tcPr>
            <w:tcW w:w="100" w:type="dxa"/>
            <w:vAlign w:val="bottom"/>
            <w:shd w:val="clear" w:color="auto" w:fill="CCEEFF"/>
          </w:tcPr>
          <w:p>
            <w:pPr>
              <w:spacing w:after="0"/>
              <w:rPr>
                <w:sz w:val="14"/>
                <w:szCs w:val="14"/>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(6.5) %</w:t>
            </w: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jc w:val="right"/>
              <w:ind w:right="1"/>
              <w:spacing w:after="0"/>
              <w:rPr>
                <w:sz w:val="20"/>
                <w:szCs w:val="20"/>
                <w:color w:val="auto"/>
              </w:rPr>
            </w:pPr>
            <w:r>
              <w:rPr>
                <w:rFonts w:ascii="Arial" w:cs="Arial" w:eastAsia="Arial" w:hAnsi="Arial"/>
                <w:sz w:val="11"/>
                <w:szCs w:val="11"/>
                <w:color w:val="auto"/>
                <w:w w:val="97"/>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1"/>
                <w:szCs w:val="11"/>
                <w:color w:val="auto"/>
              </w:rPr>
              <w:t>(5,284)</w:t>
            </w: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1"/>
                <w:szCs w:val="11"/>
                <w:color w:val="auto"/>
              </w:rPr>
              <w:t>(10.0) %</w:t>
            </w: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1"/>
                <w:szCs w:val="11"/>
                <w:color w:val="auto"/>
                <w:w w:val="97"/>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(2,571)</w:t>
            </w: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(4.9) %</w:t>
            </w: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jc w:val="right"/>
              <w:ind w:right="8"/>
              <w:spacing w:after="0"/>
              <w:rPr>
                <w:sz w:val="20"/>
                <w:szCs w:val="20"/>
                <w:color w:val="auto"/>
              </w:rPr>
            </w:pPr>
            <w:r>
              <w:rPr>
                <w:rFonts w:ascii="Arial" w:cs="Arial" w:eastAsia="Arial" w:hAnsi="Arial"/>
                <w:sz w:val="10"/>
                <w:szCs w:val="10"/>
                <w:color w:val="auto"/>
                <w:w w:val="71"/>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1"/>
                <w:szCs w:val="11"/>
                <w:color w:val="auto"/>
              </w:rPr>
              <w:t>(7,713)</w:t>
            </w: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(14.5) %</w:t>
            </w:r>
          </w:p>
        </w:tc>
        <w:tc>
          <w:tcPr>
            <w:tcW w:w="0" w:type="dxa"/>
            <w:vAlign w:val="bottom"/>
          </w:tcPr>
          <w:p>
            <w:pPr>
              <w:spacing w:after="0"/>
              <w:rPr>
                <w:sz w:val="1"/>
                <w:szCs w:val="1"/>
                <w:color w:val="auto"/>
              </w:rPr>
            </w:pPr>
          </w:p>
        </w:tc>
      </w:tr>
      <w:tr>
        <w:trPr>
          <w:trHeight w:val="170"/>
        </w:trPr>
        <w:tc>
          <w:tcPr>
            <w:tcW w:w="3380" w:type="dxa"/>
            <w:vAlign w:val="bottom"/>
            <w:tcBorders>
              <w:bottom w:val="single" w:sz="8" w:color="CCEEFF"/>
            </w:tcBorders>
          </w:tcPr>
          <w:p>
            <w:pPr>
              <w:ind w:left="100"/>
              <w:spacing w:after="0"/>
              <w:rPr>
                <w:sz w:val="20"/>
                <w:szCs w:val="20"/>
                <w:color w:val="auto"/>
              </w:rPr>
            </w:pPr>
            <w:r>
              <w:rPr>
                <w:rFonts w:ascii="Arial" w:cs="Arial" w:eastAsia="Arial" w:hAnsi="Arial"/>
                <w:sz w:val="13"/>
                <w:szCs w:val="13"/>
                <w:color w:val="auto"/>
              </w:rPr>
              <w:t>Impact of derivative settlements</w:t>
            </w:r>
          </w:p>
        </w:tc>
        <w:tc>
          <w:tcPr>
            <w:tcW w:w="14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9,123</w:t>
            </w:r>
          </w:p>
        </w:tc>
        <w:tc>
          <w:tcPr>
            <w:tcW w:w="100" w:type="dxa"/>
            <w:vAlign w:val="bottom"/>
            <w:tcBorders>
              <w:bottom w:val="single" w:sz="8" w:color="CCEEFF"/>
            </w:tcBorders>
          </w:tcPr>
          <w:p>
            <w:pPr>
              <w:spacing w:after="0"/>
              <w:rPr>
                <w:sz w:val="14"/>
                <w:szCs w:val="14"/>
                <w:color w:val="auto"/>
              </w:rPr>
            </w:pPr>
          </w:p>
        </w:tc>
        <w:tc>
          <w:tcPr>
            <w:tcW w:w="900" w:type="dxa"/>
            <w:vAlign w:val="bottom"/>
            <w:tcBorders>
              <w:bottom w:val="single" w:sz="8" w:color="auto"/>
            </w:tcBorders>
          </w:tcPr>
          <w:p>
            <w:pPr>
              <w:jc w:val="right"/>
              <w:ind w:right="99"/>
              <w:spacing w:after="0"/>
              <w:rPr>
                <w:sz w:val="20"/>
                <w:szCs w:val="20"/>
                <w:color w:val="auto"/>
              </w:rPr>
            </w:pPr>
            <w:r>
              <w:rPr>
                <w:rFonts w:ascii="Arial" w:cs="Arial" w:eastAsia="Arial" w:hAnsi="Arial"/>
                <w:sz w:val="11"/>
                <w:szCs w:val="11"/>
                <w:color w:val="auto"/>
              </w:rPr>
              <w:t>17.2</w:t>
            </w:r>
          </w:p>
        </w:tc>
        <w:tc>
          <w:tcPr>
            <w:tcW w:w="100" w:type="dxa"/>
            <w:vAlign w:val="bottom"/>
            <w:tcBorders>
              <w:bottom w:val="single" w:sz="8" w:color="CCEEFF"/>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27,370</w:t>
            </w:r>
          </w:p>
        </w:tc>
        <w:tc>
          <w:tcPr>
            <w:tcW w:w="100" w:type="dxa"/>
            <w:vAlign w:val="bottom"/>
            <w:tcBorders>
              <w:bottom w:val="single" w:sz="8" w:color="CCEEFF"/>
            </w:tcBorders>
          </w:tcPr>
          <w:p>
            <w:pPr>
              <w:spacing w:after="0"/>
              <w:rPr>
                <w:sz w:val="14"/>
                <w:szCs w:val="14"/>
                <w:color w:val="auto"/>
              </w:rPr>
            </w:pPr>
          </w:p>
        </w:tc>
        <w:tc>
          <w:tcPr>
            <w:tcW w:w="900" w:type="dxa"/>
            <w:vAlign w:val="bottom"/>
            <w:tcBorders>
              <w:bottom w:val="single" w:sz="8" w:color="auto"/>
            </w:tcBorders>
          </w:tcPr>
          <w:p>
            <w:pPr>
              <w:jc w:val="right"/>
              <w:ind w:right="78"/>
              <w:spacing w:after="0"/>
              <w:rPr>
                <w:sz w:val="20"/>
                <w:szCs w:val="20"/>
                <w:color w:val="auto"/>
              </w:rPr>
            </w:pPr>
            <w:r>
              <w:rPr>
                <w:rFonts w:ascii="Arial" w:cs="Arial" w:eastAsia="Arial" w:hAnsi="Arial"/>
                <w:sz w:val="11"/>
                <w:szCs w:val="11"/>
                <w:color w:val="auto"/>
              </w:rPr>
              <w:t>51.6</w:t>
            </w:r>
          </w:p>
        </w:tc>
        <w:tc>
          <w:tcPr>
            <w:tcW w:w="10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1,849</w:t>
            </w:r>
          </w:p>
        </w:tc>
        <w:tc>
          <w:tcPr>
            <w:tcW w:w="10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101"/>
              <w:spacing w:after="0"/>
              <w:rPr>
                <w:sz w:val="20"/>
                <w:szCs w:val="20"/>
                <w:color w:val="auto"/>
              </w:rPr>
            </w:pPr>
            <w:r>
              <w:rPr>
                <w:rFonts w:ascii="Arial" w:cs="Arial" w:eastAsia="Arial" w:hAnsi="Arial"/>
                <w:sz w:val="11"/>
                <w:szCs w:val="11"/>
                <w:color w:val="auto"/>
              </w:rPr>
              <w:t>3.5</w:t>
            </w:r>
          </w:p>
        </w:tc>
        <w:tc>
          <w:tcPr>
            <w:tcW w:w="10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5,548</w:t>
            </w:r>
          </w:p>
        </w:tc>
        <w:tc>
          <w:tcPr>
            <w:tcW w:w="10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ind w:right="101"/>
              <w:spacing w:after="0"/>
              <w:rPr>
                <w:sz w:val="20"/>
                <w:szCs w:val="20"/>
                <w:color w:val="auto"/>
              </w:rPr>
            </w:pPr>
            <w:r>
              <w:rPr>
                <w:rFonts w:ascii="Arial" w:cs="Arial" w:eastAsia="Arial" w:hAnsi="Arial"/>
                <w:sz w:val="11"/>
                <w:szCs w:val="11"/>
                <w:color w:val="auto"/>
              </w:rPr>
              <w:t>10.4</w:t>
            </w:r>
          </w:p>
        </w:tc>
        <w:tc>
          <w:tcPr>
            <w:tcW w:w="0" w:type="dxa"/>
            <w:vAlign w:val="bottom"/>
          </w:tcPr>
          <w:p>
            <w:pPr>
              <w:spacing w:after="0"/>
              <w:rPr>
                <w:sz w:val="1"/>
                <w:szCs w:val="1"/>
                <w:color w:val="auto"/>
              </w:rPr>
            </w:pPr>
          </w:p>
        </w:tc>
      </w:tr>
      <w:tr>
        <w:trPr>
          <w:trHeight w:val="172"/>
        </w:trPr>
        <w:tc>
          <w:tcPr>
            <w:tcW w:w="3380" w:type="dxa"/>
            <w:vAlign w:val="bottom"/>
            <w:shd w:val="clear" w:color="auto" w:fill="CCEEFF"/>
          </w:tcPr>
          <w:p>
            <w:pPr>
              <w:ind w:left="180"/>
              <w:spacing w:after="0"/>
              <w:rPr>
                <w:sz w:val="20"/>
                <w:szCs w:val="20"/>
                <w:color w:val="auto"/>
              </w:rPr>
            </w:pPr>
            <w:r>
              <w:rPr>
                <w:rFonts w:ascii="Arial" w:cs="Arial" w:eastAsia="Arial" w:hAnsi="Arial"/>
                <w:sz w:val="13"/>
                <w:szCs w:val="13"/>
                <w:color w:val="auto"/>
              </w:rPr>
              <w:t>Increase (decrease) in net income before taxes</w:t>
            </w:r>
          </w:p>
        </w:tc>
        <w:tc>
          <w:tcPr>
            <w:tcW w:w="140" w:type="dxa"/>
            <w:vAlign w:val="bottom"/>
            <w:shd w:val="clear" w:color="auto" w:fill="CCEEFF"/>
          </w:tcPr>
          <w:p>
            <w:pPr>
              <w:jc w:val="right"/>
              <w:ind w:right="1"/>
              <w:spacing w:after="0"/>
              <w:rPr>
                <w:sz w:val="20"/>
                <w:szCs w:val="20"/>
                <w:color w:val="auto"/>
              </w:rPr>
            </w:pPr>
            <w:r>
              <w:rPr>
                <w:rFonts w:ascii="Arial" w:cs="Arial" w:eastAsia="Arial" w:hAnsi="Arial"/>
                <w:sz w:val="11"/>
                <w:szCs w:val="11"/>
                <w:color w:val="auto"/>
                <w:w w:val="97"/>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1"/>
                <w:szCs w:val="11"/>
                <w:color w:val="auto"/>
              </w:rPr>
              <w:t>5,653</w:t>
            </w:r>
          </w:p>
        </w:tc>
        <w:tc>
          <w:tcPr>
            <w:tcW w:w="100" w:type="dxa"/>
            <w:vAlign w:val="bottom"/>
            <w:shd w:val="clear" w:color="auto" w:fill="CCEEFF"/>
          </w:tcPr>
          <w:p>
            <w:pPr>
              <w:spacing w:after="0"/>
              <w:rPr>
                <w:sz w:val="14"/>
                <w:szCs w:val="14"/>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10.7 %</w:t>
            </w: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jc w:val="right"/>
              <w:ind w:right="1"/>
              <w:spacing w:after="0"/>
              <w:rPr>
                <w:sz w:val="20"/>
                <w:szCs w:val="20"/>
                <w:color w:val="auto"/>
              </w:rPr>
            </w:pPr>
            <w:r>
              <w:rPr>
                <w:rFonts w:ascii="Arial" w:cs="Arial" w:eastAsia="Arial" w:hAnsi="Arial"/>
                <w:sz w:val="11"/>
                <w:szCs w:val="11"/>
                <w:color w:val="auto"/>
                <w:w w:val="97"/>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1"/>
                <w:szCs w:val="11"/>
                <w:color w:val="auto"/>
              </w:rPr>
              <w:t>22,086</w:t>
            </w: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1"/>
                <w:szCs w:val="11"/>
                <w:color w:val="auto"/>
              </w:rPr>
              <w:t>41.6 %</w:t>
            </w: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1"/>
                <w:szCs w:val="11"/>
                <w:color w:val="auto"/>
                <w:w w:val="97"/>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(722)</w:t>
            </w: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(1.4) %</w:t>
            </w: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jc w:val="right"/>
              <w:ind w:right="8"/>
              <w:spacing w:after="0"/>
              <w:rPr>
                <w:sz w:val="20"/>
                <w:szCs w:val="20"/>
                <w:color w:val="auto"/>
              </w:rPr>
            </w:pPr>
            <w:r>
              <w:rPr>
                <w:rFonts w:ascii="Arial" w:cs="Arial" w:eastAsia="Arial" w:hAnsi="Arial"/>
                <w:sz w:val="10"/>
                <w:szCs w:val="10"/>
                <w:color w:val="auto"/>
                <w:w w:val="71"/>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1"/>
                <w:szCs w:val="11"/>
                <w:color w:val="auto"/>
              </w:rPr>
              <w:t>(2,165)</w:t>
            </w: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1"/>
                <w:szCs w:val="11"/>
                <w:color w:val="auto"/>
              </w:rPr>
              <w:t>(4.1) %</w:t>
            </w:r>
          </w:p>
        </w:tc>
        <w:tc>
          <w:tcPr>
            <w:tcW w:w="0" w:type="dxa"/>
            <w:vAlign w:val="bottom"/>
          </w:tcPr>
          <w:p>
            <w:pPr>
              <w:spacing w:after="0"/>
              <w:rPr>
                <w:sz w:val="1"/>
                <w:szCs w:val="1"/>
                <w:color w:val="auto"/>
              </w:rPr>
            </w:pPr>
          </w:p>
        </w:tc>
      </w:tr>
      <w:tr>
        <w:trPr>
          <w:trHeight w:val="20"/>
        </w:trPr>
        <w:tc>
          <w:tcPr>
            <w:tcW w:w="3380" w:type="dxa"/>
            <w:vAlign w:val="bottom"/>
            <w:tcBorders>
              <w:top w:val="single" w:sz="8" w:color="CCEEFF"/>
              <w:bottom w:val="single" w:sz="8" w:color="CCEEFF"/>
            </w:tcBorders>
            <w:vMerge w:val="restart"/>
          </w:tcPr>
          <w:p>
            <w:pPr>
              <w:ind w:left="100"/>
              <w:spacing w:after="0"/>
              <w:rPr>
                <w:sz w:val="20"/>
                <w:szCs w:val="20"/>
                <w:color w:val="auto"/>
              </w:rPr>
            </w:pPr>
            <w:r>
              <w:rPr>
                <w:rFonts w:ascii="Arial" w:cs="Arial" w:eastAsia="Arial" w:hAnsi="Arial"/>
                <w:sz w:val="13"/>
                <w:szCs w:val="13"/>
                <w:color w:val="auto"/>
                <w:w w:val="95"/>
              </w:rPr>
              <w:t>Increase (decrease) in basic and diluted earnings per share</w:t>
            </w:r>
          </w:p>
        </w:tc>
        <w:tc>
          <w:tcPr>
            <w:tcW w:w="1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3"/>
        </w:trPr>
        <w:tc>
          <w:tcPr>
            <w:tcW w:w="3380" w:type="dxa"/>
            <w:vAlign w:val="bottom"/>
            <w:vMerge w:val="continue"/>
          </w:tcPr>
          <w:p>
            <w:pPr>
              <w:spacing w:after="0"/>
              <w:rPr>
                <w:sz w:val="10"/>
                <w:szCs w:val="10"/>
                <w:color w:val="auto"/>
              </w:rPr>
            </w:pPr>
          </w:p>
        </w:tc>
        <w:tc>
          <w:tcPr>
            <w:tcW w:w="140" w:type="dxa"/>
            <w:vAlign w:val="bottom"/>
            <w:tcBorders>
              <w:bottom w:val="single" w:sz="8" w:color="auto"/>
            </w:tcBorders>
          </w:tcPr>
          <w:p>
            <w:pPr>
              <w:jc w:val="right"/>
              <w:ind w:right="1"/>
              <w:spacing w:after="0" w:line="123" w:lineRule="exact"/>
              <w:rPr>
                <w:sz w:val="20"/>
                <w:szCs w:val="20"/>
                <w:color w:val="auto"/>
              </w:rPr>
            </w:pPr>
            <w:r>
              <w:rPr>
                <w:rFonts w:ascii="Arial" w:cs="Arial" w:eastAsia="Arial" w:hAnsi="Arial"/>
                <w:sz w:val="11"/>
                <w:szCs w:val="11"/>
                <w:color w:val="auto"/>
                <w:w w:val="97"/>
              </w:rPr>
              <w:t>$</w:t>
            </w:r>
          </w:p>
        </w:tc>
        <w:tc>
          <w:tcPr>
            <w:tcW w:w="740" w:type="dxa"/>
            <w:vAlign w:val="bottom"/>
            <w:tcBorders>
              <w:bottom w:val="single" w:sz="8" w:color="auto"/>
            </w:tcBorders>
          </w:tcPr>
          <w:p>
            <w:pPr>
              <w:jc w:val="right"/>
              <w:spacing w:after="0" w:line="123" w:lineRule="exact"/>
              <w:rPr>
                <w:sz w:val="20"/>
                <w:szCs w:val="20"/>
                <w:color w:val="auto"/>
              </w:rPr>
            </w:pPr>
            <w:r>
              <w:rPr>
                <w:rFonts w:ascii="Arial" w:cs="Arial" w:eastAsia="Arial" w:hAnsi="Arial"/>
                <w:sz w:val="11"/>
                <w:szCs w:val="11"/>
                <w:color w:val="auto"/>
              </w:rPr>
              <w:t>0.11</w:t>
            </w:r>
          </w:p>
        </w:tc>
        <w:tc>
          <w:tcPr>
            <w:tcW w:w="10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40" w:type="dxa"/>
            <w:vAlign w:val="bottom"/>
            <w:tcBorders>
              <w:bottom w:val="single" w:sz="8" w:color="auto"/>
            </w:tcBorders>
          </w:tcPr>
          <w:p>
            <w:pPr>
              <w:jc w:val="right"/>
              <w:ind w:right="1"/>
              <w:spacing w:after="0" w:line="123" w:lineRule="exact"/>
              <w:rPr>
                <w:sz w:val="20"/>
                <w:szCs w:val="20"/>
                <w:color w:val="auto"/>
              </w:rPr>
            </w:pPr>
            <w:r>
              <w:rPr>
                <w:rFonts w:ascii="Arial" w:cs="Arial" w:eastAsia="Arial" w:hAnsi="Arial"/>
                <w:sz w:val="11"/>
                <w:szCs w:val="11"/>
                <w:color w:val="auto"/>
                <w:w w:val="97"/>
              </w:rPr>
              <w:t>$</w:t>
            </w:r>
          </w:p>
        </w:tc>
        <w:tc>
          <w:tcPr>
            <w:tcW w:w="740" w:type="dxa"/>
            <w:vAlign w:val="bottom"/>
            <w:tcBorders>
              <w:bottom w:val="single" w:sz="8" w:color="auto"/>
            </w:tcBorders>
          </w:tcPr>
          <w:p>
            <w:pPr>
              <w:jc w:val="right"/>
              <w:spacing w:after="0" w:line="123" w:lineRule="exact"/>
              <w:rPr>
                <w:sz w:val="20"/>
                <w:szCs w:val="20"/>
                <w:color w:val="auto"/>
              </w:rPr>
            </w:pPr>
            <w:r>
              <w:rPr>
                <w:rFonts w:ascii="Arial" w:cs="Arial" w:eastAsia="Arial" w:hAnsi="Arial"/>
                <w:sz w:val="11"/>
                <w:szCs w:val="11"/>
                <w:color w:val="auto"/>
              </w:rPr>
              <w:t>0.42</w:t>
            </w:r>
          </w:p>
        </w:tc>
        <w:tc>
          <w:tcPr>
            <w:tcW w:w="10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Borders>
              <w:bottom w:val="single" w:sz="8" w:color="auto"/>
            </w:tcBorders>
          </w:tcPr>
          <w:p>
            <w:pPr>
              <w:jc w:val="right"/>
              <w:spacing w:after="0" w:line="123" w:lineRule="exact"/>
              <w:rPr>
                <w:sz w:val="20"/>
                <w:szCs w:val="20"/>
                <w:color w:val="auto"/>
              </w:rPr>
            </w:pPr>
            <w:r>
              <w:rPr>
                <w:rFonts w:ascii="Arial" w:cs="Arial" w:eastAsia="Arial" w:hAnsi="Arial"/>
                <w:sz w:val="11"/>
                <w:szCs w:val="11"/>
                <w:color w:val="auto"/>
                <w:w w:val="97"/>
              </w:rPr>
              <w:t>$</w:t>
            </w:r>
          </w:p>
        </w:tc>
        <w:tc>
          <w:tcPr>
            <w:tcW w:w="800" w:type="dxa"/>
            <w:vAlign w:val="bottom"/>
            <w:tcBorders>
              <w:bottom w:val="single" w:sz="8" w:color="auto"/>
            </w:tcBorders>
          </w:tcPr>
          <w:p>
            <w:pPr>
              <w:jc w:val="right"/>
              <w:spacing w:after="0" w:line="123" w:lineRule="exact"/>
              <w:rPr>
                <w:sz w:val="20"/>
                <w:szCs w:val="20"/>
                <w:color w:val="auto"/>
              </w:rPr>
            </w:pPr>
            <w:r>
              <w:rPr>
                <w:rFonts w:ascii="Arial" w:cs="Arial" w:eastAsia="Arial" w:hAnsi="Arial"/>
                <w:sz w:val="11"/>
                <w:szCs w:val="11"/>
                <w:color w:val="auto"/>
              </w:rPr>
              <w:t>(0.01)</w:t>
            </w:r>
          </w:p>
        </w:tc>
        <w:tc>
          <w:tcPr>
            <w:tcW w:w="10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Borders>
              <w:bottom w:val="single" w:sz="8" w:color="auto"/>
            </w:tcBorders>
          </w:tcPr>
          <w:p>
            <w:pPr>
              <w:jc w:val="right"/>
              <w:ind w:right="8"/>
              <w:spacing w:after="0"/>
              <w:rPr>
                <w:sz w:val="20"/>
                <w:szCs w:val="20"/>
                <w:color w:val="auto"/>
              </w:rPr>
            </w:pPr>
            <w:r>
              <w:rPr>
                <w:rFonts w:ascii="Arial" w:cs="Arial" w:eastAsia="Arial" w:hAnsi="Arial"/>
                <w:sz w:val="10"/>
                <w:szCs w:val="10"/>
                <w:color w:val="auto"/>
                <w:w w:val="71"/>
              </w:rPr>
              <w:t>$</w:t>
            </w:r>
          </w:p>
        </w:tc>
        <w:tc>
          <w:tcPr>
            <w:tcW w:w="780" w:type="dxa"/>
            <w:vAlign w:val="bottom"/>
            <w:tcBorders>
              <w:bottom w:val="single" w:sz="8" w:color="auto"/>
            </w:tcBorders>
          </w:tcPr>
          <w:p>
            <w:pPr>
              <w:jc w:val="right"/>
              <w:spacing w:after="0" w:line="123" w:lineRule="exact"/>
              <w:rPr>
                <w:sz w:val="20"/>
                <w:szCs w:val="20"/>
                <w:color w:val="auto"/>
              </w:rPr>
            </w:pPr>
            <w:r>
              <w:rPr>
                <w:rFonts w:ascii="Arial" w:cs="Arial" w:eastAsia="Arial" w:hAnsi="Arial"/>
                <w:sz w:val="11"/>
                <w:szCs w:val="11"/>
                <w:color w:val="auto"/>
              </w:rPr>
              <w:t>(0.04)</w:t>
            </w: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33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100" w:type="dxa"/>
            <w:vAlign w:val="bottom"/>
            <w:gridSpan w:val="3"/>
          </w:tcPr>
          <w:p>
            <w:pPr>
              <w:spacing w:after="0" w:line="20" w:lineRule="exact"/>
              <w:rPr>
                <w:sz w:val="1"/>
                <w:szCs w:val="1"/>
                <w:color w:val="auto"/>
              </w:rPr>
            </w:pPr>
          </w:p>
        </w:tc>
        <w:tc>
          <w:tcPr>
            <w:tcW w:w="920" w:type="dxa"/>
            <w:vAlign w:val="bottom"/>
            <w:tcBorders>
              <w:bottom w:val="single" w:sz="8" w:color="auto"/>
            </w:tcBorders>
            <w:gridSpan w:val="2"/>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88"/>
        </w:trPr>
        <w:tc>
          <w:tcPr>
            <w:tcW w:w="33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300" w:type="dxa"/>
            <w:vAlign w:val="bottom"/>
            <w:gridSpan w:val="7"/>
          </w:tcPr>
          <w:p>
            <w:pPr>
              <w:spacing w:after="0"/>
              <w:rPr>
                <w:sz w:val="20"/>
                <w:szCs w:val="20"/>
                <w:color w:val="auto"/>
              </w:rPr>
            </w:pPr>
            <w:r>
              <w:rPr>
                <w:rFonts w:ascii="Arial" w:cs="Arial" w:eastAsia="Arial" w:hAnsi="Arial"/>
                <w:sz w:val="14"/>
                <w:szCs w:val="14"/>
                <w:b w:val="1"/>
                <w:bCs w:val="1"/>
                <w:color w:val="auto"/>
                <w:w w:val="94"/>
              </w:rPr>
              <w:t>Three months ended March 31, 2018</w:t>
            </w:r>
          </w:p>
        </w:tc>
        <w:tc>
          <w:tcPr>
            <w:tcW w:w="7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
        </w:trPr>
        <w:tc>
          <w:tcPr>
            <w:tcW w:w="3380" w:type="dxa"/>
            <w:vAlign w:val="bottom"/>
            <w:vMerge w:val="restart"/>
          </w:tcPr>
          <w:p>
            <w:pPr>
              <w:jc w:val="center"/>
              <w:ind w:right="2295"/>
              <w:spacing w:after="0"/>
              <w:rPr>
                <w:sz w:val="20"/>
                <w:szCs w:val="20"/>
                <w:color w:val="auto"/>
              </w:rPr>
            </w:pPr>
            <w:r>
              <w:rPr>
                <w:rFonts w:ascii="Arial" w:cs="Arial" w:eastAsia="Arial" w:hAnsi="Arial"/>
                <w:sz w:val="13"/>
                <w:szCs w:val="13"/>
                <w:color w:val="auto"/>
                <w:w w:val="90"/>
              </w:rPr>
              <w:t>Effect on earnings:</w:t>
            </w:r>
          </w:p>
        </w:tc>
        <w:tc>
          <w:tcPr>
            <w:tcW w:w="1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0"/>
        </w:trPr>
        <w:tc>
          <w:tcPr>
            <w:tcW w:w="3380" w:type="dxa"/>
            <w:vAlign w:val="bottom"/>
            <w:vMerge w:val="continue"/>
          </w:tcPr>
          <w:p>
            <w:pPr>
              <w:spacing w:after="0"/>
              <w:rPr>
                <w:sz w:val="15"/>
                <w:szCs w:val="15"/>
                <w:color w:val="auto"/>
              </w:rPr>
            </w:pPr>
          </w:p>
        </w:tc>
        <w:tc>
          <w:tcPr>
            <w:tcW w:w="1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7"/>
        </w:trPr>
        <w:tc>
          <w:tcPr>
            <w:tcW w:w="3380" w:type="dxa"/>
            <w:vAlign w:val="bottom"/>
          </w:tcPr>
          <w:p>
            <w:pPr>
              <w:spacing w:after="0"/>
              <w:rPr>
                <w:sz w:val="2"/>
                <w:szCs w:val="2"/>
                <w:color w:val="auto"/>
              </w:rPr>
            </w:pPr>
          </w:p>
        </w:tc>
        <w:tc>
          <w:tcPr>
            <w:tcW w:w="14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7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33"/>
        </w:trPr>
        <w:tc>
          <w:tcPr>
            <w:tcW w:w="3380" w:type="dxa"/>
            <w:vAlign w:val="bottom"/>
            <w:shd w:val="clear" w:color="auto" w:fill="CCEEFF"/>
          </w:tcPr>
          <w:p>
            <w:pPr>
              <w:ind w:left="100"/>
              <w:spacing w:after="0" w:line="134" w:lineRule="exact"/>
              <w:rPr>
                <w:sz w:val="20"/>
                <w:szCs w:val="20"/>
                <w:color w:val="auto"/>
              </w:rPr>
            </w:pPr>
            <w:r>
              <w:rPr>
                <w:rFonts w:ascii="Arial" w:cs="Arial" w:eastAsia="Arial" w:hAnsi="Arial"/>
                <w:sz w:val="13"/>
                <w:szCs w:val="13"/>
                <w:color w:val="auto"/>
                <w:w w:val="96"/>
              </w:rPr>
              <w:t>Decrease in pre-tax net income before impact of derivative</w:t>
            </w:r>
          </w:p>
        </w:tc>
        <w:tc>
          <w:tcPr>
            <w:tcW w:w="140" w:type="dxa"/>
            <w:vAlign w:val="bottom"/>
            <w:shd w:val="clear" w:color="auto" w:fill="CCEEFF"/>
          </w:tcPr>
          <w:p>
            <w:pPr>
              <w:spacing w:after="0"/>
              <w:rPr>
                <w:sz w:val="11"/>
                <w:szCs w:val="11"/>
                <w:color w:val="auto"/>
              </w:rPr>
            </w:pPr>
          </w:p>
        </w:tc>
        <w:tc>
          <w:tcPr>
            <w:tcW w:w="7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68"/>
        </w:trPr>
        <w:tc>
          <w:tcPr>
            <w:tcW w:w="3380" w:type="dxa"/>
            <w:vAlign w:val="bottom"/>
            <w:shd w:val="clear" w:color="auto" w:fill="CCEEFF"/>
          </w:tcPr>
          <w:p>
            <w:pPr>
              <w:jc w:val="center"/>
              <w:ind w:right="2295"/>
              <w:spacing w:after="0"/>
              <w:rPr>
                <w:sz w:val="20"/>
                <w:szCs w:val="20"/>
                <w:color w:val="auto"/>
              </w:rPr>
            </w:pPr>
            <w:r>
              <w:rPr>
                <w:rFonts w:ascii="Arial" w:cs="Arial" w:eastAsia="Arial" w:hAnsi="Arial"/>
                <w:sz w:val="13"/>
                <w:szCs w:val="13"/>
                <w:color w:val="auto"/>
                <w:w w:val="87"/>
              </w:rPr>
              <w:t>settlements</w:t>
            </w:r>
          </w:p>
        </w:tc>
        <w:tc>
          <w:tcPr>
            <w:tcW w:w="140" w:type="dxa"/>
            <w:vAlign w:val="bottom"/>
            <w:shd w:val="clear" w:color="auto" w:fill="CCEEFF"/>
          </w:tcPr>
          <w:p>
            <w:pPr>
              <w:jc w:val="right"/>
              <w:ind w:right="1"/>
              <w:spacing w:after="0"/>
              <w:rPr>
                <w:sz w:val="20"/>
                <w:szCs w:val="20"/>
                <w:color w:val="auto"/>
              </w:rPr>
            </w:pPr>
            <w:r>
              <w:rPr>
                <w:rFonts w:ascii="Arial" w:cs="Arial" w:eastAsia="Arial" w:hAnsi="Arial"/>
                <w:sz w:val="11"/>
                <w:szCs w:val="11"/>
                <w:color w:val="auto"/>
                <w:w w:val="97"/>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1"/>
                <w:szCs w:val="11"/>
                <w:color w:val="auto"/>
              </w:rPr>
              <w:t>(5,120)</w:t>
            </w:r>
          </w:p>
        </w:tc>
        <w:tc>
          <w:tcPr>
            <w:tcW w:w="100" w:type="dxa"/>
            <w:vAlign w:val="bottom"/>
            <w:shd w:val="clear" w:color="auto" w:fill="CCEEFF"/>
          </w:tcPr>
          <w:p>
            <w:pPr>
              <w:spacing w:after="0"/>
              <w:rPr>
                <w:sz w:val="14"/>
                <w:szCs w:val="14"/>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(3.4) %</w:t>
            </w: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jc w:val="right"/>
              <w:ind w:right="1"/>
              <w:spacing w:after="0"/>
              <w:rPr>
                <w:sz w:val="20"/>
                <w:szCs w:val="20"/>
                <w:color w:val="auto"/>
              </w:rPr>
            </w:pPr>
            <w:r>
              <w:rPr>
                <w:rFonts w:ascii="Arial" w:cs="Arial" w:eastAsia="Arial" w:hAnsi="Arial"/>
                <w:sz w:val="11"/>
                <w:szCs w:val="11"/>
                <w:color w:val="auto"/>
                <w:w w:val="97"/>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1"/>
                <w:szCs w:val="11"/>
                <w:color w:val="auto"/>
              </w:rPr>
              <w:t>(7,990)</w:t>
            </w: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1"/>
                <w:szCs w:val="11"/>
                <w:color w:val="auto"/>
              </w:rPr>
              <w:t>(5.4) %</w:t>
            </w: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1"/>
                <w:szCs w:val="11"/>
                <w:color w:val="auto"/>
                <w:w w:val="97"/>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(2,914)</w:t>
            </w: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(2.0) %</w:t>
            </w: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jc w:val="right"/>
              <w:ind w:right="8"/>
              <w:spacing w:after="0"/>
              <w:rPr>
                <w:sz w:val="20"/>
                <w:szCs w:val="20"/>
                <w:color w:val="auto"/>
              </w:rPr>
            </w:pPr>
            <w:r>
              <w:rPr>
                <w:rFonts w:ascii="Arial" w:cs="Arial" w:eastAsia="Arial" w:hAnsi="Arial"/>
                <w:sz w:val="10"/>
                <w:szCs w:val="10"/>
                <w:color w:val="auto"/>
                <w:w w:val="71"/>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1"/>
                <w:szCs w:val="11"/>
                <w:color w:val="auto"/>
              </w:rPr>
              <w:t>(8,742)</w:t>
            </w: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1"/>
                <w:szCs w:val="11"/>
                <w:color w:val="auto"/>
              </w:rPr>
              <w:t>(5.9) %</w:t>
            </w:r>
          </w:p>
        </w:tc>
        <w:tc>
          <w:tcPr>
            <w:tcW w:w="0" w:type="dxa"/>
            <w:vAlign w:val="bottom"/>
          </w:tcPr>
          <w:p>
            <w:pPr>
              <w:spacing w:after="0"/>
              <w:rPr>
                <w:sz w:val="1"/>
                <w:szCs w:val="1"/>
                <w:color w:val="auto"/>
              </w:rPr>
            </w:pPr>
          </w:p>
        </w:tc>
      </w:tr>
      <w:tr>
        <w:trPr>
          <w:trHeight w:val="170"/>
        </w:trPr>
        <w:tc>
          <w:tcPr>
            <w:tcW w:w="3380" w:type="dxa"/>
            <w:vAlign w:val="bottom"/>
            <w:tcBorders>
              <w:bottom w:val="single" w:sz="8" w:color="CCEEFF"/>
            </w:tcBorders>
          </w:tcPr>
          <w:p>
            <w:pPr>
              <w:ind w:left="100"/>
              <w:spacing w:after="0"/>
              <w:rPr>
                <w:sz w:val="20"/>
                <w:szCs w:val="20"/>
                <w:color w:val="auto"/>
              </w:rPr>
            </w:pPr>
            <w:r>
              <w:rPr>
                <w:rFonts w:ascii="Arial" w:cs="Arial" w:eastAsia="Arial" w:hAnsi="Arial"/>
                <w:sz w:val="13"/>
                <w:szCs w:val="13"/>
                <w:color w:val="auto"/>
              </w:rPr>
              <w:t>Impact of derivative settlements</w:t>
            </w:r>
          </w:p>
        </w:tc>
        <w:tc>
          <w:tcPr>
            <w:tcW w:w="14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15,738</w:t>
            </w:r>
          </w:p>
        </w:tc>
        <w:tc>
          <w:tcPr>
            <w:tcW w:w="100" w:type="dxa"/>
            <w:vAlign w:val="bottom"/>
            <w:tcBorders>
              <w:bottom w:val="single" w:sz="8" w:color="CCEEFF"/>
            </w:tcBorders>
          </w:tcPr>
          <w:p>
            <w:pPr>
              <w:spacing w:after="0"/>
              <w:rPr>
                <w:sz w:val="14"/>
                <w:szCs w:val="14"/>
                <w:color w:val="auto"/>
              </w:rPr>
            </w:pPr>
          </w:p>
        </w:tc>
        <w:tc>
          <w:tcPr>
            <w:tcW w:w="900" w:type="dxa"/>
            <w:vAlign w:val="bottom"/>
            <w:tcBorders>
              <w:bottom w:val="single" w:sz="8" w:color="auto"/>
            </w:tcBorders>
          </w:tcPr>
          <w:p>
            <w:pPr>
              <w:jc w:val="right"/>
              <w:ind w:right="99"/>
              <w:spacing w:after="0"/>
              <w:rPr>
                <w:sz w:val="20"/>
                <w:szCs w:val="20"/>
                <w:color w:val="auto"/>
              </w:rPr>
            </w:pPr>
            <w:r>
              <w:rPr>
                <w:rFonts w:ascii="Arial" w:cs="Arial" w:eastAsia="Arial" w:hAnsi="Arial"/>
                <w:sz w:val="11"/>
                <w:szCs w:val="11"/>
                <w:color w:val="auto"/>
              </w:rPr>
              <w:t>10.6</w:t>
            </w:r>
          </w:p>
        </w:tc>
        <w:tc>
          <w:tcPr>
            <w:tcW w:w="100" w:type="dxa"/>
            <w:vAlign w:val="bottom"/>
            <w:tcBorders>
              <w:bottom w:val="single" w:sz="8" w:color="CCEEFF"/>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47,215</w:t>
            </w:r>
          </w:p>
        </w:tc>
        <w:tc>
          <w:tcPr>
            <w:tcW w:w="100" w:type="dxa"/>
            <w:vAlign w:val="bottom"/>
            <w:tcBorders>
              <w:bottom w:val="single" w:sz="8" w:color="CCEEFF"/>
            </w:tcBorders>
          </w:tcPr>
          <w:p>
            <w:pPr>
              <w:spacing w:after="0"/>
              <w:rPr>
                <w:sz w:val="14"/>
                <w:szCs w:val="14"/>
                <w:color w:val="auto"/>
              </w:rPr>
            </w:pPr>
          </w:p>
        </w:tc>
        <w:tc>
          <w:tcPr>
            <w:tcW w:w="900" w:type="dxa"/>
            <w:vAlign w:val="bottom"/>
            <w:tcBorders>
              <w:bottom w:val="single" w:sz="8" w:color="auto"/>
            </w:tcBorders>
          </w:tcPr>
          <w:p>
            <w:pPr>
              <w:jc w:val="right"/>
              <w:ind w:right="78"/>
              <w:spacing w:after="0"/>
              <w:rPr>
                <w:sz w:val="20"/>
                <w:szCs w:val="20"/>
                <w:color w:val="auto"/>
              </w:rPr>
            </w:pPr>
            <w:r>
              <w:rPr>
                <w:rFonts w:ascii="Arial" w:cs="Arial" w:eastAsia="Arial" w:hAnsi="Arial"/>
                <w:sz w:val="11"/>
                <w:szCs w:val="11"/>
                <w:color w:val="auto"/>
              </w:rPr>
              <w:t>31.7</w:t>
            </w:r>
          </w:p>
        </w:tc>
        <w:tc>
          <w:tcPr>
            <w:tcW w:w="10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1,797</w:t>
            </w:r>
          </w:p>
        </w:tc>
        <w:tc>
          <w:tcPr>
            <w:tcW w:w="10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101"/>
              <w:spacing w:after="0"/>
              <w:rPr>
                <w:sz w:val="20"/>
                <w:szCs w:val="20"/>
                <w:color w:val="auto"/>
              </w:rPr>
            </w:pPr>
            <w:r>
              <w:rPr>
                <w:rFonts w:ascii="Arial" w:cs="Arial" w:eastAsia="Arial" w:hAnsi="Arial"/>
                <w:sz w:val="11"/>
                <w:szCs w:val="11"/>
                <w:color w:val="auto"/>
              </w:rPr>
              <w:t>1.3</w:t>
            </w:r>
          </w:p>
        </w:tc>
        <w:tc>
          <w:tcPr>
            <w:tcW w:w="10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5,392</w:t>
            </w:r>
          </w:p>
        </w:tc>
        <w:tc>
          <w:tcPr>
            <w:tcW w:w="10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ind w:right="101"/>
              <w:spacing w:after="0"/>
              <w:rPr>
                <w:sz w:val="20"/>
                <w:szCs w:val="20"/>
                <w:color w:val="auto"/>
              </w:rPr>
            </w:pPr>
            <w:r>
              <w:rPr>
                <w:rFonts w:ascii="Arial" w:cs="Arial" w:eastAsia="Arial" w:hAnsi="Arial"/>
                <w:sz w:val="11"/>
                <w:szCs w:val="11"/>
                <w:color w:val="auto"/>
              </w:rPr>
              <w:t>3.7</w:t>
            </w:r>
          </w:p>
        </w:tc>
        <w:tc>
          <w:tcPr>
            <w:tcW w:w="0" w:type="dxa"/>
            <w:vAlign w:val="bottom"/>
          </w:tcPr>
          <w:p>
            <w:pPr>
              <w:spacing w:after="0"/>
              <w:rPr>
                <w:sz w:val="1"/>
                <w:szCs w:val="1"/>
                <w:color w:val="auto"/>
              </w:rPr>
            </w:pPr>
          </w:p>
        </w:tc>
      </w:tr>
      <w:tr>
        <w:trPr>
          <w:trHeight w:val="172"/>
        </w:trPr>
        <w:tc>
          <w:tcPr>
            <w:tcW w:w="3380" w:type="dxa"/>
            <w:vAlign w:val="bottom"/>
            <w:shd w:val="clear" w:color="auto" w:fill="CCEEFF"/>
          </w:tcPr>
          <w:p>
            <w:pPr>
              <w:ind w:left="100"/>
              <w:spacing w:after="0"/>
              <w:rPr>
                <w:sz w:val="20"/>
                <w:szCs w:val="20"/>
                <w:color w:val="auto"/>
              </w:rPr>
            </w:pPr>
            <w:r>
              <w:rPr>
                <w:rFonts w:ascii="Arial" w:cs="Arial" w:eastAsia="Arial" w:hAnsi="Arial"/>
                <w:sz w:val="13"/>
                <w:szCs w:val="13"/>
                <w:color w:val="auto"/>
              </w:rPr>
              <w:t>Increase (decrease) in net income before taxes</w:t>
            </w:r>
          </w:p>
        </w:tc>
        <w:tc>
          <w:tcPr>
            <w:tcW w:w="140" w:type="dxa"/>
            <w:vAlign w:val="bottom"/>
            <w:shd w:val="clear" w:color="auto" w:fill="CCEEFF"/>
          </w:tcPr>
          <w:p>
            <w:pPr>
              <w:jc w:val="right"/>
              <w:ind w:right="1"/>
              <w:spacing w:after="0"/>
              <w:rPr>
                <w:sz w:val="20"/>
                <w:szCs w:val="20"/>
                <w:color w:val="auto"/>
              </w:rPr>
            </w:pPr>
            <w:r>
              <w:rPr>
                <w:rFonts w:ascii="Arial" w:cs="Arial" w:eastAsia="Arial" w:hAnsi="Arial"/>
                <w:sz w:val="11"/>
                <w:szCs w:val="11"/>
                <w:color w:val="auto"/>
                <w:w w:val="97"/>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10,618</w:t>
            </w:r>
          </w:p>
        </w:tc>
        <w:tc>
          <w:tcPr>
            <w:tcW w:w="100" w:type="dxa"/>
            <w:vAlign w:val="bottom"/>
            <w:shd w:val="clear" w:color="auto" w:fill="CCEEFF"/>
          </w:tcPr>
          <w:p>
            <w:pPr>
              <w:spacing w:after="0"/>
              <w:rPr>
                <w:sz w:val="14"/>
                <w:szCs w:val="14"/>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7.2 %</w:t>
            </w: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jc w:val="right"/>
              <w:ind w:right="1"/>
              <w:spacing w:after="0"/>
              <w:rPr>
                <w:sz w:val="20"/>
                <w:szCs w:val="20"/>
                <w:color w:val="auto"/>
              </w:rPr>
            </w:pPr>
            <w:r>
              <w:rPr>
                <w:rFonts w:ascii="Arial" w:cs="Arial" w:eastAsia="Arial" w:hAnsi="Arial"/>
                <w:sz w:val="11"/>
                <w:szCs w:val="11"/>
                <w:color w:val="auto"/>
                <w:w w:val="97"/>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1"/>
                <w:szCs w:val="11"/>
                <w:color w:val="auto"/>
              </w:rPr>
              <w:t>39,225</w:t>
            </w: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1"/>
                <w:szCs w:val="11"/>
                <w:color w:val="auto"/>
              </w:rPr>
              <w:t>26.3 %</w:t>
            </w: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1"/>
                <w:szCs w:val="11"/>
                <w:color w:val="auto"/>
                <w:w w:val="97"/>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(1,117)</w:t>
            </w: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(0.7) %</w:t>
            </w: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jc w:val="right"/>
              <w:ind w:right="8"/>
              <w:spacing w:after="0"/>
              <w:rPr>
                <w:sz w:val="20"/>
                <w:szCs w:val="20"/>
                <w:color w:val="auto"/>
              </w:rPr>
            </w:pPr>
            <w:r>
              <w:rPr>
                <w:rFonts w:ascii="Arial" w:cs="Arial" w:eastAsia="Arial" w:hAnsi="Arial"/>
                <w:sz w:val="10"/>
                <w:szCs w:val="10"/>
                <w:color w:val="auto"/>
                <w:w w:val="71"/>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1"/>
                <w:szCs w:val="11"/>
                <w:color w:val="auto"/>
              </w:rPr>
              <w:t>(3,350)</w:t>
            </w: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1"/>
                <w:szCs w:val="11"/>
                <w:color w:val="auto"/>
              </w:rPr>
              <w:t>(2.2) %</w:t>
            </w:r>
          </w:p>
        </w:tc>
        <w:tc>
          <w:tcPr>
            <w:tcW w:w="0" w:type="dxa"/>
            <w:vAlign w:val="bottom"/>
          </w:tcPr>
          <w:p>
            <w:pPr>
              <w:spacing w:after="0"/>
              <w:rPr>
                <w:sz w:val="1"/>
                <w:szCs w:val="1"/>
                <w:color w:val="auto"/>
              </w:rPr>
            </w:pPr>
          </w:p>
        </w:tc>
      </w:tr>
      <w:tr>
        <w:trPr>
          <w:trHeight w:val="20"/>
        </w:trPr>
        <w:tc>
          <w:tcPr>
            <w:tcW w:w="3380" w:type="dxa"/>
            <w:vAlign w:val="bottom"/>
            <w:tcBorders>
              <w:top w:val="single" w:sz="8" w:color="CCEEFF"/>
              <w:bottom w:val="single" w:sz="8" w:color="CCEEFF"/>
            </w:tcBorders>
            <w:vMerge w:val="restart"/>
          </w:tcPr>
          <w:p>
            <w:pPr>
              <w:ind w:left="100"/>
              <w:spacing w:after="0"/>
              <w:rPr>
                <w:sz w:val="20"/>
                <w:szCs w:val="20"/>
                <w:color w:val="auto"/>
              </w:rPr>
            </w:pPr>
            <w:r>
              <w:rPr>
                <w:rFonts w:ascii="Arial" w:cs="Arial" w:eastAsia="Arial" w:hAnsi="Arial"/>
                <w:sz w:val="13"/>
                <w:szCs w:val="13"/>
                <w:color w:val="auto"/>
                <w:w w:val="95"/>
              </w:rPr>
              <w:t>Increase (decrease) in basic and diluted earnings per share</w:t>
            </w:r>
          </w:p>
        </w:tc>
        <w:tc>
          <w:tcPr>
            <w:tcW w:w="1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8"/>
        </w:trPr>
        <w:tc>
          <w:tcPr>
            <w:tcW w:w="3380" w:type="dxa"/>
            <w:vAlign w:val="bottom"/>
            <w:vMerge w:val="continue"/>
          </w:tcPr>
          <w:p>
            <w:pPr>
              <w:spacing w:after="0"/>
              <w:rPr>
                <w:sz w:val="10"/>
                <w:szCs w:val="10"/>
                <w:color w:val="auto"/>
              </w:rPr>
            </w:pPr>
          </w:p>
        </w:tc>
        <w:tc>
          <w:tcPr>
            <w:tcW w:w="140" w:type="dxa"/>
            <w:vAlign w:val="bottom"/>
          </w:tcPr>
          <w:p>
            <w:pPr>
              <w:jc w:val="right"/>
              <w:ind w:right="1"/>
              <w:spacing w:after="0" w:line="119" w:lineRule="exact"/>
              <w:rPr>
                <w:sz w:val="20"/>
                <w:szCs w:val="20"/>
                <w:color w:val="auto"/>
              </w:rPr>
            </w:pPr>
            <w:r>
              <w:rPr>
                <w:rFonts w:ascii="Arial" w:cs="Arial" w:eastAsia="Arial" w:hAnsi="Arial"/>
                <w:sz w:val="11"/>
                <w:szCs w:val="11"/>
                <w:color w:val="auto"/>
                <w:w w:val="97"/>
              </w:rPr>
              <w:t>$</w:t>
            </w:r>
          </w:p>
        </w:tc>
        <w:tc>
          <w:tcPr>
            <w:tcW w:w="740" w:type="dxa"/>
            <w:vAlign w:val="bottom"/>
          </w:tcPr>
          <w:p>
            <w:pPr>
              <w:jc w:val="right"/>
              <w:spacing w:after="0" w:line="119" w:lineRule="exact"/>
              <w:rPr>
                <w:sz w:val="20"/>
                <w:szCs w:val="20"/>
                <w:color w:val="auto"/>
              </w:rPr>
            </w:pPr>
            <w:r>
              <w:rPr>
                <w:rFonts w:ascii="Arial" w:cs="Arial" w:eastAsia="Arial" w:hAnsi="Arial"/>
                <w:sz w:val="11"/>
                <w:szCs w:val="11"/>
                <w:color w:val="auto"/>
              </w:rPr>
              <w:t>0.20</w:t>
            </w:r>
          </w:p>
        </w:tc>
        <w:tc>
          <w:tcPr>
            <w:tcW w:w="10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40" w:type="dxa"/>
            <w:vAlign w:val="bottom"/>
          </w:tcPr>
          <w:p>
            <w:pPr>
              <w:jc w:val="right"/>
              <w:ind w:right="1"/>
              <w:spacing w:after="0" w:line="119" w:lineRule="exact"/>
              <w:rPr>
                <w:sz w:val="20"/>
                <w:szCs w:val="20"/>
                <w:color w:val="auto"/>
              </w:rPr>
            </w:pPr>
            <w:r>
              <w:rPr>
                <w:rFonts w:ascii="Arial" w:cs="Arial" w:eastAsia="Arial" w:hAnsi="Arial"/>
                <w:sz w:val="11"/>
                <w:szCs w:val="11"/>
                <w:color w:val="auto"/>
                <w:w w:val="97"/>
              </w:rPr>
              <w:t>$</w:t>
            </w:r>
          </w:p>
        </w:tc>
        <w:tc>
          <w:tcPr>
            <w:tcW w:w="740" w:type="dxa"/>
            <w:vAlign w:val="bottom"/>
          </w:tcPr>
          <w:p>
            <w:pPr>
              <w:jc w:val="right"/>
              <w:spacing w:after="0" w:line="119" w:lineRule="exact"/>
              <w:rPr>
                <w:sz w:val="20"/>
                <w:szCs w:val="20"/>
                <w:color w:val="auto"/>
              </w:rPr>
            </w:pPr>
            <w:r>
              <w:rPr>
                <w:rFonts w:ascii="Arial" w:cs="Arial" w:eastAsia="Arial" w:hAnsi="Arial"/>
                <w:sz w:val="11"/>
                <w:szCs w:val="11"/>
                <w:color w:val="auto"/>
              </w:rPr>
              <w:t>0.73</w:t>
            </w:r>
          </w:p>
        </w:tc>
        <w:tc>
          <w:tcPr>
            <w:tcW w:w="10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jc w:val="right"/>
              <w:spacing w:after="0" w:line="119" w:lineRule="exact"/>
              <w:rPr>
                <w:sz w:val="20"/>
                <w:szCs w:val="20"/>
                <w:color w:val="auto"/>
              </w:rPr>
            </w:pPr>
            <w:r>
              <w:rPr>
                <w:rFonts w:ascii="Arial" w:cs="Arial" w:eastAsia="Arial" w:hAnsi="Arial"/>
                <w:sz w:val="11"/>
                <w:szCs w:val="11"/>
                <w:color w:val="auto"/>
                <w:w w:val="97"/>
              </w:rPr>
              <w:t>$</w:t>
            </w:r>
          </w:p>
        </w:tc>
        <w:tc>
          <w:tcPr>
            <w:tcW w:w="800" w:type="dxa"/>
            <w:vAlign w:val="bottom"/>
          </w:tcPr>
          <w:p>
            <w:pPr>
              <w:jc w:val="right"/>
              <w:spacing w:after="0" w:line="119" w:lineRule="exact"/>
              <w:rPr>
                <w:sz w:val="20"/>
                <w:szCs w:val="20"/>
                <w:color w:val="auto"/>
              </w:rPr>
            </w:pPr>
            <w:r>
              <w:rPr>
                <w:rFonts w:ascii="Arial" w:cs="Arial" w:eastAsia="Arial" w:hAnsi="Arial"/>
                <w:sz w:val="11"/>
                <w:szCs w:val="11"/>
                <w:color w:val="auto"/>
              </w:rPr>
              <w:t>(0.02)</w:t>
            </w:r>
          </w:p>
        </w:tc>
        <w:tc>
          <w:tcPr>
            <w:tcW w:w="10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jc w:val="right"/>
              <w:ind w:right="8"/>
              <w:spacing w:after="0"/>
              <w:rPr>
                <w:sz w:val="20"/>
                <w:szCs w:val="20"/>
                <w:color w:val="auto"/>
              </w:rPr>
            </w:pPr>
            <w:r>
              <w:rPr>
                <w:rFonts w:ascii="Arial" w:cs="Arial" w:eastAsia="Arial" w:hAnsi="Arial"/>
                <w:sz w:val="10"/>
                <w:szCs w:val="10"/>
                <w:color w:val="auto"/>
                <w:w w:val="71"/>
              </w:rPr>
              <w:t>$</w:t>
            </w:r>
          </w:p>
        </w:tc>
        <w:tc>
          <w:tcPr>
            <w:tcW w:w="780" w:type="dxa"/>
            <w:vAlign w:val="bottom"/>
          </w:tcPr>
          <w:p>
            <w:pPr>
              <w:jc w:val="right"/>
              <w:spacing w:after="0" w:line="119" w:lineRule="exact"/>
              <w:rPr>
                <w:sz w:val="20"/>
                <w:szCs w:val="20"/>
                <w:color w:val="auto"/>
              </w:rPr>
            </w:pPr>
            <w:r>
              <w:rPr>
                <w:rFonts w:ascii="Arial" w:cs="Arial" w:eastAsia="Arial" w:hAnsi="Arial"/>
                <w:sz w:val="11"/>
                <w:szCs w:val="11"/>
                <w:color w:val="auto"/>
              </w:rPr>
              <w:t>(0.06)</w:t>
            </w: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253"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Financial Statement Impact – Derivatives</w:t>
      </w:r>
    </w:p>
    <w:p>
      <w:pPr>
        <w:spacing w:after="0" w:line="145" w:lineRule="exact"/>
        <w:rPr>
          <w:sz w:val="20"/>
          <w:szCs w:val="20"/>
          <w:color w:val="auto"/>
        </w:rPr>
      </w:pPr>
    </w:p>
    <w:p>
      <w:pPr>
        <w:spacing w:after="0" w:line="288" w:lineRule="auto"/>
        <w:rPr>
          <w:sz w:val="20"/>
          <w:szCs w:val="20"/>
          <w:color w:val="auto"/>
        </w:rPr>
      </w:pPr>
      <w:r>
        <w:rPr>
          <w:rFonts w:ascii="Arial" w:cs="Arial" w:eastAsia="Arial" w:hAnsi="Arial"/>
          <w:sz w:val="14"/>
          <w:szCs w:val="14"/>
          <w:color w:val="auto"/>
        </w:rPr>
        <w:t>For a table summarizing the effect of derivative instruments in the consolidated statements of income, including the components of "derivative market value adjustments and derivative settlements, net" included in the consolidated statements of income, see note 4 of the notes to consolidated financial statements included under Part I, Item 1 of this report.</w:t>
      </w:r>
    </w:p>
    <w:p>
      <w:pPr>
        <w:spacing w:after="0" w:line="200" w:lineRule="exact"/>
        <w:rPr>
          <w:sz w:val="20"/>
          <w:szCs w:val="20"/>
          <w:color w:val="auto"/>
        </w:rPr>
      </w:pPr>
    </w:p>
    <w:p>
      <w:pPr>
        <w:spacing w:after="0" w:line="330"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57</w:t>
      </w:r>
    </w:p>
    <w:p>
      <w:pPr>
        <w:sectPr>
          <w:pgSz w:w="11900" w:h="16838" w:orient="portrait"/>
          <w:cols w:equalWidth="0" w:num="1">
            <w:col w:w="11460"/>
          </w:cols>
          <w:pgMar w:left="220" w:top="743" w:right="219" w:bottom="1440" w:gutter="0" w:footer="0" w:header="0"/>
        </w:sectPr>
      </w:pPr>
    </w:p>
    <w:bookmarkStart w:id="58" w:name="page59"/>
    <w:bookmarkEnd w:id="58"/>
    <w:p>
      <w:pPr>
        <w:spacing w:after="0"/>
        <w:rPr>
          <w:sz w:val="20"/>
          <w:szCs w:val="20"/>
          <w:color w:val="auto"/>
        </w:rPr>
      </w:pPr>
      <w:r>
        <w:rPr>
          <w:rFonts w:ascii="Arial" w:cs="Arial" w:eastAsia="Arial" w:hAnsi="Arial"/>
          <w:sz w:val="14"/>
          <w:szCs w:val="14"/>
          <w:b w:val="1"/>
          <w:bCs w:val="1"/>
          <w:color w:val="auto"/>
        </w:rPr>
        <w:t>ITEM 4. CONTROLS AND PROCEDURES</w:t>
      </w:r>
    </w:p>
    <w:p>
      <w:pPr>
        <w:spacing w:after="0" w:line="141"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Disclosure Controls and Procedures</w:t>
      </w:r>
    </w:p>
    <w:p>
      <w:pPr>
        <w:spacing w:after="0" w:line="145" w:lineRule="exact"/>
        <w:rPr>
          <w:sz w:val="20"/>
          <w:szCs w:val="20"/>
          <w:color w:val="auto"/>
        </w:rPr>
      </w:pPr>
    </w:p>
    <w:p>
      <w:pPr>
        <w:jc w:val="both"/>
        <w:spacing w:after="0" w:line="272" w:lineRule="auto"/>
        <w:rPr>
          <w:sz w:val="20"/>
          <w:szCs w:val="20"/>
          <w:color w:val="auto"/>
        </w:rPr>
      </w:pPr>
      <w:r>
        <w:rPr>
          <w:rFonts w:ascii="Arial" w:cs="Arial" w:eastAsia="Arial" w:hAnsi="Arial"/>
          <w:sz w:val="14"/>
          <w:szCs w:val="14"/>
          <w:color w:val="auto"/>
        </w:rPr>
        <w:t>The Company’s management, with the participation of the Company's principal executive and principal financial officers, evaluated the effectiveness of the Company’s disclosure controls and procedures (as defined in Rules 13a-15(e) and 15d-15(e) under the Securities Exchange Act of 1934) as of March 31, 2019. Based on this evaluation, the Company’s principal executive and principal financial officers concluded that the Company's disclosure controls and procedures were effective as of March 31, 2019.</w:t>
      </w:r>
    </w:p>
    <w:p>
      <w:pPr>
        <w:spacing w:after="0" w:line="95"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Changes in Internal Control over Financial Reporting</w:t>
      </w:r>
    </w:p>
    <w:p>
      <w:pPr>
        <w:spacing w:after="0" w:line="145" w:lineRule="exact"/>
        <w:rPr>
          <w:sz w:val="20"/>
          <w:szCs w:val="20"/>
          <w:color w:val="auto"/>
        </w:rPr>
      </w:pPr>
    </w:p>
    <w:p>
      <w:pPr>
        <w:jc w:val="both"/>
        <w:spacing w:after="0" w:line="288" w:lineRule="auto"/>
        <w:rPr>
          <w:sz w:val="20"/>
          <w:szCs w:val="20"/>
          <w:color w:val="auto"/>
        </w:rPr>
      </w:pPr>
      <w:r>
        <w:rPr>
          <w:rFonts w:ascii="Arial" w:cs="Arial" w:eastAsia="Arial" w:hAnsi="Arial"/>
          <w:sz w:val="14"/>
          <w:szCs w:val="14"/>
          <w:color w:val="auto"/>
        </w:rPr>
        <w:t xml:space="preserve">Effective January 1, 2019, the Company implemented ASC Topic 842, </w:t>
      </w:r>
      <w:r>
        <w:rPr>
          <w:rFonts w:ascii="Arial" w:cs="Arial" w:eastAsia="Arial" w:hAnsi="Arial"/>
          <w:sz w:val="14"/>
          <w:szCs w:val="14"/>
          <w:i w:val="1"/>
          <w:iCs w:val="1"/>
          <w:color w:val="auto"/>
        </w:rPr>
        <w:t>Leases</w:t>
      </w:r>
      <w:r>
        <w:rPr>
          <w:rFonts w:ascii="Arial" w:cs="Arial" w:eastAsia="Arial" w:hAnsi="Arial"/>
          <w:sz w:val="14"/>
          <w:szCs w:val="14"/>
          <w:color w:val="auto"/>
        </w:rPr>
        <w:t>. As a result, management made the following significant modifications to its internal control over financial reporting environment, including changes to accounting policies and procedures, operational processes, and documentation practices:</w:t>
      </w:r>
    </w:p>
    <w:p>
      <w:pPr>
        <w:spacing w:after="0" w:line="88" w:lineRule="exact"/>
        <w:rPr>
          <w:sz w:val="20"/>
          <w:szCs w:val="20"/>
          <w:color w:val="auto"/>
        </w:rPr>
      </w:pPr>
    </w:p>
    <w:p>
      <w:pPr>
        <w:ind w:left="240" w:hanging="234"/>
        <w:spacing w:after="0"/>
        <w:tabs>
          <w:tab w:leader="none" w:pos="240" w:val="left"/>
        </w:tabs>
        <w:numPr>
          <w:ilvl w:val="0"/>
          <w:numId w:val="35"/>
        </w:numPr>
        <w:rPr>
          <w:rFonts w:ascii="Arial" w:cs="Arial" w:eastAsia="Arial" w:hAnsi="Arial"/>
          <w:sz w:val="14"/>
          <w:szCs w:val="14"/>
          <w:color w:val="auto"/>
        </w:rPr>
      </w:pPr>
      <w:r>
        <w:rPr>
          <w:rFonts w:ascii="Arial" w:cs="Arial" w:eastAsia="Arial" w:hAnsi="Arial"/>
          <w:sz w:val="14"/>
          <w:szCs w:val="14"/>
          <w:color w:val="auto"/>
        </w:rPr>
        <w:t>Updated policies and procedures related to accounting for lease assets and liabilities and related income and expense.</w:t>
      </w:r>
    </w:p>
    <w:p>
      <w:pPr>
        <w:spacing w:after="0" w:line="140" w:lineRule="exact"/>
        <w:rPr>
          <w:rFonts w:ascii="Arial" w:cs="Arial" w:eastAsia="Arial" w:hAnsi="Arial"/>
          <w:sz w:val="14"/>
          <w:szCs w:val="14"/>
          <w:color w:val="auto"/>
        </w:rPr>
      </w:pPr>
    </w:p>
    <w:p>
      <w:pPr>
        <w:ind w:left="520" w:hanging="514"/>
        <w:spacing w:after="0" w:line="288" w:lineRule="auto"/>
        <w:tabs>
          <w:tab w:leader="none" w:pos="208" w:val="left"/>
        </w:tabs>
        <w:numPr>
          <w:ilvl w:val="0"/>
          <w:numId w:val="35"/>
        </w:numPr>
        <w:rPr>
          <w:rFonts w:ascii="Arial" w:cs="Arial" w:eastAsia="Arial" w:hAnsi="Arial"/>
          <w:sz w:val="14"/>
          <w:szCs w:val="14"/>
          <w:color w:val="auto"/>
        </w:rPr>
      </w:pPr>
      <w:r>
        <w:rPr>
          <w:rFonts w:ascii="Arial" w:cs="Arial" w:eastAsia="Arial" w:hAnsi="Arial"/>
          <w:sz w:val="14"/>
          <w:szCs w:val="14"/>
          <w:color w:val="auto"/>
        </w:rPr>
        <w:t>Modified contract review controls to consider the new criteria for determining whether a contract is or contains a lease, specifically to clarify the definition of a lease and align with the concept of control.</w:t>
      </w:r>
    </w:p>
    <w:p>
      <w:pPr>
        <w:spacing w:after="0" w:line="87" w:lineRule="exact"/>
        <w:rPr>
          <w:rFonts w:ascii="Arial" w:cs="Arial" w:eastAsia="Arial" w:hAnsi="Arial"/>
          <w:sz w:val="14"/>
          <w:szCs w:val="14"/>
          <w:color w:val="auto"/>
        </w:rPr>
      </w:pPr>
    </w:p>
    <w:p>
      <w:pPr>
        <w:ind w:left="200" w:hanging="194"/>
        <w:spacing w:after="0"/>
        <w:tabs>
          <w:tab w:leader="none" w:pos="200" w:val="left"/>
        </w:tabs>
        <w:numPr>
          <w:ilvl w:val="0"/>
          <w:numId w:val="35"/>
        </w:numPr>
        <w:rPr>
          <w:rFonts w:ascii="Arial" w:cs="Arial" w:eastAsia="Arial" w:hAnsi="Arial"/>
          <w:sz w:val="14"/>
          <w:szCs w:val="14"/>
          <w:color w:val="auto"/>
        </w:rPr>
      </w:pPr>
      <w:r>
        <w:rPr>
          <w:rFonts w:ascii="Arial" w:cs="Arial" w:eastAsia="Arial" w:hAnsi="Arial"/>
          <w:sz w:val="14"/>
          <w:szCs w:val="14"/>
          <w:color w:val="auto"/>
        </w:rPr>
        <w:t>Added controls for reevaluating significant assumptions and judgments regarding leases on a quarterly basis.</w:t>
      </w:r>
    </w:p>
    <w:p>
      <w:pPr>
        <w:spacing w:after="0" w:line="140" w:lineRule="exact"/>
        <w:rPr>
          <w:rFonts w:ascii="Arial" w:cs="Arial" w:eastAsia="Arial" w:hAnsi="Arial"/>
          <w:sz w:val="14"/>
          <w:szCs w:val="14"/>
          <w:color w:val="auto"/>
        </w:rPr>
      </w:pPr>
    </w:p>
    <w:p>
      <w:pPr>
        <w:ind w:left="200" w:hanging="194"/>
        <w:spacing w:after="0"/>
        <w:tabs>
          <w:tab w:leader="none" w:pos="200" w:val="left"/>
        </w:tabs>
        <w:numPr>
          <w:ilvl w:val="0"/>
          <w:numId w:val="35"/>
        </w:numPr>
        <w:rPr>
          <w:rFonts w:ascii="Arial" w:cs="Arial" w:eastAsia="Arial" w:hAnsi="Arial"/>
          <w:sz w:val="14"/>
          <w:szCs w:val="14"/>
          <w:color w:val="auto"/>
        </w:rPr>
      </w:pPr>
      <w:r>
        <w:rPr>
          <w:rFonts w:ascii="Arial" w:cs="Arial" w:eastAsia="Arial" w:hAnsi="Arial"/>
          <w:sz w:val="14"/>
          <w:szCs w:val="14"/>
          <w:color w:val="auto"/>
        </w:rPr>
        <w:t>Added controls to address related required disclosures regarding leases, including significant assumptions and judgments used in applying ASC Topic 842.</w:t>
      </w:r>
    </w:p>
    <w:p>
      <w:pPr>
        <w:spacing w:after="0" w:line="141" w:lineRule="exact"/>
        <w:rPr>
          <w:sz w:val="20"/>
          <w:szCs w:val="20"/>
          <w:color w:val="auto"/>
        </w:rPr>
      </w:pPr>
    </w:p>
    <w:p>
      <w:pPr>
        <w:spacing w:after="0" w:line="288" w:lineRule="auto"/>
        <w:rPr>
          <w:sz w:val="20"/>
          <w:szCs w:val="20"/>
          <w:color w:val="auto"/>
        </w:rPr>
      </w:pPr>
      <w:r>
        <w:rPr>
          <w:rFonts w:ascii="Arial" w:cs="Arial" w:eastAsia="Arial" w:hAnsi="Arial"/>
          <w:sz w:val="14"/>
          <w:szCs w:val="14"/>
          <w:color w:val="auto"/>
        </w:rPr>
        <w:t>There were no other changes in the Company’s internal control over financial reporting during the fiscal quarter ended March 31, 2019 that have materially affected, or are reasonably likely to materially affect, the Company’s internal control over financial reporting.</w:t>
      </w:r>
    </w:p>
    <w:p>
      <w:pPr>
        <w:spacing w:after="0" w:line="84"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PART II. OTHER INFORMATION</w:t>
      </w:r>
    </w:p>
    <w:p>
      <w:pPr>
        <w:spacing w:after="0" w:line="205"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ITEM 1. LEGAL PROCEEDINGS</w:t>
      </w:r>
    </w:p>
    <w:p>
      <w:pPr>
        <w:spacing w:after="0" w:line="145" w:lineRule="exact"/>
        <w:rPr>
          <w:sz w:val="20"/>
          <w:szCs w:val="20"/>
          <w:color w:val="auto"/>
        </w:rPr>
      </w:pPr>
    </w:p>
    <w:p>
      <w:pPr>
        <w:spacing w:after="0" w:line="288" w:lineRule="auto"/>
        <w:rPr>
          <w:sz w:val="20"/>
          <w:szCs w:val="20"/>
          <w:color w:val="auto"/>
        </w:rPr>
      </w:pPr>
      <w:r>
        <w:rPr>
          <w:rFonts w:ascii="Arial" w:cs="Arial" w:eastAsia="Arial" w:hAnsi="Arial"/>
          <w:sz w:val="14"/>
          <w:szCs w:val="14"/>
          <w:color w:val="auto"/>
        </w:rPr>
        <w:t>There have been no material changes from the information set forth in the Legal Proceedings section of the Company's Annual Report on Form 10-K for the year ended December 31, 2018 under Item 3 of Part I of such Form 10-K.</w:t>
      </w:r>
    </w:p>
    <w:p>
      <w:pPr>
        <w:spacing w:after="0" w:line="84"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ITEM 1A. RISK FACTORS</w:t>
      </w:r>
    </w:p>
    <w:p>
      <w:pPr>
        <w:spacing w:after="0" w:line="145" w:lineRule="exact"/>
        <w:rPr>
          <w:sz w:val="20"/>
          <w:szCs w:val="20"/>
          <w:color w:val="auto"/>
        </w:rPr>
      </w:pPr>
    </w:p>
    <w:p>
      <w:pPr>
        <w:spacing w:after="0" w:line="288" w:lineRule="auto"/>
        <w:rPr>
          <w:sz w:val="20"/>
          <w:szCs w:val="20"/>
          <w:color w:val="auto"/>
        </w:rPr>
      </w:pPr>
      <w:r>
        <w:rPr>
          <w:rFonts w:ascii="Arial" w:cs="Arial" w:eastAsia="Arial" w:hAnsi="Arial"/>
          <w:sz w:val="14"/>
          <w:szCs w:val="14"/>
          <w:color w:val="auto"/>
        </w:rPr>
        <w:t>There have been no material changes from the risk factors described in the Company’s Annual Report on Form 10-K for the year ended December 31, 2018 in response to Item 1A of Part I of such Form 10-K.</w:t>
      </w:r>
    </w:p>
    <w:p>
      <w:pPr>
        <w:spacing w:after="0" w:line="84"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ITEM 2. UNREGISTERED SALES OF EQUITY SECURITIES AND USE OF PROCEEDS</w:t>
      </w:r>
    </w:p>
    <w:p>
      <w:pPr>
        <w:spacing w:after="0" w:line="145" w:lineRule="exact"/>
        <w:rPr>
          <w:sz w:val="20"/>
          <w:szCs w:val="20"/>
          <w:color w:val="auto"/>
        </w:rPr>
      </w:pPr>
    </w:p>
    <w:p>
      <w:pPr>
        <w:spacing w:after="0"/>
        <w:rPr>
          <w:sz w:val="20"/>
          <w:szCs w:val="20"/>
          <w:color w:val="auto"/>
        </w:rPr>
      </w:pPr>
      <w:r>
        <w:rPr>
          <w:rFonts w:ascii="Arial" w:cs="Arial" w:eastAsia="Arial" w:hAnsi="Arial"/>
          <w:sz w:val="14"/>
          <w:szCs w:val="14"/>
          <w:b w:val="1"/>
          <w:bCs w:val="1"/>
          <w:i w:val="1"/>
          <w:iCs w:val="1"/>
          <w:color w:val="auto"/>
        </w:rPr>
        <w:t>Stock Repurchases</w:t>
      </w:r>
    </w:p>
    <w:p>
      <w:pPr>
        <w:spacing w:after="0" w:line="141" w:lineRule="exact"/>
        <w:rPr>
          <w:sz w:val="20"/>
          <w:szCs w:val="20"/>
          <w:color w:val="auto"/>
        </w:rPr>
      </w:pPr>
    </w:p>
    <w:p>
      <w:pPr>
        <w:spacing w:after="0"/>
        <w:rPr>
          <w:sz w:val="20"/>
          <w:szCs w:val="20"/>
          <w:color w:val="auto"/>
        </w:rPr>
      </w:pPr>
      <w:r>
        <w:rPr>
          <w:rFonts w:ascii="Arial" w:cs="Arial" w:eastAsia="Arial" w:hAnsi="Arial"/>
          <w:sz w:val="13"/>
          <w:szCs w:val="13"/>
          <w:color w:val="auto"/>
        </w:rPr>
        <w:t>The following table summarizes the repurchases of Class A common stock during the first quarter of 2019 by the Company or any “affiliated purchaser” of the Company, as defined in Rule 10b-18(a)</w:t>
      </w:r>
    </w:p>
    <w:p>
      <w:pPr>
        <w:spacing w:after="0" w:line="33" w:lineRule="exact"/>
        <w:rPr>
          <w:sz w:val="20"/>
          <w:szCs w:val="20"/>
          <w:color w:val="auto"/>
        </w:rPr>
      </w:pPr>
    </w:p>
    <w:p>
      <w:pPr>
        <w:ind w:firstLine="6"/>
        <w:spacing w:after="0" w:line="274" w:lineRule="auto"/>
        <w:tabs>
          <w:tab w:leader="none" w:pos="213" w:val="left"/>
        </w:tabs>
        <w:numPr>
          <w:ilvl w:val="0"/>
          <w:numId w:val="36"/>
        </w:numPr>
        <w:rPr>
          <w:rFonts w:ascii="Arial" w:cs="Arial" w:eastAsia="Arial" w:hAnsi="Arial"/>
          <w:sz w:val="14"/>
          <w:szCs w:val="14"/>
          <w:color w:val="auto"/>
        </w:rPr>
      </w:pPr>
      <w:r>
        <w:rPr>
          <w:rFonts w:ascii="Arial" w:cs="Arial" w:eastAsia="Arial" w:hAnsi="Arial"/>
          <w:sz w:val="14"/>
          <w:szCs w:val="14"/>
          <w:color w:val="auto"/>
        </w:rPr>
        <w:t>under the Securities Exchange Act of 1934. Certain share repurchases included the table below were made pursuant to a trading plan adopted by the Company in accordance with Rule 10b5-1 under the Securities Exchange Act of 1934.</w:t>
      </w:r>
    </w:p>
    <w:p>
      <w:pPr>
        <w:spacing w:after="0" w:line="11"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30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160" w:type="dxa"/>
            <w:vAlign w:val="bottom"/>
          </w:tcPr>
          <w:p>
            <w:pPr>
              <w:jc w:val="center"/>
              <w:spacing w:after="0"/>
              <w:rPr>
                <w:sz w:val="20"/>
                <w:szCs w:val="20"/>
                <w:color w:val="auto"/>
              </w:rPr>
            </w:pPr>
            <w:r>
              <w:rPr>
                <w:rFonts w:ascii="Arial" w:cs="Arial" w:eastAsia="Arial" w:hAnsi="Arial"/>
                <w:sz w:val="13"/>
                <w:szCs w:val="13"/>
                <w:b w:val="1"/>
                <w:bCs w:val="1"/>
                <w:color w:val="auto"/>
                <w:w w:val="88"/>
              </w:rPr>
              <w:t>Total number of shares purchased as</w:t>
            </w:r>
          </w:p>
        </w:tc>
        <w:tc>
          <w:tcPr>
            <w:tcW w:w="100" w:type="dxa"/>
            <w:vAlign w:val="bottom"/>
          </w:tcPr>
          <w:p>
            <w:pPr>
              <w:spacing w:after="0"/>
              <w:rPr>
                <w:sz w:val="14"/>
                <w:szCs w:val="14"/>
                <w:color w:val="auto"/>
              </w:rPr>
            </w:pPr>
          </w:p>
        </w:tc>
        <w:tc>
          <w:tcPr>
            <w:tcW w:w="2140" w:type="dxa"/>
            <w:vAlign w:val="bottom"/>
          </w:tcPr>
          <w:p>
            <w:pPr>
              <w:jc w:val="center"/>
              <w:spacing w:after="0"/>
              <w:rPr>
                <w:sz w:val="20"/>
                <w:szCs w:val="20"/>
                <w:color w:val="auto"/>
              </w:rPr>
            </w:pPr>
            <w:r>
              <w:rPr>
                <w:rFonts w:ascii="Arial" w:cs="Arial" w:eastAsia="Arial" w:hAnsi="Arial"/>
                <w:sz w:val="13"/>
                <w:szCs w:val="13"/>
                <w:b w:val="1"/>
                <w:bCs w:val="1"/>
                <w:color w:val="auto"/>
                <w:w w:val="90"/>
              </w:rPr>
              <w:t>Maximum number of shares that may</w:t>
            </w:r>
          </w:p>
        </w:tc>
      </w:tr>
      <w:tr>
        <w:trPr>
          <w:trHeight w:val="162"/>
        </w:trPr>
        <w:tc>
          <w:tcPr>
            <w:tcW w:w="30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87"/>
              </w:rPr>
              <w:t>Total number of shares</w:t>
            </w:r>
          </w:p>
        </w:tc>
        <w:tc>
          <w:tcPr>
            <w:tcW w:w="120" w:type="dxa"/>
            <w:vAlign w:val="bottom"/>
          </w:tcPr>
          <w:p>
            <w:pPr>
              <w:spacing w:after="0"/>
              <w:rPr>
                <w:sz w:val="14"/>
                <w:szCs w:val="14"/>
                <w:color w:val="auto"/>
              </w:rPr>
            </w:pPr>
          </w:p>
        </w:tc>
        <w:tc>
          <w:tcPr>
            <w:tcW w:w="156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89"/>
              </w:rPr>
              <w:t>Average price paid per</w:t>
            </w:r>
          </w:p>
        </w:tc>
        <w:tc>
          <w:tcPr>
            <w:tcW w:w="2160" w:type="dxa"/>
            <w:vAlign w:val="bottom"/>
          </w:tcPr>
          <w:p>
            <w:pPr>
              <w:jc w:val="center"/>
              <w:spacing w:after="0"/>
              <w:rPr>
                <w:sz w:val="20"/>
                <w:szCs w:val="20"/>
                <w:color w:val="auto"/>
              </w:rPr>
            </w:pPr>
            <w:r>
              <w:rPr>
                <w:rFonts w:ascii="Arial" w:cs="Arial" w:eastAsia="Arial" w:hAnsi="Arial"/>
                <w:sz w:val="13"/>
                <w:szCs w:val="13"/>
                <w:b w:val="1"/>
                <w:bCs w:val="1"/>
                <w:color w:val="auto"/>
                <w:w w:val="88"/>
              </w:rPr>
              <w:t>part of publicly announced plans or</w:t>
            </w:r>
          </w:p>
        </w:tc>
        <w:tc>
          <w:tcPr>
            <w:tcW w:w="100" w:type="dxa"/>
            <w:vAlign w:val="bottom"/>
          </w:tcPr>
          <w:p>
            <w:pPr>
              <w:spacing w:after="0"/>
              <w:rPr>
                <w:sz w:val="14"/>
                <w:szCs w:val="14"/>
                <w:color w:val="auto"/>
              </w:rPr>
            </w:pPr>
          </w:p>
        </w:tc>
        <w:tc>
          <w:tcPr>
            <w:tcW w:w="2140" w:type="dxa"/>
            <w:vAlign w:val="bottom"/>
          </w:tcPr>
          <w:p>
            <w:pPr>
              <w:jc w:val="center"/>
              <w:spacing w:after="0"/>
              <w:rPr>
                <w:sz w:val="20"/>
                <w:szCs w:val="20"/>
                <w:color w:val="auto"/>
              </w:rPr>
            </w:pPr>
            <w:r>
              <w:rPr>
                <w:rFonts w:ascii="Arial" w:cs="Arial" w:eastAsia="Arial" w:hAnsi="Arial"/>
                <w:sz w:val="13"/>
                <w:szCs w:val="13"/>
                <w:b w:val="1"/>
                <w:bCs w:val="1"/>
                <w:color w:val="auto"/>
                <w:w w:val="88"/>
              </w:rPr>
              <w:t>yet be purchased under the plans or</w:t>
            </w:r>
          </w:p>
        </w:tc>
      </w:tr>
      <w:tr>
        <w:trPr>
          <w:trHeight w:val="167"/>
        </w:trPr>
        <w:tc>
          <w:tcPr>
            <w:tcW w:w="3160" w:type="dxa"/>
            <w:vAlign w:val="bottom"/>
            <w:gridSpan w:val="2"/>
          </w:tcPr>
          <w:p>
            <w:pPr>
              <w:ind w:left="1360"/>
              <w:spacing w:after="0"/>
              <w:rPr>
                <w:sz w:val="20"/>
                <w:szCs w:val="20"/>
                <w:color w:val="auto"/>
              </w:rPr>
            </w:pPr>
            <w:r>
              <w:rPr>
                <w:rFonts w:ascii="Arial" w:cs="Arial" w:eastAsia="Arial" w:hAnsi="Arial"/>
                <w:sz w:val="13"/>
                <w:szCs w:val="13"/>
                <w:b w:val="1"/>
                <w:bCs w:val="1"/>
                <w:color w:val="auto"/>
              </w:rPr>
              <w:t>Period</w:t>
            </w:r>
          </w:p>
        </w:tc>
        <w:tc>
          <w:tcPr>
            <w:tcW w:w="200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86"/>
              </w:rPr>
              <w:t>purchased (a)</w:t>
            </w:r>
          </w:p>
        </w:tc>
        <w:tc>
          <w:tcPr>
            <w:tcW w:w="120" w:type="dxa"/>
            <w:vAlign w:val="bottom"/>
          </w:tcPr>
          <w:p>
            <w:pPr>
              <w:spacing w:after="0"/>
              <w:rPr>
                <w:sz w:val="14"/>
                <w:szCs w:val="14"/>
                <w:color w:val="auto"/>
              </w:rPr>
            </w:pPr>
          </w:p>
        </w:tc>
        <w:tc>
          <w:tcPr>
            <w:tcW w:w="156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86"/>
              </w:rPr>
              <w:t>share</w:t>
            </w:r>
          </w:p>
        </w:tc>
        <w:tc>
          <w:tcPr>
            <w:tcW w:w="2160" w:type="dxa"/>
            <w:vAlign w:val="bottom"/>
          </w:tcPr>
          <w:p>
            <w:pPr>
              <w:jc w:val="center"/>
              <w:spacing w:after="0"/>
              <w:rPr>
                <w:sz w:val="20"/>
                <w:szCs w:val="20"/>
                <w:color w:val="auto"/>
              </w:rPr>
            </w:pPr>
            <w:r>
              <w:rPr>
                <w:rFonts w:ascii="Arial" w:cs="Arial" w:eastAsia="Arial" w:hAnsi="Arial"/>
                <w:sz w:val="13"/>
                <w:szCs w:val="13"/>
                <w:b w:val="1"/>
                <w:bCs w:val="1"/>
                <w:color w:val="auto"/>
                <w:w w:val="89"/>
              </w:rPr>
              <w:t>programs (b)</w:t>
            </w:r>
          </w:p>
        </w:tc>
        <w:tc>
          <w:tcPr>
            <w:tcW w:w="100" w:type="dxa"/>
            <w:vAlign w:val="bottom"/>
          </w:tcPr>
          <w:p>
            <w:pPr>
              <w:spacing w:after="0"/>
              <w:rPr>
                <w:sz w:val="14"/>
                <w:szCs w:val="14"/>
                <w:color w:val="auto"/>
              </w:rPr>
            </w:pPr>
          </w:p>
        </w:tc>
        <w:tc>
          <w:tcPr>
            <w:tcW w:w="2140" w:type="dxa"/>
            <w:vAlign w:val="bottom"/>
          </w:tcPr>
          <w:p>
            <w:pPr>
              <w:jc w:val="center"/>
              <w:spacing w:after="0"/>
              <w:rPr>
                <w:sz w:val="20"/>
                <w:szCs w:val="20"/>
                <w:color w:val="auto"/>
              </w:rPr>
            </w:pPr>
            <w:r>
              <w:rPr>
                <w:rFonts w:ascii="Arial" w:cs="Arial" w:eastAsia="Arial" w:hAnsi="Arial"/>
                <w:sz w:val="13"/>
                <w:szCs w:val="13"/>
                <w:b w:val="1"/>
                <w:bCs w:val="1"/>
                <w:color w:val="auto"/>
                <w:w w:val="89"/>
              </w:rPr>
              <w:t>programs (b)</w:t>
            </w:r>
          </w:p>
        </w:tc>
      </w:tr>
      <w:tr>
        <w:trPr>
          <w:trHeight w:val="27"/>
        </w:trPr>
        <w:tc>
          <w:tcPr>
            <w:tcW w:w="3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140" w:type="dxa"/>
            <w:vAlign w:val="bottom"/>
            <w:tcBorders>
              <w:bottom w:val="single" w:sz="8" w:color="auto"/>
            </w:tcBorders>
          </w:tcPr>
          <w:p>
            <w:pPr>
              <w:spacing w:after="0"/>
              <w:rPr>
                <w:sz w:val="2"/>
                <w:szCs w:val="2"/>
                <w:color w:val="auto"/>
              </w:rPr>
            </w:pPr>
          </w:p>
        </w:tc>
      </w:tr>
      <w:tr>
        <w:trPr>
          <w:trHeight w:val="176"/>
        </w:trPr>
        <w:tc>
          <w:tcPr>
            <w:tcW w:w="31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3"/>
                <w:szCs w:val="13"/>
                <w:color w:val="auto"/>
              </w:rPr>
              <w:t>January 1 - January 31, 2019</w:t>
            </w:r>
          </w:p>
        </w:tc>
        <w:tc>
          <w:tcPr>
            <w:tcW w:w="1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57,761</w:t>
            </w:r>
          </w:p>
        </w:tc>
        <w:tc>
          <w:tcPr>
            <w:tcW w:w="100" w:type="dxa"/>
            <w:vAlign w:val="bottom"/>
            <w:tcBorders>
              <w:bottom w:val="single" w:sz="8" w:color="CCEEFF"/>
            </w:tcBorders>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52.40</w:t>
            </w:r>
          </w:p>
        </w:tc>
        <w:tc>
          <w:tcPr>
            <w:tcW w:w="80" w:type="dxa"/>
            <w:vAlign w:val="bottom"/>
            <w:tcBorders>
              <w:bottom w:val="single" w:sz="8" w:color="CCEEFF"/>
            </w:tcBorders>
            <w:shd w:val="clear" w:color="auto" w:fill="CCEEFF"/>
          </w:tcPr>
          <w:p>
            <w:pPr>
              <w:spacing w:after="0"/>
              <w:rPr>
                <w:sz w:val="15"/>
                <w:szCs w:val="15"/>
                <w:color w:val="auto"/>
              </w:rPr>
            </w:pPr>
          </w:p>
        </w:tc>
        <w:tc>
          <w:tcPr>
            <w:tcW w:w="2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57,630</w:t>
            </w:r>
          </w:p>
        </w:tc>
        <w:tc>
          <w:tcPr>
            <w:tcW w:w="22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3"/>
                <w:szCs w:val="13"/>
                <w:color w:val="auto"/>
              </w:rPr>
              <w:t>2,247,622</w:t>
            </w:r>
          </w:p>
        </w:tc>
      </w:tr>
      <w:tr>
        <w:trPr>
          <w:trHeight w:val="178"/>
        </w:trPr>
        <w:tc>
          <w:tcPr>
            <w:tcW w:w="3160" w:type="dxa"/>
            <w:vAlign w:val="bottom"/>
            <w:gridSpan w:val="2"/>
          </w:tcPr>
          <w:p>
            <w:pPr>
              <w:ind w:left="20"/>
              <w:spacing w:after="0"/>
              <w:rPr>
                <w:sz w:val="20"/>
                <w:szCs w:val="20"/>
                <w:color w:val="auto"/>
              </w:rPr>
            </w:pPr>
            <w:r>
              <w:rPr>
                <w:rFonts w:ascii="Arial" w:cs="Arial" w:eastAsia="Arial" w:hAnsi="Arial"/>
                <w:sz w:val="13"/>
                <w:szCs w:val="13"/>
                <w:color w:val="auto"/>
              </w:rPr>
              <w:t>February 1 - February 28, 2019</w:t>
            </w:r>
          </w:p>
        </w:tc>
        <w:tc>
          <w:tcPr>
            <w:tcW w:w="200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5"/>
                <w:szCs w:val="15"/>
                <w:color w:val="auto"/>
              </w:rPr>
            </w:pPr>
          </w:p>
        </w:tc>
        <w:tc>
          <w:tcPr>
            <w:tcW w:w="156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2160" w:type="dxa"/>
            <w:vAlign w:val="bottom"/>
          </w:tcPr>
          <w:p>
            <w:pPr>
              <w:jc w:val="right"/>
              <w:spacing w:after="0"/>
              <w:rPr>
                <w:sz w:val="20"/>
                <w:szCs w:val="20"/>
                <w:color w:val="auto"/>
              </w:rPr>
            </w:pPr>
            <w:r>
              <w:rPr>
                <w:rFonts w:ascii="Arial" w:cs="Arial" w:eastAsia="Arial" w:hAnsi="Arial"/>
                <w:sz w:val="13"/>
                <w:szCs w:val="13"/>
                <w:color w:val="auto"/>
              </w:rPr>
              <w:t>—</w:t>
            </w:r>
          </w:p>
        </w:tc>
        <w:tc>
          <w:tcPr>
            <w:tcW w:w="2240" w:type="dxa"/>
            <w:vAlign w:val="bottom"/>
            <w:gridSpan w:val="2"/>
          </w:tcPr>
          <w:p>
            <w:pPr>
              <w:jc w:val="right"/>
              <w:spacing w:after="0"/>
              <w:rPr>
                <w:sz w:val="20"/>
                <w:szCs w:val="20"/>
                <w:color w:val="auto"/>
              </w:rPr>
            </w:pPr>
            <w:r>
              <w:rPr>
                <w:rFonts w:ascii="Arial" w:cs="Arial" w:eastAsia="Arial" w:hAnsi="Arial"/>
                <w:sz w:val="13"/>
                <w:szCs w:val="13"/>
                <w:color w:val="auto"/>
              </w:rPr>
              <w:t>2,247,622</w:t>
            </w:r>
          </w:p>
        </w:tc>
      </w:tr>
      <w:tr>
        <w:trPr>
          <w:trHeight w:val="27"/>
        </w:trPr>
        <w:tc>
          <w:tcPr>
            <w:tcW w:w="3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80" w:type="dxa"/>
            <w:vAlign w:val="bottom"/>
          </w:tcPr>
          <w:p>
            <w:pPr>
              <w:spacing w:after="0"/>
              <w:rPr>
                <w:sz w:val="2"/>
                <w:szCs w:val="2"/>
                <w:color w:val="auto"/>
              </w:rPr>
            </w:pPr>
          </w:p>
        </w:tc>
        <w:tc>
          <w:tcPr>
            <w:tcW w:w="80" w:type="dxa"/>
            <w:vAlign w:val="bottom"/>
          </w:tcPr>
          <w:p>
            <w:pPr>
              <w:spacing w:after="0"/>
              <w:rPr>
                <w:sz w:val="2"/>
                <w:szCs w:val="2"/>
                <w:color w:val="auto"/>
              </w:rPr>
            </w:pPr>
          </w:p>
        </w:tc>
        <w:tc>
          <w:tcPr>
            <w:tcW w:w="2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140" w:type="dxa"/>
            <w:vAlign w:val="bottom"/>
          </w:tcPr>
          <w:p>
            <w:pPr>
              <w:spacing w:after="0"/>
              <w:rPr>
                <w:sz w:val="2"/>
                <w:szCs w:val="2"/>
                <w:color w:val="auto"/>
              </w:rPr>
            </w:pPr>
          </w:p>
        </w:tc>
      </w:tr>
      <w:tr>
        <w:trPr>
          <w:trHeight w:val="205"/>
        </w:trPr>
        <w:tc>
          <w:tcPr>
            <w:tcW w:w="31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3"/>
                <w:szCs w:val="13"/>
                <w:color w:val="auto"/>
              </w:rPr>
              <w:t>March 1 - March 31, 2019</w:t>
            </w:r>
          </w:p>
        </w:tc>
        <w:tc>
          <w:tcPr>
            <w:tcW w:w="1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243,566</w:t>
            </w:r>
          </w:p>
        </w:tc>
        <w:tc>
          <w:tcPr>
            <w:tcW w:w="10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CCEEFF"/>
            </w:tcBorders>
            <w:shd w:val="clear" w:color="auto" w:fill="CCEEFF"/>
          </w:tcPr>
          <w:p>
            <w:pPr>
              <w:spacing w:after="0"/>
              <w:rPr>
                <w:sz w:val="17"/>
                <w:szCs w:val="17"/>
                <w:color w:val="auto"/>
              </w:rPr>
            </w:pPr>
          </w:p>
        </w:tc>
        <w:tc>
          <w:tcPr>
            <w:tcW w:w="1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54.73</w:t>
            </w:r>
          </w:p>
        </w:tc>
        <w:tc>
          <w:tcPr>
            <w:tcW w:w="80" w:type="dxa"/>
            <w:vAlign w:val="bottom"/>
            <w:tcBorders>
              <w:bottom w:val="single" w:sz="8" w:color="CCEEFF"/>
            </w:tcBorders>
            <w:shd w:val="clear" w:color="auto" w:fill="CCEEFF"/>
          </w:tcPr>
          <w:p>
            <w:pPr>
              <w:spacing w:after="0"/>
              <w:rPr>
                <w:sz w:val="17"/>
                <w:szCs w:val="17"/>
                <w:color w:val="auto"/>
              </w:rPr>
            </w:pPr>
          </w:p>
        </w:tc>
        <w:tc>
          <w:tcPr>
            <w:tcW w:w="2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219,597</w:t>
            </w:r>
          </w:p>
        </w:tc>
        <w:tc>
          <w:tcPr>
            <w:tcW w:w="22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3"/>
                <w:szCs w:val="13"/>
                <w:color w:val="auto"/>
              </w:rPr>
              <w:t>2,028,025</w:t>
            </w:r>
          </w:p>
        </w:tc>
      </w:tr>
      <w:tr>
        <w:trPr>
          <w:trHeight w:val="193"/>
        </w:trPr>
        <w:tc>
          <w:tcPr>
            <w:tcW w:w="3160" w:type="dxa"/>
            <w:vAlign w:val="bottom"/>
            <w:gridSpan w:val="2"/>
          </w:tcPr>
          <w:p>
            <w:pPr>
              <w:ind w:left="440"/>
              <w:spacing w:after="0"/>
              <w:rPr>
                <w:sz w:val="20"/>
                <w:szCs w:val="20"/>
                <w:color w:val="auto"/>
              </w:rPr>
            </w:pPr>
            <w:r>
              <w:rPr>
                <w:rFonts w:ascii="Arial" w:cs="Arial" w:eastAsia="Arial" w:hAnsi="Arial"/>
                <w:sz w:val="13"/>
                <w:szCs w:val="13"/>
                <w:color w:val="auto"/>
              </w:rPr>
              <w:t>Total</w:t>
            </w:r>
          </w:p>
        </w:tc>
        <w:tc>
          <w:tcPr>
            <w:tcW w:w="1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301,327</w:t>
            </w:r>
          </w:p>
        </w:tc>
        <w:tc>
          <w:tcPr>
            <w:tcW w:w="100" w:type="dxa"/>
            <w:vAlign w:val="bottom"/>
          </w:tcPr>
          <w:p>
            <w:pPr>
              <w:spacing w:after="0"/>
              <w:rPr>
                <w:sz w:val="16"/>
                <w:szCs w:val="16"/>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1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54.29</w:t>
            </w:r>
          </w:p>
        </w:tc>
        <w:tc>
          <w:tcPr>
            <w:tcW w:w="80" w:type="dxa"/>
            <w:vAlign w:val="bottom"/>
          </w:tcPr>
          <w:p>
            <w:pPr>
              <w:spacing w:after="0"/>
              <w:rPr>
                <w:sz w:val="16"/>
                <w:szCs w:val="16"/>
                <w:color w:val="auto"/>
              </w:rPr>
            </w:pPr>
          </w:p>
        </w:tc>
        <w:tc>
          <w:tcPr>
            <w:tcW w:w="2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277,227</w:t>
            </w:r>
          </w:p>
        </w:tc>
        <w:tc>
          <w:tcPr>
            <w:tcW w:w="100" w:type="dxa"/>
            <w:vAlign w:val="bottom"/>
          </w:tcPr>
          <w:p>
            <w:pPr>
              <w:spacing w:after="0"/>
              <w:rPr>
                <w:sz w:val="16"/>
                <w:szCs w:val="16"/>
                <w:color w:val="auto"/>
              </w:rPr>
            </w:pPr>
          </w:p>
        </w:tc>
        <w:tc>
          <w:tcPr>
            <w:tcW w:w="2140" w:type="dxa"/>
            <w:vAlign w:val="bottom"/>
          </w:tcPr>
          <w:p>
            <w:pPr>
              <w:spacing w:after="0"/>
              <w:rPr>
                <w:sz w:val="16"/>
                <w:szCs w:val="16"/>
                <w:color w:val="auto"/>
              </w:rPr>
            </w:pPr>
          </w:p>
        </w:tc>
      </w:tr>
      <w:tr>
        <w:trPr>
          <w:trHeight w:val="20"/>
        </w:trPr>
        <w:tc>
          <w:tcPr>
            <w:tcW w:w="30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r>
    </w:tbl>
    <w:p>
      <w:pPr>
        <w:spacing w:after="0" w:line="163" w:lineRule="exact"/>
        <w:rPr>
          <w:sz w:val="20"/>
          <w:szCs w:val="20"/>
          <w:color w:val="auto"/>
        </w:rPr>
      </w:pPr>
    </w:p>
    <w:p>
      <w:pPr>
        <w:ind w:left="260" w:hanging="254"/>
        <w:spacing w:after="0" w:line="315" w:lineRule="auto"/>
        <w:tabs>
          <w:tab w:leader="none" w:pos="216" w:val="left"/>
        </w:tabs>
        <w:numPr>
          <w:ilvl w:val="0"/>
          <w:numId w:val="37"/>
        </w:numPr>
        <w:rPr>
          <w:rFonts w:ascii="Arial" w:cs="Arial" w:eastAsia="Arial" w:hAnsi="Arial"/>
          <w:sz w:val="12"/>
          <w:szCs w:val="12"/>
          <w:color w:val="auto"/>
        </w:rPr>
      </w:pPr>
      <w:r>
        <w:rPr>
          <w:rFonts w:ascii="Arial" w:cs="Arial" w:eastAsia="Arial" w:hAnsi="Arial"/>
          <w:sz w:val="12"/>
          <w:szCs w:val="12"/>
          <w:color w:val="auto"/>
        </w:rPr>
        <w:t>The total number of shares includes: (i) shares repurchased pursuant to the stock repurchase program discussed in footnote (b) below; and (ii) shares owned and tendered by employees to satisfy tax withholding obligations upon the vesting of restricted shares. Shares of Class A common stock tendered by employees to satisfy tax withholding obligations included 131 shares, 0 shares, and 23,969</w:t>
      </w:r>
    </w:p>
    <w:p>
      <w:pPr>
        <w:spacing w:after="0" w:line="200" w:lineRule="exact"/>
        <w:rPr>
          <w:sz w:val="20"/>
          <w:szCs w:val="20"/>
          <w:color w:val="auto"/>
        </w:rPr>
      </w:pPr>
    </w:p>
    <w:p>
      <w:pPr>
        <w:spacing w:after="0" w:line="310"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58</w:t>
      </w:r>
    </w:p>
    <w:p>
      <w:pPr>
        <w:sectPr>
          <w:pgSz w:w="11900" w:h="16838" w:orient="portrait"/>
          <w:cols w:equalWidth="0" w:num="1">
            <w:col w:w="11460"/>
          </w:cols>
          <w:pgMar w:left="220" w:top="868" w:right="219" w:bottom="1440" w:gutter="0" w:footer="0" w:header="0"/>
        </w:sectPr>
      </w:pPr>
    </w:p>
    <w:bookmarkStart w:id="59" w:name="page60"/>
    <w:bookmarkEnd w:id="59"/>
    <w:p>
      <w:pPr>
        <w:ind w:left="260"/>
        <w:spacing w:after="0" w:line="272" w:lineRule="auto"/>
        <w:rPr>
          <w:sz w:val="20"/>
          <w:szCs w:val="20"/>
          <w:color w:val="auto"/>
        </w:rPr>
      </w:pPr>
      <w:r>
        <w:rPr>
          <w:rFonts w:ascii="Arial" w:cs="Arial" w:eastAsia="Arial" w:hAnsi="Arial"/>
          <w:sz w:val="13"/>
          <w:szCs w:val="13"/>
          <w:color w:val="auto"/>
        </w:rPr>
        <w:t>shares in January, February, and March 2019, respectively. Unless otherwise indicated, shares owned and tendered by employees to satisfy tax withholding obligations were purchased at the closing price of the Company's shares on the date of vesting.</w:t>
      </w:r>
    </w:p>
    <w:p>
      <w:pPr>
        <w:spacing w:after="0" w:line="92" w:lineRule="exact"/>
        <w:rPr>
          <w:sz w:val="20"/>
          <w:szCs w:val="20"/>
          <w:color w:val="auto"/>
        </w:rPr>
      </w:pPr>
    </w:p>
    <w:p>
      <w:pPr>
        <w:ind w:left="260" w:hanging="254"/>
        <w:spacing w:after="0" w:line="252" w:lineRule="auto"/>
        <w:tabs>
          <w:tab w:leader="none" w:pos="200" w:val="left"/>
        </w:tabs>
        <w:numPr>
          <w:ilvl w:val="0"/>
          <w:numId w:val="38"/>
        </w:numPr>
        <w:rPr>
          <w:rFonts w:ascii="Arial" w:cs="Arial" w:eastAsia="Arial" w:hAnsi="Arial"/>
          <w:sz w:val="13"/>
          <w:szCs w:val="13"/>
          <w:color w:val="auto"/>
        </w:rPr>
      </w:pPr>
      <w:r>
        <w:rPr>
          <w:rFonts w:ascii="Arial" w:cs="Arial" w:eastAsia="Arial" w:hAnsi="Arial"/>
          <w:sz w:val="13"/>
          <w:szCs w:val="13"/>
          <w:color w:val="auto"/>
        </w:rPr>
        <w:t>On August 4, 2016, the Company announced that its Board of Directors had authorized a stock repurchase program in May 2016 to repurchase up to a total of five million shares of the Company's Class A common stock during the three-year period ending May 25, 2019. On May 8, 2019, the Company announced that its Board of Directors authorized a new stock repurchase program to repurchase up to a total of five million shares of the Company's Class A common stock during the three-year period ending May 7, 2022. The five million shares authorized under the new program include the remaining unrepurchased shares from the prior program, which the new program replaces.</w:t>
      </w:r>
    </w:p>
    <w:p>
      <w:pPr>
        <w:spacing w:after="0" w:line="190" w:lineRule="exact"/>
        <w:rPr>
          <w:sz w:val="20"/>
          <w:szCs w:val="20"/>
          <w:color w:val="auto"/>
        </w:rPr>
      </w:pPr>
    </w:p>
    <w:p>
      <w:pPr>
        <w:spacing w:after="0"/>
        <w:rPr>
          <w:sz w:val="20"/>
          <w:szCs w:val="20"/>
          <w:color w:val="auto"/>
        </w:rPr>
      </w:pPr>
      <w:r>
        <w:rPr>
          <w:rFonts w:ascii="Arial" w:cs="Arial" w:eastAsia="Arial" w:hAnsi="Arial"/>
          <w:sz w:val="14"/>
          <w:szCs w:val="14"/>
          <w:b w:val="1"/>
          <w:bCs w:val="1"/>
          <w:i w:val="1"/>
          <w:iCs w:val="1"/>
          <w:color w:val="auto"/>
        </w:rPr>
        <w:t>Working capital and dividend restrictions/limitations</w:t>
      </w:r>
    </w:p>
    <w:p>
      <w:pPr>
        <w:spacing w:after="0" w:line="141" w:lineRule="exact"/>
        <w:rPr>
          <w:sz w:val="20"/>
          <w:szCs w:val="20"/>
          <w:color w:val="auto"/>
        </w:rPr>
      </w:pPr>
    </w:p>
    <w:p>
      <w:pPr>
        <w:jc w:val="both"/>
        <w:spacing w:after="0" w:line="262" w:lineRule="auto"/>
        <w:rPr>
          <w:sz w:val="20"/>
          <w:szCs w:val="20"/>
          <w:color w:val="auto"/>
        </w:rPr>
      </w:pPr>
      <w:r>
        <w:rPr>
          <w:rFonts w:ascii="Arial" w:cs="Arial" w:eastAsia="Arial" w:hAnsi="Arial"/>
          <w:sz w:val="14"/>
          <w:szCs w:val="14"/>
          <w:color w:val="auto"/>
        </w:rPr>
        <w:t>The Company's $382.5 million unsecured line of credit, which is available through June 22, 2023, imposes restrictions on the payment of dividends through covenants requiring a minimum consolidated net worth and a minimum level of unencumbered cash, cash equivalent investments, and available borrowing capacity under the line of credit. In addition, trust indentures and other financing agreements governing debt issued by the Company's education lending subsidiaries generally have limitations on the amounts of funds that can be transferred to the Company by its subsidiaries through cash dividends at certain times. Further, the payment of dividends by the Company is subject to the terms of the Company's outstanding junior subordinated hybrid securities, which generally provide that if the Company defers interest payments on those securities it cannot pay dividends on its capital stock. These provisions do not currently materially limit the Company's ability to pay dividends, and, based on the Company's current financial condition and recent results of operations, the Company does not currently anticipate that these provisions will materially limit the future payment of dividends.</w:t>
      </w:r>
    </w:p>
    <w:p>
      <w:pPr>
        <w:sectPr>
          <w:pgSz w:w="11900" w:h="16838" w:orient="portrait"/>
          <w:cols w:equalWidth="0" w:num="1">
            <w:col w:w="11460"/>
          </w:cols>
          <w:pgMar w:left="220" w:top="916" w:right="219" w:bottom="1440" w:gutter="0" w:footer="0" w:header="0"/>
        </w:sectPr>
      </w:pPr>
    </w:p>
    <w:p>
      <w:pPr>
        <w:spacing w:after="0" w:line="102"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ITEM 6. EXHIBITS</w:t>
      </w:r>
    </w:p>
    <w:p>
      <w:pPr>
        <w:spacing w:after="0" w:line="188" w:lineRule="exact"/>
        <w:rPr>
          <w:sz w:val="20"/>
          <w:szCs w:val="20"/>
          <w:color w:val="auto"/>
        </w:rPr>
      </w:pPr>
    </w:p>
    <w:p>
      <w:pPr>
        <w:ind w:left="20"/>
        <w:spacing w:after="0"/>
        <w:rPr>
          <w:sz w:val="20"/>
          <w:szCs w:val="20"/>
          <w:color w:val="auto"/>
        </w:rPr>
      </w:pPr>
      <w:r>
        <w:rPr>
          <w:rFonts w:ascii="Arial" w:cs="Arial" w:eastAsia="Arial" w:hAnsi="Arial"/>
          <w:sz w:val="14"/>
          <w:szCs w:val="14"/>
          <w:color w:val="auto"/>
        </w:rPr>
        <w:t>10.1</w:t>
      </w:r>
    </w:p>
    <w:p>
      <w:pPr>
        <w:spacing w:after="0" w:line="205" w:lineRule="exact"/>
        <w:rPr>
          <w:sz w:val="20"/>
          <w:szCs w:val="20"/>
          <w:color w:val="auto"/>
        </w:rPr>
      </w:pPr>
    </w:p>
    <w:p>
      <w:pPr>
        <w:ind w:left="20"/>
        <w:spacing w:after="0"/>
        <w:rPr>
          <w:sz w:val="20"/>
          <w:szCs w:val="20"/>
          <w:color w:val="auto"/>
        </w:rPr>
      </w:pPr>
      <w:r>
        <w:rPr>
          <w:rFonts w:ascii="Arial" w:cs="Arial" w:eastAsia="Arial" w:hAnsi="Arial"/>
          <w:sz w:val="14"/>
          <w:szCs w:val="14"/>
          <w:color w:val="auto"/>
        </w:rPr>
        <w:t>10.2</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20" w:lineRule="exact"/>
        <w:rPr>
          <w:sz w:val="20"/>
          <w:szCs w:val="20"/>
          <w:color w:val="auto"/>
        </w:rPr>
      </w:pPr>
    </w:p>
    <w:p>
      <w:pPr>
        <w:ind w:right="100"/>
        <w:spacing w:after="0"/>
        <w:rPr>
          <w:rFonts w:ascii="Arial" w:cs="Arial" w:eastAsia="Arial" w:hAnsi="Arial"/>
          <w:sz w:val="14"/>
          <w:szCs w:val="14"/>
          <w:u w:val="single" w:color="auto"/>
          <w:color w:val="0000FF"/>
        </w:rPr>
      </w:pPr>
      <w:hyperlink r:id="rId65">
        <w:r>
          <w:rPr>
            <w:rFonts w:ascii="Arial" w:cs="Arial" w:eastAsia="Arial" w:hAnsi="Arial"/>
            <w:sz w:val="14"/>
            <w:szCs w:val="14"/>
            <w:u w:val="single" w:color="auto"/>
            <w:color w:val="0000FF"/>
          </w:rPr>
          <w:t>Aircraft Joint Ownership Agreement dated as of January 1, 2019, by and between National Education Loan Network, Inc. and MSD711, LLC, filed as Exhibit 10.43 to the</w:t>
        </w:r>
      </w:hyperlink>
      <w:r>
        <w:rPr>
          <w:rFonts w:ascii="Arial" w:cs="Arial" w:eastAsia="Arial" w:hAnsi="Arial"/>
          <w:sz w:val="14"/>
          <w:szCs w:val="14"/>
          <w:u w:val="single" w:color="auto"/>
          <w:color w:val="0000FF"/>
        </w:rPr>
        <w:t xml:space="preserve"> </w:t>
      </w:r>
      <w:hyperlink r:id="rId65">
        <w:r>
          <w:rPr>
            <w:rFonts w:ascii="Arial" w:cs="Arial" w:eastAsia="Arial" w:hAnsi="Arial"/>
            <w:sz w:val="14"/>
            <w:szCs w:val="14"/>
            <w:u w:val="single" w:color="auto"/>
            <w:color w:val="0000FF"/>
          </w:rPr>
          <w:t>registrant's Annual Report on Form 10-K for the year ended December 31, 2018 and incorporated herein by reference.</w:t>
        </w:r>
      </w:hyperlink>
    </w:p>
    <w:p>
      <w:pPr>
        <w:spacing w:after="0" w:line="44" w:lineRule="exact"/>
        <w:rPr>
          <w:sz w:val="20"/>
          <w:szCs w:val="20"/>
          <w:color w:val="auto"/>
        </w:rPr>
      </w:pPr>
    </w:p>
    <w:p>
      <w:pPr>
        <w:ind w:right="100"/>
        <w:spacing w:after="0"/>
        <w:rPr>
          <w:rFonts w:ascii="Arial" w:cs="Arial" w:eastAsia="Arial" w:hAnsi="Arial"/>
          <w:sz w:val="14"/>
          <w:szCs w:val="14"/>
          <w:u w:val="single" w:color="auto"/>
          <w:color w:val="0000FF"/>
        </w:rPr>
      </w:pPr>
      <w:hyperlink r:id="rId66">
        <w:r>
          <w:rPr>
            <w:rFonts w:ascii="Arial" w:cs="Arial" w:eastAsia="Arial" w:hAnsi="Arial"/>
            <w:sz w:val="14"/>
            <w:szCs w:val="14"/>
            <w:u w:val="single" w:color="auto"/>
            <w:color w:val="0000FF"/>
          </w:rPr>
          <w:t>Aircraft Management Agreement, dated as of January 1, 2019, by and between Duncan Aviation, Inc. and National Education Loan Network, Inc. and MSD711, LLC, filed</w:t>
        </w:r>
      </w:hyperlink>
      <w:r>
        <w:rPr>
          <w:rFonts w:ascii="Arial" w:cs="Arial" w:eastAsia="Arial" w:hAnsi="Arial"/>
          <w:sz w:val="14"/>
          <w:szCs w:val="14"/>
          <w:u w:val="single" w:color="auto"/>
          <w:color w:val="0000FF"/>
        </w:rPr>
        <w:t xml:space="preserve"> </w:t>
      </w:r>
      <w:hyperlink r:id="rId66">
        <w:r>
          <w:rPr>
            <w:rFonts w:ascii="Arial" w:cs="Arial" w:eastAsia="Arial" w:hAnsi="Arial"/>
            <w:sz w:val="14"/>
            <w:szCs w:val="14"/>
            <w:u w:val="single" w:color="auto"/>
            <w:color w:val="0000FF"/>
          </w:rPr>
          <w:t>as Exhibit 10.44 to the registrant's Annual Report on Form 10-K for the year ended December 31, 2018 and incorporated herein by reference.</w:t>
        </w:r>
      </w:hyperlink>
    </w:p>
    <w:p>
      <w:pPr>
        <w:spacing w:after="0" w:line="34" w:lineRule="exact"/>
        <w:rPr>
          <w:sz w:val="20"/>
          <w:szCs w:val="20"/>
          <w:color w:val="auto"/>
        </w:rPr>
      </w:pPr>
    </w:p>
    <w:p>
      <w:pPr>
        <w:sectPr>
          <w:pgSz w:w="11900" w:h="16838" w:orient="portrait"/>
          <w:cols w:equalWidth="0" w:num="2">
            <w:col w:w="1300" w:space="180"/>
            <w:col w:w="9980"/>
          </w:cols>
          <w:pgMar w:left="220" w:top="916" w:right="219" w:bottom="1440" w:gutter="0" w:footer="0" w:header="0"/>
          <w:type w:val="continuous"/>
        </w:sectPr>
      </w:pPr>
    </w:p>
    <w:tbl>
      <w:tblPr>
        <w:tblLayout w:type="fixed"/>
        <w:tblInd w:w="20" w:type="dxa"/>
        <w:tblCellMar>
          <w:top w:w="0" w:type="dxa"/>
          <w:left w:w="0" w:type="dxa"/>
          <w:bottom w:w="0" w:type="dxa"/>
          <w:right w:w="0" w:type="dxa"/>
        </w:tblCellMar>
      </w:tblPr>
      <w:tr>
        <w:trPr>
          <w:trHeight w:val="161"/>
        </w:trPr>
        <w:tc>
          <w:tcPr>
            <w:tcW w:w="1460" w:type="dxa"/>
            <w:vAlign w:val="bottom"/>
          </w:tcPr>
          <w:p>
            <w:pPr>
              <w:spacing w:after="0"/>
              <w:rPr>
                <w:sz w:val="20"/>
                <w:szCs w:val="20"/>
                <w:color w:val="auto"/>
              </w:rPr>
            </w:pPr>
            <w:r>
              <w:rPr>
                <w:rFonts w:ascii="Arial" w:cs="Arial" w:eastAsia="Arial" w:hAnsi="Arial"/>
                <w:sz w:val="14"/>
                <w:szCs w:val="14"/>
                <w:color w:val="auto"/>
              </w:rPr>
              <w:t>10.3*</w:t>
            </w:r>
          </w:p>
        </w:tc>
        <w:tc>
          <w:tcPr>
            <w:tcW w:w="9900" w:type="dxa"/>
            <w:vAlign w:val="bottom"/>
            <w:gridSpan w:val="6"/>
          </w:tcPr>
          <w:p>
            <w:pPr>
              <w:spacing w:after="0"/>
              <w:rPr>
                <w:sz w:val="20"/>
                <w:szCs w:val="20"/>
                <w:color w:val="auto"/>
              </w:rPr>
            </w:pPr>
            <w:r>
              <w:rPr>
                <w:rFonts w:ascii="Arial" w:cs="Arial" w:eastAsia="Arial" w:hAnsi="Arial"/>
                <w:sz w:val="14"/>
                <w:szCs w:val="14"/>
                <w:color w:val="0000FF"/>
                <w:w w:val="98"/>
              </w:rPr>
              <w:t>Amended Appendix A, dated May 8, 2019, to Management Agreement, dated effective as of March 23, 2017, by and between Union Bank and Trust Company and</w:t>
            </w:r>
          </w:p>
        </w:tc>
      </w:tr>
      <w:tr>
        <w:trPr>
          <w:trHeight w:val="120"/>
        </w:trPr>
        <w:tc>
          <w:tcPr>
            <w:tcW w:w="1460" w:type="dxa"/>
            <w:vAlign w:val="bottom"/>
          </w:tcPr>
          <w:p>
            <w:pPr>
              <w:spacing w:after="0"/>
              <w:rPr>
                <w:sz w:val="10"/>
                <w:szCs w:val="10"/>
                <w:color w:val="auto"/>
              </w:rPr>
            </w:pPr>
          </w:p>
        </w:tc>
        <w:tc>
          <w:tcPr>
            <w:tcW w:w="9880" w:type="dxa"/>
            <w:vAlign w:val="bottom"/>
            <w:tcBorders>
              <w:top w:val="single" w:sz="8" w:color="0000FF"/>
            </w:tcBorders>
            <w:gridSpan w:val="5"/>
          </w:tcPr>
          <w:p>
            <w:pPr>
              <w:spacing w:after="0" w:line="120" w:lineRule="exact"/>
              <w:rPr>
                <w:sz w:val="20"/>
                <w:szCs w:val="20"/>
                <w:color w:val="auto"/>
              </w:rPr>
            </w:pPr>
            <w:r>
              <w:rPr>
                <w:rFonts w:ascii="Arial" w:cs="Arial" w:eastAsia="Arial" w:hAnsi="Arial"/>
                <w:sz w:val="13"/>
                <w:szCs w:val="13"/>
                <w:color w:val="0000FF"/>
              </w:rPr>
              <w:t>Whitetail Rock Capital Management, LLC.</w:t>
            </w:r>
          </w:p>
        </w:tc>
        <w:tc>
          <w:tcPr>
            <w:tcW w:w="20" w:type="dxa"/>
            <w:vAlign w:val="bottom"/>
          </w:tcPr>
          <w:p>
            <w:pPr>
              <w:spacing w:after="0"/>
              <w:rPr>
                <w:sz w:val="10"/>
                <w:szCs w:val="10"/>
                <w:color w:val="auto"/>
              </w:rPr>
            </w:pPr>
          </w:p>
        </w:tc>
      </w:tr>
      <w:tr>
        <w:trPr>
          <w:trHeight w:val="20"/>
        </w:trPr>
        <w:tc>
          <w:tcPr>
            <w:tcW w:w="1460" w:type="dxa"/>
            <w:vAlign w:val="bottom"/>
          </w:tcPr>
          <w:p>
            <w:pPr>
              <w:spacing w:after="0" w:line="20" w:lineRule="exact"/>
              <w:rPr>
                <w:sz w:val="1"/>
                <w:szCs w:val="1"/>
                <w:color w:val="auto"/>
              </w:rPr>
            </w:pPr>
          </w:p>
        </w:tc>
        <w:tc>
          <w:tcPr>
            <w:tcW w:w="2480" w:type="dxa"/>
            <w:vAlign w:val="bottom"/>
            <w:shd w:val="clear" w:color="auto" w:fill="0000FF"/>
          </w:tcPr>
          <w:p>
            <w:pPr>
              <w:spacing w:after="0" w:line="20" w:lineRule="exact"/>
              <w:rPr>
                <w:sz w:val="1"/>
                <w:szCs w:val="1"/>
                <w:color w:val="auto"/>
              </w:rPr>
            </w:pPr>
          </w:p>
        </w:tc>
        <w:tc>
          <w:tcPr>
            <w:tcW w:w="42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40" w:type="dxa"/>
            <w:vAlign w:val="bottom"/>
            <w:gridSpan w:val="2"/>
          </w:tcPr>
          <w:p>
            <w:pPr>
              <w:spacing w:after="0" w:line="20" w:lineRule="exact"/>
              <w:rPr>
                <w:sz w:val="1"/>
                <w:szCs w:val="1"/>
                <w:color w:val="auto"/>
              </w:rPr>
            </w:pPr>
          </w:p>
        </w:tc>
      </w:tr>
      <w:tr>
        <w:trPr>
          <w:trHeight w:val="206"/>
        </w:trPr>
        <w:tc>
          <w:tcPr>
            <w:tcW w:w="1460" w:type="dxa"/>
            <w:vAlign w:val="bottom"/>
          </w:tcPr>
          <w:p>
            <w:pPr>
              <w:spacing w:after="0"/>
              <w:rPr>
                <w:sz w:val="20"/>
                <w:szCs w:val="20"/>
                <w:color w:val="auto"/>
              </w:rPr>
            </w:pPr>
            <w:r>
              <w:rPr>
                <w:rFonts w:ascii="Arial" w:cs="Arial" w:eastAsia="Arial" w:hAnsi="Arial"/>
                <w:sz w:val="14"/>
                <w:szCs w:val="14"/>
                <w:color w:val="auto"/>
              </w:rPr>
              <w:t>31.1*</w:t>
            </w:r>
          </w:p>
        </w:tc>
        <w:tc>
          <w:tcPr>
            <w:tcW w:w="7060" w:type="dxa"/>
            <w:vAlign w:val="bottom"/>
            <w:tcBorders>
              <w:bottom w:val="single" w:sz="8" w:color="0000FF"/>
            </w:tcBorders>
            <w:gridSpan w:val="4"/>
          </w:tcPr>
          <w:p>
            <w:pPr>
              <w:spacing w:after="0"/>
              <w:rPr>
                <w:sz w:val="20"/>
                <w:szCs w:val="20"/>
                <w:color w:val="auto"/>
              </w:rPr>
            </w:pPr>
            <w:r>
              <w:rPr>
                <w:rFonts w:ascii="Arial" w:cs="Arial" w:eastAsia="Arial" w:hAnsi="Arial"/>
                <w:sz w:val="14"/>
                <w:szCs w:val="14"/>
                <w:color w:val="0000FF"/>
                <w:w w:val="94"/>
              </w:rPr>
              <w:t>Certification Pursuant to Section 302 of the Sarbanes-Oxley Act of 2002 of Chief Executive Officer Jeffrey R. Noordhoek.</w:t>
            </w:r>
          </w:p>
        </w:tc>
        <w:tc>
          <w:tcPr>
            <w:tcW w:w="2840" w:type="dxa"/>
            <w:vAlign w:val="bottom"/>
            <w:gridSpan w:val="2"/>
          </w:tcPr>
          <w:p>
            <w:pPr>
              <w:spacing w:after="0"/>
              <w:rPr>
                <w:sz w:val="17"/>
                <w:szCs w:val="17"/>
                <w:color w:val="auto"/>
              </w:rPr>
            </w:pPr>
          </w:p>
        </w:tc>
      </w:tr>
      <w:tr>
        <w:trPr>
          <w:trHeight w:val="239"/>
        </w:trPr>
        <w:tc>
          <w:tcPr>
            <w:tcW w:w="1460" w:type="dxa"/>
            <w:vAlign w:val="bottom"/>
          </w:tcPr>
          <w:p>
            <w:pPr>
              <w:spacing w:after="0"/>
              <w:rPr>
                <w:sz w:val="20"/>
                <w:szCs w:val="20"/>
                <w:color w:val="auto"/>
              </w:rPr>
            </w:pPr>
            <w:r>
              <w:rPr>
                <w:rFonts w:ascii="Arial" w:cs="Arial" w:eastAsia="Arial" w:hAnsi="Arial"/>
                <w:sz w:val="14"/>
                <w:szCs w:val="14"/>
                <w:color w:val="auto"/>
              </w:rPr>
              <w:t>31.2*</w:t>
            </w:r>
          </w:p>
        </w:tc>
        <w:tc>
          <w:tcPr>
            <w:tcW w:w="9900" w:type="dxa"/>
            <w:vAlign w:val="bottom"/>
            <w:gridSpan w:val="6"/>
          </w:tcPr>
          <w:p>
            <w:pPr>
              <w:spacing w:after="0"/>
              <w:rPr>
                <w:sz w:val="20"/>
                <w:szCs w:val="20"/>
                <w:color w:val="auto"/>
              </w:rPr>
            </w:pPr>
            <w:r>
              <w:rPr>
                <w:rFonts w:ascii="Arial" w:cs="Arial" w:eastAsia="Arial" w:hAnsi="Arial"/>
                <w:sz w:val="14"/>
                <w:szCs w:val="14"/>
                <w:color w:val="0000FF"/>
              </w:rPr>
              <w:t>Certification Pursuant to Section 302 of the Sarbanes-Oxley Act of 2002 of Chief Financial Officer James D. Kruger.</w:t>
            </w:r>
          </w:p>
        </w:tc>
      </w:tr>
      <w:tr>
        <w:trPr>
          <w:trHeight w:val="20"/>
        </w:trPr>
        <w:tc>
          <w:tcPr>
            <w:tcW w:w="1460" w:type="dxa"/>
            <w:vAlign w:val="bottom"/>
          </w:tcPr>
          <w:p>
            <w:pPr>
              <w:spacing w:after="0" w:line="20" w:lineRule="exact"/>
              <w:rPr>
                <w:sz w:val="1"/>
                <w:szCs w:val="1"/>
                <w:color w:val="auto"/>
              </w:rPr>
            </w:pPr>
          </w:p>
        </w:tc>
        <w:tc>
          <w:tcPr>
            <w:tcW w:w="6720" w:type="dxa"/>
            <w:vAlign w:val="bottom"/>
            <w:gridSpan w:val="2"/>
            <w:shd w:val="clear" w:color="auto" w:fill="0000FF"/>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900" w:type="dxa"/>
            <w:vAlign w:val="bottom"/>
            <w:gridSpan w:val="3"/>
          </w:tcPr>
          <w:p>
            <w:pPr>
              <w:spacing w:after="0" w:line="20" w:lineRule="exact"/>
              <w:rPr>
                <w:sz w:val="1"/>
                <w:szCs w:val="1"/>
                <w:color w:val="auto"/>
              </w:rPr>
            </w:pPr>
          </w:p>
        </w:tc>
      </w:tr>
      <w:tr>
        <w:trPr>
          <w:trHeight w:val="239"/>
        </w:trPr>
        <w:tc>
          <w:tcPr>
            <w:tcW w:w="1460" w:type="dxa"/>
            <w:vAlign w:val="bottom"/>
          </w:tcPr>
          <w:p>
            <w:pPr>
              <w:spacing w:after="0"/>
              <w:rPr>
                <w:sz w:val="20"/>
                <w:szCs w:val="20"/>
                <w:color w:val="auto"/>
              </w:rPr>
            </w:pPr>
            <w:r>
              <w:rPr>
                <w:rFonts w:ascii="Arial" w:cs="Arial" w:eastAsia="Arial" w:hAnsi="Arial"/>
                <w:sz w:val="14"/>
                <w:szCs w:val="14"/>
                <w:color w:val="auto"/>
              </w:rPr>
              <w:t>32**</w:t>
            </w:r>
          </w:p>
        </w:tc>
        <w:tc>
          <w:tcPr>
            <w:tcW w:w="9900" w:type="dxa"/>
            <w:vAlign w:val="bottom"/>
            <w:gridSpan w:val="6"/>
          </w:tcPr>
          <w:p>
            <w:pPr>
              <w:spacing w:after="0"/>
              <w:rPr>
                <w:sz w:val="20"/>
                <w:szCs w:val="20"/>
                <w:color w:val="auto"/>
              </w:rPr>
            </w:pPr>
            <w:r>
              <w:rPr>
                <w:rFonts w:ascii="Arial" w:cs="Arial" w:eastAsia="Arial" w:hAnsi="Arial"/>
                <w:sz w:val="14"/>
                <w:szCs w:val="14"/>
                <w:color w:val="0000FF"/>
              </w:rPr>
              <w:t>Certification Pursuant to 18 U.S.C. Section 1350, as Adopted Pursuant to Section 906 of the Sarbanes-Oxley Act of 2002.</w:t>
            </w:r>
          </w:p>
        </w:tc>
      </w:tr>
      <w:tr>
        <w:trPr>
          <w:trHeight w:val="20"/>
        </w:trPr>
        <w:tc>
          <w:tcPr>
            <w:tcW w:w="1460" w:type="dxa"/>
            <w:vAlign w:val="bottom"/>
          </w:tcPr>
          <w:p>
            <w:pPr>
              <w:spacing w:after="0" w:line="20" w:lineRule="exact"/>
              <w:rPr>
                <w:sz w:val="1"/>
                <w:szCs w:val="1"/>
                <w:color w:val="auto"/>
              </w:rPr>
            </w:pPr>
          </w:p>
        </w:tc>
        <w:tc>
          <w:tcPr>
            <w:tcW w:w="7000" w:type="dxa"/>
            <w:vAlign w:val="bottom"/>
            <w:gridSpan w:val="3"/>
            <w:shd w:val="clear" w:color="auto" w:fill="0000FF"/>
          </w:tcPr>
          <w:p>
            <w:pPr>
              <w:spacing w:after="0" w:line="20" w:lineRule="exact"/>
              <w:rPr>
                <w:sz w:val="1"/>
                <w:szCs w:val="1"/>
                <w:color w:val="auto"/>
              </w:rPr>
            </w:pPr>
          </w:p>
        </w:tc>
        <w:tc>
          <w:tcPr>
            <w:tcW w:w="2900" w:type="dxa"/>
            <w:vAlign w:val="bottom"/>
            <w:gridSpan w:val="3"/>
          </w:tcPr>
          <w:p>
            <w:pPr>
              <w:spacing w:after="0" w:line="20" w:lineRule="exact"/>
              <w:rPr>
                <w:sz w:val="1"/>
                <w:szCs w:val="1"/>
                <w:color w:val="auto"/>
              </w:rPr>
            </w:pPr>
          </w:p>
        </w:tc>
      </w:tr>
      <w:tr>
        <w:trPr>
          <w:trHeight w:val="281"/>
        </w:trPr>
        <w:tc>
          <w:tcPr>
            <w:tcW w:w="1460" w:type="dxa"/>
            <w:vAlign w:val="bottom"/>
          </w:tcPr>
          <w:p>
            <w:pPr>
              <w:spacing w:after="0"/>
              <w:rPr>
                <w:sz w:val="20"/>
                <w:szCs w:val="20"/>
                <w:color w:val="auto"/>
              </w:rPr>
            </w:pPr>
            <w:r>
              <w:rPr>
                <w:rFonts w:ascii="Arial" w:cs="Arial" w:eastAsia="Arial" w:hAnsi="Arial"/>
                <w:sz w:val="14"/>
                <w:szCs w:val="14"/>
                <w:color w:val="auto"/>
              </w:rPr>
              <w:t>101.INS*</w:t>
            </w:r>
          </w:p>
        </w:tc>
        <w:tc>
          <w:tcPr>
            <w:tcW w:w="9900" w:type="dxa"/>
            <w:vAlign w:val="bottom"/>
            <w:gridSpan w:val="6"/>
          </w:tcPr>
          <w:p>
            <w:pPr>
              <w:spacing w:after="0"/>
              <w:rPr>
                <w:sz w:val="20"/>
                <w:szCs w:val="20"/>
                <w:color w:val="auto"/>
              </w:rPr>
            </w:pPr>
            <w:r>
              <w:rPr>
                <w:rFonts w:ascii="Arial" w:cs="Arial" w:eastAsia="Arial" w:hAnsi="Arial"/>
                <w:sz w:val="14"/>
                <w:szCs w:val="14"/>
                <w:color w:val="auto"/>
                <w:w w:val="95"/>
              </w:rPr>
              <w:t>XBRL Instance Document - the instance document does not appear in the Interactive Data File because its XBRL tags are embedded within the Inline XBRL document.</w:t>
            </w:r>
          </w:p>
        </w:tc>
      </w:tr>
      <w:tr>
        <w:trPr>
          <w:trHeight w:val="259"/>
        </w:trPr>
        <w:tc>
          <w:tcPr>
            <w:tcW w:w="1460" w:type="dxa"/>
            <w:vAlign w:val="bottom"/>
          </w:tcPr>
          <w:p>
            <w:pPr>
              <w:spacing w:after="0"/>
              <w:rPr>
                <w:sz w:val="20"/>
                <w:szCs w:val="20"/>
                <w:color w:val="auto"/>
              </w:rPr>
            </w:pPr>
            <w:r>
              <w:rPr>
                <w:rFonts w:ascii="Arial" w:cs="Arial" w:eastAsia="Arial" w:hAnsi="Arial"/>
                <w:sz w:val="14"/>
                <w:szCs w:val="14"/>
                <w:color w:val="auto"/>
              </w:rPr>
              <w:t>101.SCH*</w:t>
            </w:r>
          </w:p>
        </w:tc>
        <w:tc>
          <w:tcPr>
            <w:tcW w:w="9900" w:type="dxa"/>
            <w:vAlign w:val="bottom"/>
            <w:gridSpan w:val="6"/>
          </w:tcPr>
          <w:p>
            <w:pPr>
              <w:spacing w:after="0"/>
              <w:rPr>
                <w:sz w:val="20"/>
                <w:szCs w:val="20"/>
                <w:color w:val="auto"/>
              </w:rPr>
            </w:pPr>
            <w:r>
              <w:rPr>
                <w:rFonts w:ascii="Arial" w:cs="Arial" w:eastAsia="Arial" w:hAnsi="Arial"/>
                <w:sz w:val="14"/>
                <w:szCs w:val="14"/>
                <w:color w:val="auto"/>
              </w:rPr>
              <w:t>XBRL Taxonomy Extension Schema Document</w:t>
            </w:r>
          </w:p>
        </w:tc>
      </w:tr>
      <w:tr>
        <w:trPr>
          <w:trHeight w:val="259"/>
        </w:trPr>
        <w:tc>
          <w:tcPr>
            <w:tcW w:w="1460" w:type="dxa"/>
            <w:vAlign w:val="bottom"/>
          </w:tcPr>
          <w:p>
            <w:pPr>
              <w:spacing w:after="0"/>
              <w:rPr>
                <w:sz w:val="20"/>
                <w:szCs w:val="20"/>
                <w:color w:val="auto"/>
              </w:rPr>
            </w:pPr>
            <w:r>
              <w:rPr>
                <w:rFonts w:ascii="Arial" w:cs="Arial" w:eastAsia="Arial" w:hAnsi="Arial"/>
                <w:sz w:val="14"/>
                <w:szCs w:val="14"/>
                <w:color w:val="auto"/>
              </w:rPr>
              <w:t>101.CAL*</w:t>
            </w:r>
          </w:p>
        </w:tc>
        <w:tc>
          <w:tcPr>
            <w:tcW w:w="9900" w:type="dxa"/>
            <w:vAlign w:val="bottom"/>
            <w:gridSpan w:val="6"/>
          </w:tcPr>
          <w:p>
            <w:pPr>
              <w:spacing w:after="0"/>
              <w:rPr>
                <w:sz w:val="20"/>
                <w:szCs w:val="20"/>
                <w:color w:val="auto"/>
              </w:rPr>
            </w:pPr>
            <w:r>
              <w:rPr>
                <w:rFonts w:ascii="Arial" w:cs="Arial" w:eastAsia="Arial" w:hAnsi="Arial"/>
                <w:sz w:val="14"/>
                <w:szCs w:val="14"/>
                <w:color w:val="auto"/>
              </w:rPr>
              <w:t>XBRL Taxonomy Extension Calculation Linkbase Document</w:t>
            </w:r>
          </w:p>
        </w:tc>
      </w:tr>
      <w:tr>
        <w:trPr>
          <w:trHeight w:val="259"/>
        </w:trPr>
        <w:tc>
          <w:tcPr>
            <w:tcW w:w="1460" w:type="dxa"/>
            <w:vAlign w:val="bottom"/>
          </w:tcPr>
          <w:p>
            <w:pPr>
              <w:spacing w:after="0"/>
              <w:rPr>
                <w:sz w:val="20"/>
                <w:szCs w:val="20"/>
                <w:color w:val="auto"/>
              </w:rPr>
            </w:pPr>
            <w:r>
              <w:rPr>
                <w:rFonts w:ascii="Arial" w:cs="Arial" w:eastAsia="Arial" w:hAnsi="Arial"/>
                <w:sz w:val="14"/>
                <w:szCs w:val="14"/>
                <w:color w:val="auto"/>
              </w:rPr>
              <w:t>101.DEF*</w:t>
            </w:r>
          </w:p>
        </w:tc>
        <w:tc>
          <w:tcPr>
            <w:tcW w:w="9900" w:type="dxa"/>
            <w:vAlign w:val="bottom"/>
            <w:gridSpan w:val="6"/>
          </w:tcPr>
          <w:p>
            <w:pPr>
              <w:spacing w:after="0"/>
              <w:rPr>
                <w:sz w:val="20"/>
                <w:szCs w:val="20"/>
                <w:color w:val="auto"/>
              </w:rPr>
            </w:pPr>
            <w:r>
              <w:rPr>
                <w:rFonts w:ascii="Arial" w:cs="Arial" w:eastAsia="Arial" w:hAnsi="Arial"/>
                <w:sz w:val="14"/>
                <w:szCs w:val="14"/>
                <w:color w:val="auto"/>
              </w:rPr>
              <w:t>XBRL Taxonomy Extension Definition Linkbase Document</w:t>
            </w:r>
          </w:p>
        </w:tc>
      </w:tr>
      <w:tr>
        <w:trPr>
          <w:trHeight w:val="259"/>
        </w:trPr>
        <w:tc>
          <w:tcPr>
            <w:tcW w:w="1460" w:type="dxa"/>
            <w:vAlign w:val="bottom"/>
          </w:tcPr>
          <w:p>
            <w:pPr>
              <w:spacing w:after="0"/>
              <w:rPr>
                <w:sz w:val="20"/>
                <w:szCs w:val="20"/>
                <w:color w:val="auto"/>
              </w:rPr>
            </w:pPr>
            <w:r>
              <w:rPr>
                <w:rFonts w:ascii="Arial" w:cs="Arial" w:eastAsia="Arial" w:hAnsi="Arial"/>
                <w:sz w:val="14"/>
                <w:szCs w:val="14"/>
                <w:color w:val="auto"/>
              </w:rPr>
              <w:t>101.LAB*</w:t>
            </w:r>
          </w:p>
        </w:tc>
        <w:tc>
          <w:tcPr>
            <w:tcW w:w="9900" w:type="dxa"/>
            <w:vAlign w:val="bottom"/>
            <w:gridSpan w:val="6"/>
          </w:tcPr>
          <w:p>
            <w:pPr>
              <w:spacing w:after="0"/>
              <w:rPr>
                <w:sz w:val="20"/>
                <w:szCs w:val="20"/>
                <w:color w:val="auto"/>
              </w:rPr>
            </w:pPr>
            <w:r>
              <w:rPr>
                <w:rFonts w:ascii="Arial" w:cs="Arial" w:eastAsia="Arial" w:hAnsi="Arial"/>
                <w:sz w:val="14"/>
                <w:szCs w:val="14"/>
                <w:color w:val="auto"/>
              </w:rPr>
              <w:t>XBRL Taxonomy Extension Label Linkbase Document</w:t>
            </w:r>
          </w:p>
        </w:tc>
      </w:tr>
      <w:tr>
        <w:trPr>
          <w:trHeight w:val="259"/>
        </w:trPr>
        <w:tc>
          <w:tcPr>
            <w:tcW w:w="1460" w:type="dxa"/>
            <w:vAlign w:val="bottom"/>
          </w:tcPr>
          <w:p>
            <w:pPr>
              <w:spacing w:after="0"/>
              <w:rPr>
                <w:sz w:val="20"/>
                <w:szCs w:val="20"/>
                <w:color w:val="auto"/>
              </w:rPr>
            </w:pPr>
            <w:r>
              <w:rPr>
                <w:rFonts w:ascii="Arial" w:cs="Arial" w:eastAsia="Arial" w:hAnsi="Arial"/>
                <w:sz w:val="14"/>
                <w:szCs w:val="14"/>
                <w:color w:val="auto"/>
              </w:rPr>
              <w:t>101.PRE*</w:t>
            </w:r>
          </w:p>
        </w:tc>
        <w:tc>
          <w:tcPr>
            <w:tcW w:w="9900" w:type="dxa"/>
            <w:vAlign w:val="bottom"/>
            <w:gridSpan w:val="6"/>
          </w:tcPr>
          <w:p>
            <w:pPr>
              <w:spacing w:after="0"/>
              <w:rPr>
                <w:sz w:val="20"/>
                <w:szCs w:val="20"/>
                <w:color w:val="auto"/>
              </w:rPr>
            </w:pPr>
            <w:r>
              <w:rPr>
                <w:rFonts w:ascii="Arial" w:cs="Arial" w:eastAsia="Arial" w:hAnsi="Arial"/>
                <w:sz w:val="14"/>
                <w:szCs w:val="14"/>
                <w:color w:val="auto"/>
              </w:rPr>
              <w:t>XBRL Taxonomy Extension Presentation Linkbase Document</w:t>
            </w:r>
          </w:p>
        </w:tc>
      </w:tr>
      <w:tr>
        <w:trPr>
          <w:trHeight w:val="420"/>
        </w:trPr>
        <w:tc>
          <w:tcPr>
            <w:tcW w:w="1460" w:type="dxa"/>
            <w:vAlign w:val="bottom"/>
          </w:tcPr>
          <w:p>
            <w:pPr>
              <w:spacing w:after="0"/>
              <w:rPr>
                <w:sz w:val="20"/>
                <w:szCs w:val="20"/>
                <w:color w:val="auto"/>
              </w:rPr>
            </w:pPr>
            <w:r>
              <w:rPr>
                <w:rFonts w:ascii="Arial" w:cs="Arial" w:eastAsia="Arial" w:hAnsi="Arial"/>
                <w:sz w:val="14"/>
                <w:szCs w:val="14"/>
                <w:b w:val="1"/>
                <w:bCs w:val="1"/>
                <w:color w:val="auto"/>
              </w:rPr>
              <w:t xml:space="preserve">*  </w:t>
            </w:r>
            <w:r>
              <w:rPr>
                <w:rFonts w:ascii="Arial" w:cs="Arial" w:eastAsia="Arial" w:hAnsi="Arial"/>
                <w:sz w:val="14"/>
                <w:szCs w:val="14"/>
                <w:color w:val="auto"/>
              </w:rPr>
              <w:t>Filed herewith</w:t>
            </w:r>
          </w:p>
        </w:tc>
        <w:tc>
          <w:tcPr>
            <w:tcW w:w="2480" w:type="dxa"/>
            <w:vAlign w:val="bottom"/>
          </w:tcPr>
          <w:p>
            <w:pPr>
              <w:spacing w:after="0"/>
              <w:rPr>
                <w:sz w:val="24"/>
                <w:szCs w:val="24"/>
                <w:color w:val="auto"/>
              </w:rPr>
            </w:pPr>
          </w:p>
        </w:tc>
        <w:tc>
          <w:tcPr>
            <w:tcW w:w="42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194"/>
        </w:trPr>
        <w:tc>
          <w:tcPr>
            <w:tcW w:w="1460" w:type="dxa"/>
            <w:vAlign w:val="bottom"/>
          </w:tcPr>
          <w:p>
            <w:pPr>
              <w:spacing w:after="0"/>
              <w:rPr>
                <w:sz w:val="20"/>
                <w:szCs w:val="20"/>
                <w:color w:val="auto"/>
              </w:rPr>
            </w:pPr>
            <w:r>
              <w:rPr>
                <w:rFonts w:ascii="Arial" w:cs="Arial" w:eastAsia="Arial" w:hAnsi="Arial"/>
                <w:sz w:val="14"/>
                <w:szCs w:val="14"/>
                <w:color w:val="auto"/>
              </w:rPr>
              <w:t>** Furnished herewith</w:t>
            </w:r>
          </w:p>
        </w:tc>
        <w:tc>
          <w:tcPr>
            <w:tcW w:w="2480" w:type="dxa"/>
            <w:vAlign w:val="bottom"/>
          </w:tcPr>
          <w:p>
            <w:pPr>
              <w:spacing w:after="0"/>
              <w:rPr>
                <w:sz w:val="16"/>
                <w:szCs w:val="16"/>
                <w:color w:val="auto"/>
              </w:rPr>
            </w:pPr>
          </w:p>
        </w:tc>
        <w:tc>
          <w:tcPr>
            <w:tcW w:w="42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820" w:type="dxa"/>
            <w:vAlign w:val="bottom"/>
          </w:tcPr>
          <w:p>
            <w:pPr>
              <w:spacing w:after="0"/>
              <w:rPr>
                <w:sz w:val="16"/>
                <w:szCs w:val="16"/>
                <w:color w:val="auto"/>
              </w:rPr>
            </w:pPr>
          </w:p>
        </w:tc>
        <w:tc>
          <w:tcPr>
            <w:tcW w:w="20" w:type="dxa"/>
            <w:vAlign w:val="bottom"/>
          </w:tcPr>
          <w:p>
            <w:pPr>
              <w:spacing w:after="0"/>
              <w:rPr>
                <w:sz w:val="16"/>
                <w:szCs w:val="16"/>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59</w:t>
      </w:r>
    </w:p>
    <w:p>
      <w:pPr>
        <w:sectPr>
          <w:pgSz w:w="11900" w:h="16838" w:orient="portrait"/>
          <w:cols w:equalWidth="0" w:num="1">
            <w:col w:w="11460"/>
          </w:cols>
          <w:pgMar w:left="220" w:top="916" w:right="219" w:bottom="1440" w:gutter="0" w:footer="0" w:header="0"/>
          <w:type w:val="continuous"/>
        </w:sectPr>
      </w:pPr>
    </w:p>
    <w:bookmarkStart w:id="60" w:name="page61"/>
    <w:bookmarkEnd w:id="60"/>
    <w:p>
      <w:pPr>
        <w:ind w:left="5280"/>
        <w:spacing w:after="0"/>
        <w:rPr>
          <w:sz w:val="20"/>
          <w:szCs w:val="20"/>
          <w:color w:val="auto"/>
        </w:rPr>
      </w:pPr>
      <w:r>
        <w:rPr>
          <w:rFonts w:ascii="Arial" w:cs="Arial" w:eastAsia="Arial" w:hAnsi="Arial"/>
          <w:sz w:val="14"/>
          <w:szCs w:val="14"/>
          <w:b w:val="1"/>
          <w:bCs w:val="1"/>
          <w:color w:val="auto"/>
        </w:rPr>
        <w:t>SIGNATURES</w:t>
      </w:r>
    </w:p>
    <w:p>
      <w:pPr>
        <w:spacing w:after="0" w:line="145" w:lineRule="exact"/>
        <w:rPr>
          <w:sz w:val="20"/>
          <w:szCs w:val="20"/>
          <w:color w:val="auto"/>
        </w:rPr>
      </w:pPr>
    </w:p>
    <w:p>
      <w:pPr>
        <w:spacing w:after="0"/>
        <w:rPr>
          <w:sz w:val="20"/>
          <w:szCs w:val="20"/>
          <w:color w:val="auto"/>
        </w:rPr>
      </w:pPr>
      <w:r>
        <w:rPr>
          <w:rFonts w:ascii="Arial" w:cs="Arial" w:eastAsia="Arial" w:hAnsi="Arial"/>
          <w:sz w:val="13"/>
          <w:szCs w:val="13"/>
          <w:color w:val="auto"/>
        </w:rPr>
        <w:t>Pursuant to the requirements of the Securities Exchange Act of 1934, the registrant has duly caused this report to be signed on its behalf by the undersigned thereunto duly authorized.</w:t>
      </w:r>
    </w:p>
    <w:p>
      <w:pPr>
        <w:spacing w:after="0" w:line="195" w:lineRule="exact"/>
        <w:rPr>
          <w:sz w:val="20"/>
          <w:szCs w:val="20"/>
          <w:color w:val="auto"/>
        </w:rPr>
      </w:pPr>
    </w:p>
    <w:tbl>
      <w:tblPr>
        <w:tblLayout w:type="fixed"/>
        <w:tblInd w:w="20" w:type="dxa"/>
        <w:tblCellMar>
          <w:top w:w="0" w:type="dxa"/>
          <w:left w:w="0" w:type="dxa"/>
          <w:bottom w:w="0" w:type="dxa"/>
          <w:right w:w="0" w:type="dxa"/>
        </w:tblCellMar>
      </w:tblPr>
      <w:tr>
        <w:trPr>
          <w:trHeight w:val="182"/>
        </w:trPr>
        <w:tc>
          <w:tcPr>
            <w:tcW w:w="500" w:type="dxa"/>
            <w:vAlign w:val="bottom"/>
          </w:tcPr>
          <w:p>
            <w:pPr>
              <w:spacing w:after="0"/>
              <w:rPr>
                <w:sz w:val="15"/>
                <w:szCs w:val="15"/>
                <w:color w:val="auto"/>
              </w:rPr>
            </w:pPr>
          </w:p>
        </w:tc>
        <w:tc>
          <w:tcPr>
            <w:tcW w:w="2340" w:type="dxa"/>
            <w:vAlign w:val="bottom"/>
          </w:tcPr>
          <w:p>
            <w:pPr>
              <w:spacing w:after="0"/>
              <w:rPr>
                <w:sz w:val="15"/>
                <w:szCs w:val="15"/>
                <w:color w:val="auto"/>
              </w:rPr>
            </w:pPr>
          </w:p>
        </w:tc>
        <w:tc>
          <w:tcPr>
            <w:tcW w:w="7760" w:type="dxa"/>
            <w:vAlign w:val="bottom"/>
            <w:gridSpan w:val="2"/>
          </w:tcPr>
          <w:p>
            <w:pPr>
              <w:ind w:left="1440"/>
              <w:spacing w:after="0"/>
              <w:rPr>
                <w:sz w:val="20"/>
                <w:szCs w:val="20"/>
                <w:color w:val="auto"/>
              </w:rPr>
            </w:pPr>
            <w:r>
              <w:rPr>
                <w:rFonts w:ascii="Arial" w:cs="Arial" w:eastAsia="Arial" w:hAnsi="Arial"/>
                <w:sz w:val="14"/>
                <w:szCs w:val="14"/>
                <w:color w:val="auto"/>
              </w:rPr>
              <w:t>NELNET, INC.</w:t>
            </w:r>
          </w:p>
        </w:tc>
      </w:tr>
      <w:tr>
        <w:trPr>
          <w:trHeight w:val="431"/>
        </w:trPr>
        <w:tc>
          <w:tcPr>
            <w:tcW w:w="500" w:type="dxa"/>
            <w:vAlign w:val="bottom"/>
          </w:tcPr>
          <w:p>
            <w:pPr>
              <w:spacing w:after="0"/>
              <w:rPr>
                <w:sz w:val="20"/>
                <w:szCs w:val="20"/>
                <w:color w:val="auto"/>
              </w:rPr>
            </w:pPr>
            <w:r>
              <w:rPr>
                <w:rFonts w:ascii="Arial" w:cs="Arial" w:eastAsia="Arial" w:hAnsi="Arial"/>
                <w:sz w:val="14"/>
                <w:szCs w:val="14"/>
                <w:color w:val="auto"/>
              </w:rPr>
              <w:t>Date:</w:t>
            </w:r>
          </w:p>
        </w:tc>
        <w:tc>
          <w:tcPr>
            <w:tcW w:w="2340" w:type="dxa"/>
            <w:vAlign w:val="bottom"/>
          </w:tcPr>
          <w:p>
            <w:pPr>
              <w:ind w:left="180"/>
              <w:spacing w:after="0"/>
              <w:rPr>
                <w:sz w:val="20"/>
                <w:szCs w:val="20"/>
                <w:color w:val="auto"/>
              </w:rPr>
            </w:pPr>
            <w:r>
              <w:rPr>
                <w:rFonts w:ascii="Arial" w:cs="Arial" w:eastAsia="Arial" w:hAnsi="Arial"/>
                <w:sz w:val="14"/>
                <w:szCs w:val="14"/>
                <w:color w:val="auto"/>
              </w:rPr>
              <w:t>May 8, 2019</w:t>
            </w:r>
          </w:p>
        </w:tc>
        <w:tc>
          <w:tcPr>
            <w:tcW w:w="2200" w:type="dxa"/>
            <w:vAlign w:val="bottom"/>
          </w:tcPr>
          <w:p>
            <w:pPr>
              <w:ind w:left="1440"/>
              <w:spacing w:after="0"/>
              <w:rPr>
                <w:sz w:val="20"/>
                <w:szCs w:val="20"/>
                <w:color w:val="auto"/>
              </w:rPr>
            </w:pPr>
            <w:r>
              <w:rPr>
                <w:rFonts w:ascii="Arial" w:cs="Arial" w:eastAsia="Arial" w:hAnsi="Arial"/>
                <w:sz w:val="14"/>
                <w:szCs w:val="14"/>
                <w:color w:val="auto"/>
              </w:rPr>
              <w:t>By:</w:t>
            </w:r>
          </w:p>
        </w:tc>
        <w:tc>
          <w:tcPr>
            <w:tcW w:w="5560" w:type="dxa"/>
            <w:vAlign w:val="bottom"/>
          </w:tcPr>
          <w:p>
            <w:pPr>
              <w:ind w:left="20"/>
              <w:spacing w:after="0"/>
              <w:rPr>
                <w:sz w:val="20"/>
                <w:szCs w:val="20"/>
                <w:color w:val="auto"/>
              </w:rPr>
            </w:pPr>
            <w:r>
              <w:rPr>
                <w:rFonts w:ascii="Arial" w:cs="Arial" w:eastAsia="Arial" w:hAnsi="Arial"/>
                <w:sz w:val="14"/>
                <w:szCs w:val="14"/>
                <w:color w:val="auto"/>
              </w:rPr>
              <w:t>/s/ JEFFREY R. NOORDHOEK</w:t>
            </w:r>
          </w:p>
        </w:tc>
      </w:tr>
      <w:tr>
        <w:trPr>
          <w:trHeight w:val="23"/>
        </w:trPr>
        <w:tc>
          <w:tcPr>
            <w:tcW w:w="500" w:type="dxa"/>
            <w:vAlign w:val="bottom"/>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5560" w:type="dxa"/>
            <w:vAlign w:val="bottom"/>
            <w:tcBorders>
              <w:bottom w:val="single" w:sz="8" w:color="auto"/>
            </w:tcBorders>
          </w:tcPr>
          <w:p>
            <w:pPr>
              <w:spacing w:after="0" w:line="20" w:lineRule="exact"/>
              <w:rPr>
                <w:sz w:val="1"/>
                <w:szCs w:val="1"/>
                <w:color w:val="auto"/>
              </w:rPr>
            </w:pPr>
          </w:p>
        </w:tc>
      </w:tr>
      <w:tr>
        <w:trPr>
          <w:trHeight w:val="184"/>
        </w:trPr>
        <w:tc>
          <w:tcPr>
            <w:tcW w:w="500" w:type="dxa"/>
            <w:vAlign w:val="bottom"/>
          </w:tcPr>
          <w:p>
            <w:pPr>
              <w:spacing w:after="0"/>
              <w:rPr>
                <w:sz w:val="15"/>
                <w:szCs w:val="15"/>
                <w:color w:val="auto"/>
              </w:rPr>
            </w:pPr>
          </w:p>
        </w:tc>
        <w:tc>
          <w:tcPr>
            <w:tcW w:w="2340" w:type="dxa"/>
            <w:vAlign w:val="bottom"/>
          </w:tcPr>
          <w:p>
            <w:pPr>
              <w:spacing w:after="0"/>
              <w:rPr>
                <w:sz w:val="15"/>
                <w:szCs w:val="15"/>
                <w:color w:val="auto"/>
              </w:rPr>
            </w:pPr>
          </w:p>
        </w:tc>
        <w:tc>
          <w:tcPr>
            <w:tcW w:w="2200" w:type="dxa"/>
            <w:vAlign w:val="bottom"/>
          </w:tcPr>
          <w:p>
            <w:pPr>
              <w:ind w:left="1440"/>
              <w:spacing w:after="0"/>
              <w:rPr>
                <w:sz w:val="20"/>
                <w:szCs w:val="20"/>
                <w:color w:val="auto"/>
              </w:rPr>
            </w:pPr>
            <w:r>
              <w:rPr>
                <w:rFonts w:ascii="Arial" w:cs="Arial" w:eastAsia="Arial" w:hAnsi="Arial"/>
                <w:sz w:val="14"/>
                <w:szCs w:val="14"/>
                <w:color w:val="auto"/>
              </w:rPr>
              <w:t>Name:</w:t>
            </w:r>
          </w:p>
        </w:tc>
        <w:tc>
          <w:tcPr>
            <w:tcW w:w="5560" w:type="dxa"/>
            <w:vAlign w:val="bottom"/>
          </w:tcPr>
          <w:p>
            <w:pPr>
              <w:ind w:left="20"/>
              <w:spacing w:after="0"/>
              <w:rPr>
                <w:sz w:val="20"/>
                <w:szCs w:val="20"/>
                <w:color w:val="auto"/>
              </w:rPr>
            </w:pPr>
            <w:r>
              <w:rPr>
                <w:rFonts w:ascii="Arial" w:cs="Arial" w:eastAsia="Arial" w:hAnsi="Arial"/>
                <w:sz w:val="14"/>
                <w:szCs w:val="14"/>
                <w:color w:val="auto"/>
              </w:rPr>
              <w:t>Jeffrey R. Noordhoek</w:t>
            </w:r>
          </w:p>
        </w:tc>
      </w:tr>
      <w:tr>
        <w:trPr>
          <w:trHeight w:val="174"/>
        </w:trPr>
        <w:tc>
          <w:tcPr>
            <w:tcW w:w="500" w:type="dxa"/>
            <w:vAlign w:val="bottom"/>
          </w:tcPr>
          <w:p>
            <w:pPr>
              <w:spacing w:after="0"/>
              <w:rPr>
                <w:sz w:val="15"/>
                <w:szCs w:val="15"/>
                <w:color w:val="auto"/>
              </w:rPr>
            </w:pPr>
          </w:p>
        </w:tc>
        <w:tc>
          <w:tcPr>
            <w:tcW w:w="2340" w:type="dxa"/>
            <w:vAlign w:val="bottom"/>
          </w:tcPr>
          <w:p>
            <w:pPr>
              <w:spacing w:after="0"/>
              <w:rPr>
                <w:sz w:val="15"/>
                <w:szCs w:val="15"/>
                <w:color w:val="auto"/>
              </w:rPr>
            </w:pPr>
          </w:p>
        </w:tc>
        <w:tc>
          <w:tcPr>
            <w:tcW w:w="2200" w:type="dxa"/>
            <w:vAlign w:val="bottom"/>
          </w:tcPr>
          <w:p>
            <w:pPr>
              <w:ind w:left="1440"/>
              <w:spacing w:after="0"/>
              <w:rPr>
                <w:sz w:val="20"/>
                <w:szCs w:val="20"/>
                <w:color w:val="auto"/>
              </w:rPr>
            </w:pPr>
            <w:r>
              <w:rPr>
                <w:rFonts w:ascii="Arial" w:cs="Arial" w:eastAsia="Arial" w:hAnsi="Arial"/>
                <w:sz w:val="14"/>
                <w:szCs w:val="14"/>
                <w:color w:val="auto"/>
              </w:rPr>
              <w:t>Title:</w:t>
            </w:r>
          </w:p>
        </w:tc>
        <w:tc>
          <w:tcPr>
            <w:tcW w:w="5560" w:type="dxa"/>
            <w:vAlign w:val="bottom"/>
          </w:tcPr>
          <w:p>
            <w:pPr>
              <w:ind w:left="20"/>
              <w:spacing w:after="0"/>
              <w:rPr>
                <w:sz w:val="20"/>
                <w:szCs w:val="20"/>
                <w:color w:val="auto"/>
              </w:rPr>
            </w:pPr>
            <w:r>
              <w:rPr>
                <w:rFonts w:ascii="Arial" w:cs="Arial" w:eastAsia="Arial" w:hAnsi="Arial"/>
                <w:sz w:val="14"/>
                <w:szCs w:val="14"/>
                <w:color w:val="auto"/>
              </w:rPr>
              <w:t>Chief Executive Officer</w:t>
            </w:r>
          </w:p>
        </w:tc>
      </w:tr>
      <w:tr>
        <w:trPr>
          <w:trHeight w:val="182"/>
        </w:trPr>
        <w:tc>
          <w:tcPr>
            <w:tcW w:w="500" w:type="dxa"/>
            <w:vAlign w:val="bottom"/>
          </w:tcPr>
          <w:p>
            <w:pPr>
              <w:spacing w:after="0"/>
              <w:rPr>
                <w:sz w:val="15"/>
                <w:szCs w:val="15"/>
                <w:color w:val="auto"/>
              </w:rPr>
            </w:pPr>
          </w:p>
        </w:tc>
        <w:tc>
          <w:tcPr>
            <w:tcW w:w="2340" w:type="dxa"/>
            <w:vAlign w:val="bottom"/>
          </w:tcPr>
          <w:p>
            <w:pPr>
              <w:spacing w:after="0"/>
              <w:rPr>
                <w:sz w:val="15"/>
                <w:szCs w:val="15"/>
                <w:color w:val="auto"/>
              </w:rPr>
            </w:pPr>
          </w:p>
        </w:tc>
        <w:tc>
          <w:tcPr>
            <w:tcW w:w="2200" w:type="dxa"/>
            <w:vAlign w:val="bottom"/>
          </w:tcPr>
          <w:p>
            <w:pPr>
              <w:spacing w:after="0"/>
              <w:rPr>
                <w:sz w:val="15"/>
                <w:szCs w:val="15"/>
                <w:color w:val="auto"/>
              </w:rPr>
            </w:pPr>
          </w:p>
        </w:tc>
        <w:tc>
          <w:tcPr>
            <w:tcW w:w="5560" w:type="dxa"/>
            <w:vAlign w:val="bottom"/>
          </w:tcPr>
          <w:p>
            <w:pPr>
              <w:ind w:left="20"/>
              <w:spacing w:after="0"/>
              <w:rPr>
                <w:sz w:val="20"/>
                <w:szCs w:val="20"/>
                <w:color w:val="auto"/>
              </w:rPr>
            </w:pPr>
            <w:r>
              <w:rPr>
                <w:rFonts w:ascii="Arial" w:cs="Arial" w:eastAsia="Arial" w:hAnsi="Arial"/>
                <w:sz w:val="14"/>
                <w:szCs w:val="14"/>
                <w:color w:val="auto"/>
              </w:rPr>
              <w:t>Principal Executive Officer</w:t>
            </w:r>
          </w:p>
        </w:tc>
      </w:tr>
      <w:tr>
        <w:trPr>
          <w:trHeight w:val="873"/>
        </w:trPr>
        <w:tc>
          <w:tcPr>
            <w:tcW w:w="500" w:type="dxa"/>
            <w:vAlign w:val="bottom"/>
          </w:tcPr>
          <w:p>
            <w:pPr>
              <w:spacing w:after="0"/>
              <w:rPr>
                <w:sz w:val="20"/>
                <w:szCs w:val="20"/>
                <w:color w:val="auto"/>
              </w:rPr>
            </w:pPr>
            <w:r>
              <w:rPr>
                <w:rFonts w:ascii="Arial" w:cs="Arial" w:eastAsia="Arial" w:hAnsi="Arial"/>
                <w:sz w:val="14"/>
                <w:szCs w:val="14"/>
                <w:color w:val="auto"/>
              </w:rPr>
              <w:t>Date:</w:t>
            </w:r>
          </w:p>
        </w:tc>
        <w:tc>
          <w:tcPr>
            <w:tcW w:w="2340" w:type="dxa"/>
            <w:vAlign w:val="bottom"/>
          </w:tcPr>
          <w:p>
            <w:pPr>
              <w:ind w:left="180"/>
              <w:spacing w:after="0"/>
              <w:rPr>
                <w:sz w:val="20"/>
                <w:szCs w:val="20"/>
                <w:color w:val="auto"/>
              </w:rPr>
            </w:pPr>
            <w:r>
              <w:rPr>
                <w:rFonts w:ascii="Arial" w:cs="Arial" w:eastAsia="Arial" w:hAnsi="Arial"/>
                <w:sz w:val="14"/>
                <w:szCs w:val="14"/>
                <w:color w:val="auto"/>
              </w:rPr>
              <w:t>May 8, 2019</w:t>
            </w:r>
          </w:p>
        </w:tc>
        <w:tc>
          <w:tcPr>
            <w:tcW w:w="2200" w:type="dxa"/>
            <w:vAlign w:val="bottom"/>
          </w:tcPr>
          <w:p>
            <w:pPr>
              <w:ind w:left="1440"/>
              <w:spacing w:after="0"/>
              <w:rPr>
                <w:sz w:val="20"/>
                <w:szCs w:val="20"/>
                <w:color w:val="auto"/>
              </w:rPr>
            </w:pPr>
            <w:r>
              <w:rPr>
                <w:rFonts w:ascii="Arial" w:cs="Arial" w:eastAsia="Arial" w:hAnsi="Arial"/>
                <w:sz w:val="14"/>
                <w:szCs w:val="14"/>
                <w:color w:val="auto"/>
              </w:rPr>
              <w:t>By:</w:t>
            </w:r>
          </w:p>
        </w:tc>
        <w:tc>
          <w:tcPr>
            <w:tcW w:w="5560" w:type="dxa"/>
            <w:vAlign w:val="bottom"/>
          </w:tcPr>
          <w:p>
            <w:pPr>
              <w:ind w:left="20"/>
              <w:spacing w:after="0"/>
              <w:rPr>
                <w:sz w:val="20"/>
                <w:szCs w:val="20"/>
                <w:color w:val="auto"/>
              </w:rPr>
            </w:pPr>
            <w:r>
              <w:rPr>
                <w:rFonts w:ascii="Arial" w:cs="Arial" w:eastAsia="Arial" w:hAnsi="Arial"/>
                <w:sz w:val="14"/>
                <w:szCs w:val="14"/>
                <w:color w:val="auto"/>
              </w:rPr>
              <w:t>/s/ JAMES D. KRUGER</w:t>
            </w:r>
          </w:p>
        </w:tc>
      </w:tr>
      <w:tr>
        <w:trPr>
          <w:trHeight w:val="23"/>
        </w:trPr>
        <w:tc>
          <w:tcPr>
            <w:tcW w:w="500" w:type="dxa"/>
            <w:vAlign w:val="bottom"/>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5560" w:type="dxa"/>
            <w:vAlign w:val="bottom"/>
            <w:tcBorders>
              <w:bottom w:val="single" w:sz="8" w:color="auto"/>
            </w:tcBorders>
          </w:tcPr>
          <w:p>
            <w:pPr>
              <w:spacing w:after="0" w:line="20" w:lineRule="exact"/>
              <w:rPr>
                <w:sz w:val="1"/>
                <w:szCs w:val="1"/>
                <w:color w:val="auto"/>
              </w:rPr>
            </w:pPr>
          </w:p>
        </w:tc>
      </w:tr>
      <w:tr>
        <w:trPr>
          <w:trHeight w:val="184"/>
        </w:trPr>
        <w:tc>
          <w:tcPr>
            <w:tcW w:w="500" w:type="dxa"/>
            <w:vAlign w:val="bottom"/>
          </w:tcPr>
          <w:p>
            <w:pPr>
              <w:spacing w:after="0"/>
              <w:rPr>
                <w:sz w:val="15"/>
                <w:szCs w:val="15"/>
                <w:color w:val="auto"/>
              </w:rPr>
            </w:pPr>
          </w:p>
        </w:tc>
        <w:tc>
          <w:tcPr>
            <w:tcW w:w="2340" w:type="dxa"/>
            <w:vAlign w:val="bottom"/>
          </w:tcPr>
          <w:p>
            <w:pPr>
              <w:spacing w:after="0"/>
              <w:rPr>
                <w:sz w:val="15"/>
                <w:szCs w:val="15"/>
                <w:color w:val="auto"/>
              </w:rPr>
            </w:pPr>
          </w:p>
        </w:tc>
        <w:tc>
          <w:tcPr>
            <w:tcW w:w="2200" w:type="dxa"/>
            <w:vAlign w:val="bottom"/>
          </w:tcPr>
          <w:p>
            <w:pPr>
              <w:ind w:left="1440"/>
              <w:spacing w:after="0"/>
              <w:rPr>
                <w:sz w:val="20"/>
                <w:szCs w:val="20"/>
                <w:color w:val="auto"/>
              </w:rPr>
            </w:pPr>
            <w:r>
              <w:rPr>
                <w:rFonts w:ascii="Arial" w:cs="Arial" w:eastAsia="Arial" w:hAnsi="Arial"/>
                <w:sz w:val="14"/>
                <w:szCs w:val="14"/>
                <w:color w:val="auto"/>
              </w:rPr>
              <w:t>Name:</w:t>
            </w:r>
          </w:p>
        </w:tc>
        <w:tc>
          <w:tcPr>
            <w:tcW w:w="5560" w:type="dxa"/>
            <w:vAlign w:val="bottom"/>
          </w:tcPr>
          <w:p>
            <w:pPr>
              <w:ind w:left="20"/>
              <w:spacing w:after="0"/>
              <w:rPr>
                <w:sz w:val="20"/>
                <w:szCs w:val="20"/>
                <w:color w:val="auto"/>
              </w:rPr>
            </w:pPr>
            <w:r>
              <w:rPr>
                <w:rFonts w:ascii="Arial" w:cs="Arial" w:eastAsia="Arial" w:hAnsi="Arial"/>
                <w:sz w:val="14"/>
                <w:szCs w:val="14"/>
                <w:color w:val="auto"/>
              </w:rPr>
              <w:t>James D. Kruger</w:t>
            </w:r>
          </w:p>
        </w:tc>
      </w:tr>
      <w:tr>
        <w:trPr>
          <w:trHeight w:val="174"/>
        </w:trPr>
        <w:tc>
          <w:tcPr>
            <w:tcW w:w="500" w:type="dxa"/>
            <w:vAlign w:val="bottom"/>
          </w:tcPr>
          <w:p>
            <w:pPr>
              <w:spacing w:after="0"/>
              <w:rPr>
                <w:sz w:val="15"/>
                <w:szCs w:val="15"/>
                <w:color w:val="auto"/>
              </w:rPr>
            </w:pPr>
          </w:p>
        </w:tc>
        <w:tc>
          <w:tcPr>
            <w:tcW w:w="2340" w:type="dxa"/>
            <w:vAlign w:val="bottom"/>
          </w:tcPr>
          <w:p>
            <w:pPr>
              <w:spacing w:after="0"/>
              <w:rPr>
                <w:sz w:val="15"/>
                <w:szCs w:val="15"/>
                <w:color w:val="auto"/>
              </w:rPr>
            </w:pPr>
          </w:p>
        </w:tc>
        <w:tc>
          <w:tcPr>
            <w:tcW w:w="2200" w:type="dxa"/>
            <w:vAlign w:val="bottom"/>
          </w:tcPr>
          <w:p>
            <w:pPr>
              <w:ind w:left="1440"/>
              <w:spacing w:after="0"/>
              <w:rPr>
                <w:sz w:val="20"/>
                <w:szCs w:val="20"/>
                <w:color w:val="auto"/>
              </w:rPr>
            </w:pPr>
            <w:r>
              <w:rPr>
                <w:rFonts w:ascii="Arial" w:cs="Arial" w:eastAsia="Arial" w:hAnsi="Arial"/>
                <w:sz w:val="14"/>
                <w:szCs w:val="14"/>
                <w:color w:val="auto"/>
              </w:rPr>
              <w:t>Title:</w:t>
            </w:r>
          </w:p>
        </w:tc>
        <w:tc>
          <w:tcPr>
            <w:tcW w:w="5560" w:type="dxa"/>
            <w:vAlign w:val="bottom"/>
          </w:tcPr>
          <w:p>
            <w:pPr>
              <w:ind w:left="20"/>
              <w:spacing w:after="0"/>
              <w:rPr>
                <w:sz w:val="20"/>
                <w:szCs w:val="20"/>
                <w:color w:val="auto"/>
              </w:rPr>
            </w:pPr>
            <w:r>
              <w:rPr>
                <w:rFonts w:ascii="Arial" w:cs="Arial" w:eastAsia="Arial" w:hAnsi="Arial"/>
                <w:sz w:val="14"/>
                <w:szCs w:val="14"/>
                <w:color w:val="auto"/>
              </w:rPr>
              <w:t>Chief Financial Officer</w:t>
            </w:r>
          </w:p>
        </w:tc>
      </w:tr>
      <w:tr>
        <w:trPr>
          <w:trHeight w:val="182"/>
        </w:trPr>
        <w:tc>
          <w:tcPr>
            <w:tcW w:w="500" w:type="dxa"/>
            <w:vAlign w:val="bottom"/>
          </w:tcPr>
          <w:p>
            <w:pPr>
              <w:spacing w:after="0"/>
              <w:rPr>
                <w:sz w:val="15"/>
                <w:szCs w:val="15"/>
                <w:color w:val="auto"/>
              </w:rPr>
            </w:pPr>
          </w:p>
        </w:tc>
        <w:tc>
          <w:tcPr>
            <w:tcW w:w="2340" w:type="dxa"/>
            <w:vAlign w:val="bottom"/>
          </w:tcPr>
          <w:p>
            <w:pPr>
              <w:spacing w:after="0"/>
              <w:rPr>
                <w:sz w:val="15"/>
                <w:szCs w:val="15"/>
                <w:color w:val="auto"/>
              </w:rPr>
            </w:pPr>
          </w:p>
        </w:tc>
        <w:tc>
          <w:tcPr>
            <w:tcW w:w="2200" w:type="dxa"/>
            <w:vAlign w:val="bottom"/>
          </w:tcPr>
          <w:p>
            <w:pPr>
              <w:spacing w:after="0"/>
              <w:rPr>
                <w:sz w:val="15"/>
                <w:szCs w:val="15"/>
                <w:color w:val="auto"/>
              </w:rPr>
            </w:pPr>
          </w:p>
        </w:tc>
        <w:tc>
          <w:tcPr>
            <w:tcW w:w="5560" w:type="dxa"/>
            <w:vAlign w:val="bottom"/>
          </w:tcPr>
          <w:p>
            <w:pPr>
              <w:ind w:left="20"/>
              <w:spacing w:after="0"/>
              <w:rPr>
                <w:sz w:val="20"/>
                <w:szCs w:val="20"/>
                <w:color w:val="auto"/>
              </w:rPr>
            </w:pPr>
            <w:r>
              <w:rPr>
                <w:rFonts w:ascii="Arial" w:cs="Arial" w:eastAsia="Arial" w:hAnsi="Arial"/>
                <w:sz w:val="14"/>
                <w:szCs w:val="14"/>
                <w:color w:val="auto"/>
              </w:rPr>
              <w:t>Principal Financial Officer and Principal Accounting Officer</w:t>
            </w:r>
          </w:p>
        </w:tc>
      </w:tr>
      <w:tr>
        <w:trPr>
          <w:trHeight w:val="1250"/>
        </w:trPr>
        <w:tc>
          <w:tcPr>
            <w:tcW w:w="500" w:type="dxa"/>
            <w:vAlign w:val="bottom"/>
          </w:tcPr>
          <w:p>
            <w:pPr>
              <w:spacing w:after="0"/>
              <w:rPr>
                <w:sz w:val="24"/>
                <w:szCs w:val="24"/>
                <w:color w:val="auto"/>
              </w:rPr>
            </w:pPr>
          </w:p>
        </w:tc>
        <w:tc>
          <w:tcPr>
            <w:tcW w:w="234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5560" w:type="dxa"/>
            <w:vAlign w:val="bottom"/>
          </w:tcPr>
          <w:p>
            <w:pPr>
              <w:ind w:left="600"/>
              <w:spacing w:after="0"/>
              <w:rPr>
                <w:sz w:val="20"/>
                <w:szCs w:val="20"/>
                <w:color w:val="auto"/>
              </w:rPr>
            </w:pPr>
            <w:r>
              <w:rPr>
                <w:rFonts w:ascii="Arial" w:cs="Arial" w:eastAsia="Arial" w:hAnsi="Arial"/>
                <w:sz w:val="14"/>
                <w:szCs w:val="14"/>
                <w:color w:val="auto"/>
              </w:rPr>
              <w:t>60</w:t>
            </w:r>
          </w:p>
        </w:tc>
      </w:tr>
    </w:tbl>
    <w:p>
      <w:pPr>
        <w:sectPr>
          <w:pgSz w:w="11900" w:h="16838" w:orient="portrait"/>
          <w:cols w:equalWidth="0" w:num="1">
            <w:col w:w="10620"/>
          </w:cols>
          <w:pgMar w:left="220" w:top="739" w:right="1059" w:bottom="1440" w:gutter="0" w:footer="0" w:header="0"/>
        </w:sectPr>
      </w:pPr>
    </w:p>
    <w:bookmarkStart w:id="61" w:name="page62"/>
    <w:bookmarkEnd w:id="61"/>
    <w:p>
      <w:pPr>
        <w:spacing w:after="0"/>
        <w:rPr>
          <w:sz w:val="20"/>
          <w:szCs w:val="20"/>
          <w:color w:val="auto"/>
        </w:rPr>
      </w:pPr>
      <w:r>
        <w:rPr>
          <w:sz w:val="20"/>
          <w:szCs w:val="20"/>
          <w:color w:val="auto"/>
        </w:rPr>
        <w:drawing>
          <wp:anchor simplePos="0" relativeHeight="251657728" behindDoc="1" locked="0" layoutInCell="0" allowOverlap="1">
            <wp:simplePos x="0" y="0"/>
            <wp:positionH relativeFrom="page">
              <wp:posOffset>250190</wp:posOffset>
            </wp:positionH>
            <wp:positionV relativeFrom="page">
              <wp:posOffset>307975</wp:posOffset>
            </wp:positionV>
            <wp:extent cx="7217410" cy="946721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7">
                      <a:extLst>
                        <a:ext uri="{28A0092B-C50C-407E-A947-70E740481C1C}"/>
                      </a:extLst>
                    </a:blip>
                    <a:srcRect/>
                    <a:stretch>
                      <a:fillRect/>
                    </a:stretch>
                  </pic:blipFill>
                  <pic:spPr bwMode="auto">
                    <a:xfrm>
                      <a:off x="0" y="0"/>
                      <a:ext cx="7217410" cy="9467215"/>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62" w:name="page63"/>
    <w:bookmarkEnd w:id="62"/>
    <w:p>
      <w:pPr>
        <w:spacing w:after="0"/>
        <w:rPr>
          <w:sz w:val="20"/>
          <w:szCs w:val="20"/>
          <w:color w:val="auto"/>
        </w:rPr>
      </w:pPr>
    </w:p>
    <w:p>
      <w:pPr>
        <w:sectPr>
          <w:pgSz w:w="11900" w:h="16838" w:orient="portrait"/>
          <w:cols w:equalWidth="1" w:num="1" w:space="0"/>
          <w:pgMar w:left="1440" w:top="1440" w:right="1440" w:bottom="875" w:gutter="0" w:footer="0" w:header="0"/>
        </w:sectPr>
      </w:pPr>
    </w:p>
    <w:bookmarkStart w:id="63" w:name="page64"/>
    <w:bookmarkEnd w:id="63"/>
    <w:p>
      <w:pPr>
        <w:jc w:val="right"/>
        <w:spacing w:after="0"/>
        <w:rPr>
          <w:sz w:val="20"/>
          <w:szCs w:val="20"/>
          <w:color w:val="auto"/>
        </w:rPr>
      </w:pPr>
      <w:r>
        <w:rPr>
          <w:rFonts w:ascii="Arial" w:cs="Arial" w:eastAsia="Arial" w:hAnsi="Arial"/>
          <w:sz w:val="14"/>
          <w:szCs w:val="14"/>
          <w:b w:val="1"/>
          <w:bCs w:val="1"/>
          <w:color w:val="auto"/>
        </w:rPr>
        <w:t>Exhibit 31.1</w:t>
      </w:r>
    </w:p>
    <w:p>
      <w:pPr>
        <w:spacing w:after="0" w:line="378" w:lineRule="exact"/>
        <w:rPr>
          <w:sz w:val="20"/>
          <w:szCs w:val="20"/>
          <w:color w:val="auto"/>
        </w:rPr>
      </w:pPr>
    </w:p>
    <w:p>
      <w:pPr>
        <w:jc w:val="center"/>
        <w:ind w:right="280"/>
        <w:spacing w:after="0"/>
        <w:rPr>
          <w:sz w:val="20"/>
          <w:szCs w:val="20"/>
          <w:color w:val="auto"/>
        </w:rPr>
      </w:pPr>
      <w:r>
        <w:rPr>
          <w:rFonts w:ascii="Arial" w:cs="Arial" w:eastAsia="Arial" w:hAnsi="Arial"/>
          <w:sz w:val="14"/>
          <w:szCs w:val="14"/>
          <w:b w:val="1"/>
          <w:bCs w:val="1"/>
          <w:color w:val="auto"/>
        </w:rPr>
        <w:t>Certification Pursuant to Section 302 of the Sarbanes-Oxley Act of 2002</w:t>
      </w:r>
    </w:p>
    <w:p>
      <w:pPr>
        <w:spacing w:after="0" w:line="188" w:lineRule="exact"/>
        <w:rPr>
          <w:sz w:val="20"/>
          <w:szCs w:val="20"/>
          <w:color w:val="auto"/>
        </w:rPr>
      </w:pPr>
    </w:p>
    <w:p>
      <w:pPr>
        <w:ind w:left="240"/>
        <w:spacing w:after="0"/>
        <w:rPr>
          <w:sz w:val="20"/>
          <w:szCs w:val="20"/>
          <w:color w:val="auto"/>
        </w:rPr>
      </w:pPr>
      <w:r>
        <w:rPr>
          <w:rFonts w:ascii="Arial" w:cs="Arial" w:eastAsia="Arial" w:hAnsi="Arial"/>
          <w:sz w:val="14"/>
          <w:szCs w:val="14"/>
          <w:color w:val="auto"/>
        </w:rPr>
        <w:t>I, Jeffrey R. Noordhoek, certify that:</w:t>
      </w:r>
    </w:p>
    <w:p>
      <w:pPr>
        <w:spacing w:after="0" w:line="184" w:lineRule="exact"/>
        <w:rPr>
          <w:sz w:val="20"/>
          <w:szCs w:val="20"/>
          <w:color w:val="auto"/>
        </w:rPr>
      </w:pPr>
    </w:p>
    <w:p>
      <w:pPr>
        <w:ind w:left="760" w:hanging="517"/>
        <w:spacing w:after="0"/>
        <w:tabs>
          <w:tab w:leader="none" w:pos="760" w:val="left"/>
        </w:tabs>
        <w:numPr>
          <w:ilvl w:val="0"/>
          <w:numId w:val="39"/>
        </w:numPr>
        <w:rPr>
          <w:rFonts w:ascii="Arial" w:cs="Arial" w:eastAsia="Arial" w:hAnsi="Arial"/>
          <w:sz w:val="14"/>
          <w:szCs w:val="14"/>
          <w:color w:val="auto"/>
        </w:rPr>
      </w:pPr>
      <w:r>
        <w:rPr>
          <w:rFonts w:ascii="Arial" w:cs="Arial" w:eastAsia="Arial" w:hAnsi="Arial"/>
          <w:sz w:val="14"/>
          <w:szCs w:val="14"/>
          <w:color w:val="auto"/>
        </w:rPr>
        <w:t>I have reviewed this quarterly report on Form 10-Q of Nelnet, Inc. (the “Company”);</w:t>
      </w:r>
    </w:p>
    <w:p>
      <w:pPr>
        <w:spacing w:after="0" w:line="97" w:lineRule="exact"/>
        <w:rPr>
          <w:rFonts w:ascii="Arial" w:cs="Arial" w:eastAsia="Arial" w:hAnsi="Arial"/>
          <w:sz w:val="14"/>
          <w:szCs w:val="14"/>
          <w:color w:val="auto"/>
        </w:rPr>
      </w:pPr>
    </w:p>
    <w:p>
      <w:pPr>
        <w:ind w:left="760" w:right="220" w:hanging="517"/>
        <w:spacing w:after="0" w:line="288" w:lineRule="auto"/>
        <w:tabs>
          <w:tab w:leader="none" w:pos="760" w:val="left"/>
        </w:tabs>
        <w:numPr>
          <w:ilvl w:val="0"/>
          <w:numId w:val="39"/>
        </w:numPr>
        <w:rPr>
          <w:rFonts w:ascii="Arial" w:cs="Arial" w:eastAsia="Arial" w:hAnsi="Arial"/>
          <w:sz w:val="14"/>
          <w:szCs w:val="14"/>
          <w:color w:val="auto"/>
        </w:rPr>
      </w:pPr>
      <w:r>
        <w:rPr>
          <w:rFonts w:ascii="Arial" w:cs="Arial" w:eastAsia="Arial" w:hAnsi="Arial"/>
          <w:sz w:val="14"/>
          <w:szCs w:val="14"/>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44" w:lineRule="exact"/>
        <w:rPr>
          <w:rFonts w:ascii="Arial" w:cs="Arial" w:eastAsia="Arial" w:hAnsi="Arial"/>
          <w:sz w:val="14"/>
          <w:szCs w:val="14"/>
          <w:color w:val="auto"/>
        </w:rPr>
      </w:pPr>
    </w:p>
    <w:p>
      <w:pPr>
        <w:ind w:left="760" w:right="320" w:hanging="517"/>
        <w:spacing w:after="0" w:line="288" w:lineRule="auto"/>
        <w:tabs>
          <w:tab w:leader="none" w:pos="760" w:val="left"/>
        </w:tabs>
        <w:numPr>
          <w:ilvl w:val="0"/>
          <w:numId w:val="39"/>
        </w:numPr>
        <w:rPr>
          <w:rFonts w:ascii="Arial" w:cs="Arial" w:eastAsia="Arial" w:hAnsi="Arial"/>
          <w:sz w:val="14"/>
          <w:szCs w:val="14"/>
          <w:color w:val="auto"/>
        </w:rPr>
      </w:pPr>
      <w:r>
        <w:rPr>
          <w:rFonts w:ascii="Arial" w:cs="Arial" w:eastAsia="Arial" w:hAnsi="Arial"/>
          <w:sz w:val="14"/>
          <w:szCs w:val="14"/>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44" w:lineRule="exact"/>
        <w:rPr>
          <w:rFonts w:ascii="Arial" w:cs="Arial" w:eastAsia="Arial" w:hAnsi="Arial"/>
          <w:sz w:val="14"/>
          <w:szCs w:val="14"/>
          <w:color w:val="auto"/>
        </w:rPr>
      </w:pPr>
    </w:p>
    <w:p>
      <w:pPr>
        <w:ind w:left="760" w:hanging="517"/>
        <w:spacing w:after="0"/>
        <w:tabs>
          <w:tab w:leader="none" w:pos="760" w:val="left"/>
        </w:tabs>
        <w:numPr>
          <w:ilvl w:val="0"/>
          <w:numId w:val="39"/>
        </w:numPr>
        <w:rPr>
          <w:rFonts w:ascii="Arial" w:cs="Arial" w:eastAsia="Arial" w:hAnsi="Arial"/>
          <w:sz w:val="13"/>
          <w:szCs w:val="13"/>
          <w:color w:val="auto"/>
        </w:rPr>
      </w:pPr>
      <w:r>
        <w:rPr>
          <w:rFonts w:ascii="Arial" w:cs="Arial" w:eastAsia="Arial" w:hAnsi="Arial"/>
          <w:sz w:val="13"/>
          <w:szCs w:val="13"/>
          <w:color w:val="auto"/>
        </w:rPr>
        <w:t>The registrant's other certifying officer and I are responsible for establishing and maintaining disclosure controls and procedures (as defined in Exchange Act Rules 13a-15(e) and</w:t>
      </w:r>
    </w:p>
    <w:p>
      <w:pPr>
        <w:spacing w:after="0" w:line="32" w:lineRule="exact"/>
        <w:rPr>
          <w:rFonts w:ascii="Arial" w:cs="Arial" w:eastAsia="Arial" w:hAnsi="Arial"/>
          <w:sz w:val="13"/>
          <w:szCs w:val="13"/>
          <w:color w:val="auto"/>
        </w:rPr>
      </w:pPr>
    </w:p>
    <w:p>
      <w:pPr>
        <w:ind w:left="760"/>
        <w:spacing w:after="0"/>
        <w:rPr>
          <w:rFonts w:ascii="Arial" w:cs="Arial" w:eastAsia="Arial" w:hAnsi="Arial"/>
          <w:sz w:val="13"/>
          <w:szCs w:val="13"/>
          <w:color w:val="auto"/>
        </w:rPr>
      </w:pPr>
      <w:r>
        <w:rPr>
          <w:rFonts w:ascii="Arial" w:cs="Arial" w:eastAsia="Arial" w:hAnsi="Arial"/>
          <w:sz w:val="14"/>
          <w:szCs w:val="14"/>
          <w:color w:val="auto"/>
        </w:rPr>
        <w:t>15d-15(e)) and internal control over financial reporting (as defined in Exchange Act Rules 13a-15(f) and 15d-15(f)) for the registrant and have:</w:t>
      </w:r>
    </w:p>
    <w:p>
      <w:pPr>
        <w:spacing w:after="0" w:line="88" w:lineRule="exact"/>
        <w:rPr>
          <w:rFonts w:ascii="Arial" w:cs="Arial" w:eastAsia="Arial" w:hAnsi="Arial"/>
          <w:sz w:val="13"/>
          <w:szCs w:val="13"/>
          <w:color w:val="auto"/>
        </w:rPr>
      </w:pPr>
    </w:p>
    <w:p>
      <w:pPr>
        <w:ind w:left="1280" w:hanging="261"/>
        <w:spacing w:after="0" w:line="272" w:lineRule="auto"/>
        <w:tabs>
          <w:tab w:leader="none" w:pos="1217" w:val="left"/>
        </w:tabs>
        <w:numPr>
          <w:ilvl w:val="1"/>
          <w:numId w:val="39"/>
        </w:numPr>
        <w:rPr>
          <w:rFonts w:ascii="Arial" w:cs="Arial" w:eastAsia="Arial" w:hAnsi="Arial"/>
          <w:sz w:val="14"/>
          <w:szCs w:val="14"/>
          <w:color w:val="auto"/>
        </w:rPr>
      </w:pPr>
      <w:r>
        <w:rPr>
          <w:rFonts w:ascii="Arial" w:cs="Arial" w:eastAsia="Arial" w:hAnsi="Arial"/>
          <w:sz w:val="14"/>
          <w:szCs w:val="14"/>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56" w:lineRule="exact"/>
        <w:rPr>
          <w:rFonts w:ascii="Arial" w:cs="Arial" w:eastAsia="Arial" w:hAnsi="Arial"/>
          <w:sz w:val="14"/>
          <w:szCs w:val="14"/>
          <w:color w:val="auto"/>
        </w:rPr>
      </w:pPr>
    </w:p>
    <w:p>
      <w:pPr>
        <w:ind w:left="1280" w:right="80" w:hanging="261"/>
        <w:spacing w:after="0" w:line="272" w:lineRule="auto"/>
        <w:tabs>
          <w:tab w:leader="none" w:pos="1225" w:val="left"/>
        </w:tabs>
        <w:numPr>
          <w:ilvl w:val="1"/>
          <w:numId w:val="39"/>
        </w:numPr>
        <w:rPr>
          <w:rFonts w:ascii="Arial" w:cs="Arial" w:eastAsia="Arial" w:hAnsi="Arial"/>
          <w:sz w:val="14"/>
          <w:szCs w:val="14"/>
          <w:color w:val="auto"/>
        </w:rPr>
      </w:pPr>
      <w:r>
        <w:rPr>
          <w:rFonts w:ascii="Arial" w:cs="Arial" w:eastAsia="Arial" w:hAnsi="Arial"/>
          <w:sz w:val="14"/>
          <w:szCs w:val="14"/>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56" w:lineRule="exact"/>
        <w:rPr>
          <w:rFonts w:ascii="Arial" w:cs="Arial" w:eastAsia="Arial" w:hAnsi="Arial"/>
          <w:sz w:val="14"/>
          <w:szCs w:val="14"/>
          <w:color w:val="auto"/>
        </w:rPr>
      </w:pPr>
    </w:p>
    <w:p>
      <w:pPr>
        <w:ind w:left="1280" w:right="460" w:hanging="261"/>
        <w:spacing w:after="0" w:line="288" w:lineRule="auto"/>
        <w:tabs>
          <w:tab w:leader="none" w:pos="1217" w:val="left"/>
        </w:tabs>
        <w:numPr>
          <w:ilvl w:val="1"/>
          <w:numId w:val="39"/>
        </w:numPr>
        <w:rPr>
          <w:rFonts w:ascii="Arial" w:cs="Arial" w:eastAsia="Arial" w:hAnsi="Arial"/>
          <w:sz w:val="14"/>
          <w:szCs w:val="14"/>
          <w:color w:val="auto"/>
        </w:rPr>
      </w:pPr>
      <w:r>
        <w:rPr>
          <w:rFonts w:ascii="Arial" w:cs="Arial" w:eastAsia="Arial" w:hAnsi="Arial"/>
          <w:sz w:val="14"/>
          <w:szCs w:val="14"/>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44" w:lineRule="exact"/>
        <w:rPr>
          <w:rFonts w:ascii="Arial" w:cs="Arial" w:eastAsia="Arial" w:hAnsi="Arial"/>
          <w:sz w:val="14"/>
          <w:szCs w:val="14"/>
          <w:color w:val="auto"/>
        </w:rPr>
      </w:pPr>
    </w:p>
    <w:p>
      <w:pPr>
        <w:ind w:left="1280" w:right="120" w:hanging="261"/>
        <w:spacing w:after="0" w:line="272" w:lineRule="auto"/>
        <w:tabs>
          <w:tab w:leader="none" w:pos="1225" w:val="left"/>
        </w:tabs>
        <w:numPr>
          <w:ilvl w:val="1"/>
          <w:numId w:val="39"/>
        </w:numPr>
        <w:rPr>
          <w:rFonts w:ascii="Arial" w:cs="Arial" w:eastAsia="Arial" w:hAnsi="Arial"/>
          <w:sz w:val="14"/>
          <w:szCs w:val="14"/>
          <w:color w:val="auto"/>
        </w:rPr>
      </w:pPr>
      <w:r>
        <w:rPr>
          <w:rFonts w:ascii="Arial" w:cs="Arial" w:eastAsia="Arial" w:hAnsi="Arial"/>
          <w:sz w:val="14"/>
          <w:szCs w:val="14"/>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56" w:lineRule="exact"/>
        <w:rPr>
          <w:rFonts w:ascii="Arial" w:cs="Arial" w:eastAsia="Arial" w:hAnsi="Arial"/>
          <w:sz w:val="14"/>
          <w:szCs w:val="14"/>
          <w:color w:val="auto"/>
        </w:rPr>
      </w:pPr>
    </w:p>
    <w:p>
      <w:pPr>
        <w:ind w:left="760" w:right="60" w:hanging="517"/>
        <w:spacing w:after="0" w:line="288" w:lineRule="auto"/>
        <w:tabs>
          <w:tab w:leader="none" w:pos="760" w:val="left"/>
        </w:tabs>
        <w:numPr>
          <w:ilvl w:val="0"/>
          <w:numId w:val="39"/>
        </w:numPr>
        <w:rPr>
          <w:rFonts w:ascii="Arial" w:cs="Arial" w:eastAsia="Arial" w:hAnsi="Arial"/>
          <w:sz w:val="14"/>
          <w:szCs w:val="14"/>
          <w:color w:val="auto"/>
        </w:rPr>
      </w:pPr>
      <w:r>
        <w:rPr>
          <w:rFonts w:ascii="Arial" w:cs="Arial" w:eastAsia="Arial" w:hAnsi="Arial"/>
          <w:sz w:val="14"/>
          <w:szCs w:val="14"/>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44" w:lineRule="exact"/>
        <w:rPr>
          <w:rFonts w:ascii="Arial" w:cs="Arial" w:eastAsia="Arial" w:hAnsi="Arial"/>
          <w:sz w:val="14"/>
          <w:szCs w:val="14"/>
          <w:color w:val="auto"/>
        </w:rPr>
      </w:pPr>
    </w:p>
    <w:p>
      <w:pPr>
        <w:ind w:left="1280" w:right="60" w:hanging="261"/>
        <w:spacing w:after="0" w:line="288" w:lineRule="auto"/>
        <w:tabs>
          <w:tab w:leader="none" w:pos="1217" w:val="left"/>
        </w:tabs>
        <w:numPr>
          <w:ilvl w:val="1"/>
          <w:numId w:val="39"/>
        </w:numPr>
        <w:rPr>
          <w:rFonts w:ascii="Arial" w:cs="Arial" w:eastAsia="Arial" w:hAnsi="Arial"/>
          <w:sz w:val="14"/>
          <w:szCs w:val="14"/>
          <w:color w:val="auto"/>
        </w:rPr>
      </w:pPr>
      <w:r>
        <w:rPr>
          <w:rFonts w:ascii="Arial" w:cs="Arial" w:eastAsia="Arial" w:hAnsi="Arial"/>
          <w:sz w:val="14"/>
          <w:szCs w:val="14"/>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44" w:lineRule="exact"/>
        <w:rPr>
          <w:rFonts w:ascii="Arial" w:cs="Arial" w:eastAsia="Arial" w:hAnsi="Arial"/>
          <w:sz w:val="14"/>
          <w:szCs w:val="14"/>
          <w:color w:val="auto"/>
        </w:rPr>
      </w:pPr>
    </w:p>
    <w:p>
      <w:pPr>
        <w:ind w:left="1220" w:hanging="201"/>
        <w:spacing w:after="0"/>
        <w:tabs>
          <w:tab w:leader="none" w:pos="1220" w:val="left"/>
        </w:tabs>
        <w:numPr>
          <w:ilvl w:val="1"/>
          <w:numId w:val="39"/>
        </w:numPr>
        <w:rPr>
          <w:rFonts w:ascii="Arial" w:cs="Arial" w:eastAsia="Arial" w:hAnsi="Arial"/>
          <w:sz w:val="13"/>
          <w:szCs w:val="13"/>
          <w:color w:val="auto"/>
        </w:rPr>
      </w:pPr>
      <w:r>
        <w:rPr>
          <w:rFonts w:ascii="Arial" w:cs="Arial" w:eastAsia="Arial" w:hAnsi="Arial"/>
          <w:sz w:val="13"/>
          <w:szCs w:val="13"/>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319" w:lineRule="exact"/>
        <w:rPr>
          <w:sz w:val="20"/>
          <w:szCs w:val="20"/>
          <w:color w:val="auto"/>
        </w:rPr>
      </w:pPr>
    </w:p>
    <w:p>
      <w:pPr>
        <w:spacing w:after="0"/>
        <w:tabs>
          <w:tab w:leader="none" w:pos="740" w:val="left"/>
          <w:tab w:leader="none" w:pos="4560" w:val="left"/>
        </w:tabs>
        <w:rPr>
          <w:sz w:val="20"/>
          <w:szCs w:val="20"/>
          <w:color w:val="auto"/>
        </w:rPr>
      </w:pPr>
      <w:r>
        <w:rPr>
          <w:rFonts w:ascii="Arial" w:cs="Arial" w:eastAsia="Arial" w:hAnsi="Arial"/>
          <w:sz w:val="14"/>
          <w:szCs w:val="14"/>
          <w:color w:val="auto"/>
        </w:rPr>
        <w:t>Date:</w:t>
      </w:r>
      <w:r>
        <w:rPr>
          <w:sz w:val="20"/>
          <w:szCs w:val="20"/>
          <w:color w:val="auto"/>
        </w:rPr>
        <w:tab/>
      </w:r>
      <w:r>
        <w:rPr>
          <w:rFonts w:ascii="Arial" w:cs="Arial" w:eastAsia="Arial" w:hAnsi="Arial"/>
          <w:sz w:val="14"/>
          <w:szCs w:val="14"/>
          <w:color w:val="auto"/>
        </w:rPr>
        <w:t>May 8, 2019</w:t>
      </w:r>
      <w:r>
        <w:rPr>
          <w:sz w:val="20"/>
          <w:szCs w:val="20"/>
          <w:color w:val="auto"/>
        </w:rPr>
        <w:tab/>
      </w:r>
      <w:r>
        <w:rPr>
          <w:rFonts w:ascii="Arial" w:cs="Arial" w:eastAsia="Arial" w:hAnsi="Arial"/>
          <w:sz w:val="13"/>
          <w:szCs w:val="13"/>
          <w:u w:val="single" w:color="auto"/>
          <w:color w:val="auto"/>
        </w:rPr>
        <w:t>/s/ JEFFREY R. NOORDHOEK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2898775</wp:posOffset>
            </wp:positionH>
            <wp:positionV relativeFrom="paragraph">
              <wp:posOffset>27940</wp:posOffset>
            </wp:positionV>
            <wp:extent cx="2422525" cy="698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8">
                      <a:extLst>
                        <a:ext uri="{28A0092B-C50C-407E-A947-70E740481C1C}"/>
                      </a:extLst>
                    </a:blip>
                    <a:srcRect/>
                    <a:stretch>
                      <a:fillRect/>
                    </a:stretch>
                  </pic:blipFill>
                  <pic:spPr bwMode="auto">
                    <a:xfrm>
                      <a:off x="0" y="0"/>
                      <a:ext cx="2422525" cy="6985"/>
                    </a:xfrm>
                    <a:prstGeom prst="rect">
                      <a:avLst/>
                    </a:prstGeom>
                    <a:noFill/>
                  </pic:spPr>
                </pic:pic>
              </a:graphicData>
            </a:graphic>
          </wp:anchor>
        </w:drawing>
      </w:r>
    </w:p>
    <w:p>
      <w:pPr>
        <w:spacing w:after="0" w:line="45" w:lineRule="exact"/>
        <w:rPr>
          <w:sz w:val="20"/>
          <w:szCs w:val="20"/>
          <w:color w:val="auto"/>
        </w:rPr>
      </w:pPr>
    </w:p>
    <w:p>
      <w:pPr>
        <w:ind w:left="4580"/>
        <w:spacing w:after="0"/>
        <w:rPr>
          <w:sz w:val="20"/>
          <w:szCs w:val="20"/>
          <w:color w:val="auto"/>
        </w:rPr>
      </w:pPr>
      <w:r>
        <w:rPr>
          <w:rFonts w:ascii="Arial" w:cs="Arial" w:eastAsia="Arial" w:hAnsi="Arial"/>
          <w:sz w:val="14"/>
          <w:szCs w:val="14"/>
          <w:color w:val="auto"/>
        </w:rPr>
        <w:t>Jeffrey R. Noordhoek Chief Executive Officer</w:t>
      </w:r>
    </w:p>
    <w:p>
      <w:pPr>
        <w:spacing w:after="0" w:line="21" w:lineRule="exact"/>
        <w:rPr>
          <w:sz w:val="20"/>
          <w:szCs w:val="20"/>
          <w:color w:val="auto"/>
        </w:rPr>
      </w:pPr>
    </w:p>
    <w:p>
      <w:pPr>
        <w:ind w:left="4580"/>
        <w:spacing w:after="0"/>
        <w:rPr>
          <w:sz w:val="20"/>
          <w:szCs w:val="20"/>
          <w:color w:val="auto"/>
        </w:rPr>
      </w:pPr>
      <w:r>
        <w:rPr>
          <w:rFonts w:ascii="Arial" w:cs="Arial" w:eastAsia="Arial" w:hAnsi="Arial"/>
          <w:sz w:val="14"/>
          <w:szCs w:val="14"/>
          <w:color w:val="auto"/>
        </w:rPr>
        <w:t>Principal Executive Officer</w:t>
      </w:r>
    </w:p>
    <w:p>
      <w:pPr>
        <w:sectPr>
          <w:pgSz w:w="11900" w:h="16838" w:orient="portrait"/>
          <w:cols w:equalWidth="0" w:num="1">
            <w:col w:w="11180"/>
          </w:cols>
          <w:pgMar w:left="500" w:top="739" w:right="219" w:bottom="1440" w:gutter="0" w:footer="0" w:header="0"/>
        </w:sectPr>
      </w:pPr>
    </w:p>
    <w:bookmarkStart w:id="64" w:name="page65"/>
    <w:bookmarkEnd w:id="64"/>
    <w:p>
      <w:pPr>
        <w:jc w:val="right"/>
        <w:spacing w:after="0"/>
        <w:rPr>
          <w:sz w:val="20"/>
          <w:szCs w:val="20"/>
          <w:color w:val="auto"/>
        </w:rPr>
      </w:pPr>
      <w:r>
        <w:rPr>
          <w:rFonts w:ascii="Arial" w:cs="Arial" w:eastAsia="Arial" w:hAnsi="Arial"/>
          <w:sz w:val="14"/>
          <w:szCs w:val="14"/>
          <w:b w:val="1"/>
          <w:bCs w:val="1"/>
          <w:color w:val="auto"/>
        </w:rPr>
        <w:t>Exhibit 31.2</w:t>
      </w:r>
    </w:p>
    <w:p>
      <w:pPr>
        <w:spacing w:after="0" w:line="378" w:lineRule="exact"/>
        <w:rPr>
          <w:sz w:val="20"/>
          <w:szCs w:val="20"/>
          <w:color w:val="auto"/>
        </w:rPr>
      </w:pPr>
    </w:p>
    <w:p>
      <w:pPr>
        <w:jc w:val="center"/>
        <w:ind w:right="280"/>
        <w:spacing w:after="0"/>
        <w:rPr>
          <w:sz w:val="20"/>
          <w:szCs w:val="20"/>
          <w:color w:val="auto"/>
        </w:rPr>
      </w:pPr>
      <w:r>
        <w:rPr>
          <w:rFonts w:ascii="Arial" w:cs="Arial" w:eastAsia="Arial" w:hAnsi="Arial"/>
          <w:sz w:val="14"/>
          <w:szCs w:val="14"/>
          <w:b w:val="1"/>
          <w:bCs w:val="1"/>
          <w:color w:val="auto"/>
        </w:rPr>
        <w:t>Certification Pursuant to Section 302 of the Sarbanes-Oxley Act of 2002</w:t>
      </w:r>
    </w:p>
    <w:p>
      <w:pPr>
        <w:spacing w:after="0" w:line="188" w:lineRule="exact"/>
        <w:rPr>
          <w:sz w:val="20"/>
          <w:szCs w:val="20"/>
          <w:color w:val="auto"/>
        </w:rPr>
      </w:pPr>
    </w:p>
    <w:p>
      <w:pPr>
        <w:ind w:left="240"/>
        <w:spacing w:after="0"/>
        <w:rPr>
          <w:sz w:val="20"/>
          <w:szCs w:val="20"/>
          <w:color w:val="auto"/>
        </w:rPr>
      </w:pPr>
      <w:r>
        <w:rPr>
          <w:rFonts w:ascii="Arial" w:cs="Arial" w:eastAsia="Arial" w:hAnsi="Arial"/>
          <w:sz w:val="14"/>
          <w:szCs w:val="14"/>
          <w:color w:val="auto"/>
        </w:rPr>
        <w:t>I, James D. Kruger, certify that:</w:t>
      </w:r>
    </w:p>
    <w:p>
      <w:pPr>
        <w:spacing w:after="0" w:line="205" w:lineRule="exact"/>
        <w:rPr>
          <w:sz w:val="20"/>
          <w:szCs w:val="20"/>
          <w:color w:val="auto"/>
        </w:rPr>
      </w:pPr>
    </w:p>
    <w:p>
      <w:pPr>
        <w:ind w:left="760" w:hanging="517"/>
        <w:spacing w:after="0"/>
        <w:tabs>
          <w:tab w:leader="none" w:pos="760" w:val="left"/>
        </w:tabs>
        <w:numPr>
          <w:ilvl w:val="0"/>
          <w:numId w:val="40"/>
        </w:numPr>
        <w:rPr>
          <w:rFonts w:ascii="Arial" w:cs="Arial" w:eastAsia="Arial" w:hAnsi="Arial"/>
          <w:sz w:val="14"/>
          <w:szCs w:val="14"/>
          <w:color w:val="auto"/>
        </w:rPr>
      </w:pPr>
      <w:r>
        <w:rPr>
          <w:rFonts w:ascii="Arial" w:cs="Arial" w:eastAsia="Arial" w:hAnsi="Arial"/>
          <w:sz w:val="14"/>
          <w:szCs w:val="14"/>
          <w:color w:val="auto"/>
        </w:rPr>
        <w:t>I have reviewed this quarterly report on Form 10-Q of Nelnet, Inc. (the “Company”);</w:t>
      </w:r>
    </w:p>
    <w:p>
      <w:pPr>
        <w:spacing w:after="0" w:line="97" w:lineRule="exact"/>
        <w:rPr>
          <w:rFonts w:ascii="Arial" w:cs="Arial" w:eastAsia="Arial" w:hAnsi="Arial"/>
          <w:sz w:val="14"/>
          <w:szCs w:val="14"/>
          <w:color w:val="auto"/>
        </w:rPr>
      </w:pPr>
    </w:p>
    <w:p>
      <w:pPr>
        <w:ind w:left="760" w:right="220" w:hanging="517"/>
        <w:spacing w:after="0" w:line="288" w:lineRule="auto"/>
        <w:tabs>
          <w:tab w:leader="none" w:pos="760" w:val="left"/>
        </w:tabs>
        <w:numPr>
          <w:ilvl w:val="0"/>
          <w:numId w:val="40"/>
        </w:numPr>
        <w:rPr>
          <w:rFonts w:ascii="Arial" w:cs="Arial" w:eastAsia="Arial" w:hAnsi="Arial"/>
          <w:sz w:val="14"/>
          <w:szCs w:val="14"/>
          <w:color w:val="auto"/>
        </w:rPr>
      </w:pPr>
      <w:r>
        <w:rPr>
          <w:rFonts w:ascii="Arial" w:cs="Arial" w:eastAsia="Arial" w:hAnsi="Arial"/>
          <w:sz w:val="14"/>
          <w:szCs w:val="14"/>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44" w:lineRule="exact"/>
        <w:rPr>
          <w:rFonts w:ascii="Arial" w:cs="Arial" w:eastAsia="Arial" w:hAnsi="Arial"/>
          <w:sz w:val="14"/>
          <w:szCs w:val="14"/>
          <w:color w:val="auto"/>
        </w:rPr>
      </w:pPr>
    </w:p>
    <w:p>
      <w:pPr>
        <w:ind w:left="760" w:right="320" w:hanging="517"/>
        <w:spacing w:after="0" w:line="288" w:lineRule="auto"/>
        <w:tabs>
          <w:tab w:leader="none" w:pos="760" w:val="left"/>
        </w:tabs>
        <w:numPr>
          <w:ilvl w:val="0"/>
          <w:numId w:val="40"/>
        </w:numPr>
        <w:rPr>
          <w:rFonts w:ascii="Arial" w:cs="Arial" w:eastAsia="Arial" w:hAnsi="Arial"/>
          <w:sz w:val="14"/>
          <w:szCs w:val="14"/>
          <w:color w:val="auto"/>
        </w:rPr>
      </w:pPr>
      <w:r>
        <w:rPr>
          <w:rFonts w:ascii="Arial" w:cs="Arial" w:eastAsia="Arial" w:hAnsi="Arial"/>
          <w:sz w:val="14"/>
          <w:szCs w:val="14"/>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44" w:lineRule="exact"/>
        <w:rPr>
          <w:rFonts w:ascii="Arial" w:cs="Arial" w:eastAsia="Arial" w:hAnsi="Arial"/>
          <w:sz w:val="14"/>
          <w:szCs w:val="14"/>
          <w:color w:val="auto"/>
        </w:rPr>
      </w:pPr>
    </w:p>
    <w:p>
      <w:pPr>
        <w:ind w:left="760" w:hanging="517"/>
        <w:spacing w:after="0"/>
        <w:tabs>
          <w:tab w:leader="none" w:pos="760" w:val="left"/>
        </w:tabs>
        <w:numPr>
          <w:ilvl w:val="0"/>
          <w:numId w:val="40"/>
        </w:numPr>
        <w:rPr>
          <w:rFonts w:ascii="Arial" w:cs="Arial" w:eastAsia="Arial" w:hAnsi="Arial"/>
          <w:sz w:val="13"/>
          <w:szCs w:val="13"/>
          <w:color w:val="auto"/>
        </w:rPr>
      </w:pPr>
      <w:r>
        <w:rPr>
          <w:rFonts w:ascii="Arial" w:cs="Arial" w:eastAsia="Arial" w:hAnsi="Arial"/>
          <w:sz w:val="13"/>
          <w:szCs w:val="13"/>
          <w:color w:val="auto"/>
        </w:rPr>
        <w:t>The registrant's other certifying officer and I are responsible for establishing and maintaining disclosure controls and procedures (as defined in Exchange Act Rules 13a-15(e) and</w:t>
      </w:r>
    </w:p>
    <w:p>
      <w:pPr>
        <w:spacing w:after="0" w:line="32" w:lineRule="exact"/>
        <w:rPr>
          <w:rFonts w:ascii="Arial" w:cs="Arial" w:eastAsia="Arial" w:hAnsi="Arial"/>
          <w:sz w:val="13"/>
          <w:szCs w:val="13"/>
          <w:color w:val="auto"/>
        </w:rPr>
      </w:pPr>
    </w:p>
    <w:p>
      <w:pPr>
        <w:ind w:left="760"/>
        <w:spacing w:after="0"/>
        <w:rPr>
          <w:rFonts w:ascii="Arial" w:cs="Arial" w:eastAsia="Arial" w:hAnsi="Arial"/>
          <w:sz w:val="13"/>
          <w:szCs w:val="13"/>
          <w:color w:val="auto"/>
        </w:rPr>
      </w:pPr>
      <w:r>
        <w:rPr>
          <w:rFonts w:ascii="Arial" w:cs="Arial" w:eastAsia="Arial" w:hAnsi="Arial"/>
          <w:sz w:val="14"/>
          <w:szCs w:val="14"/>
          <w:color w:val="auto"/>
        </w:rPr>
        <w:t>15d-15(e)) and internal control over financial reporting (as defined in Exchange Act Rules 13a-15(f) and 15d-15(f)) for the registrant and have:</w:t>
      </w:r>
    </w:p>
    <w:p>
      <w:pPr>
        <w:spacing w:after="0" w:line="88" w:lineRule="exact"/>
        <w:rPr>
          <w:rFonts w:ascii="Arial" w:cs="Arial" w:eastAsia="Arial" w:hAnsi="Arial"/>
          <w:sz w:val="13"/>
          <w:szCs w:val="13"/>
          <w:color w:val="auto"/>
        </w:rPr>
      </w:pPr>
    </w:p>
    <w:p>
      <w:pPr>
        <w:ind w:left="1280" w:hanging="261"/>
        <w:spacing w:after="0" w:line="272" w:lineRule="auto"/>
        <w:tabs>
          <w:tab w:leader="none" w:pos="1217" w:val="left"/>
        </w:tabs>
        <w:numPr>
          <w:ilvl w:val="1"/>
          <w:numId w:val="40"/>
        </w:numPr>
        <w:rPr>
          <w:rFonts w:ascii="Arial" w:cs="Arial" w:eastAsia="Arial" w:hAnsi="Arial"/>
          <w:sz w:val="14"/>
          <w:szCs w:val="14"/>
          <w:color w:val="auto"/>
        </w:rPr>
      </w:pPr>
      <w:r>
        <w:rPr>
          <w:rFonts w:ascii="Arial" w:cs="Arial" w:eastAsia="Arial" w:hAnsi="Arial"/>
          <w:sz w:val="14"/>
          <w:szCs w:val="14"/>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56" w:lineRule="exact"/>
        <w:rPr>
          <w:rFonts w:ascii="Arial" w:cs="Arial" w:eastAsia="Arial" w:hAnsi="Arial"/>
          <w:sz w:val="14"/>
          <w:szCs w:val="14"/>
          <w:color w:val="auto"/>
        </w:rPr>
      </w:pPr>
    </w:p>
    <w:p>
      <w:pPr>
        <w:ind w:left="1280" w:right="80" w:hanging="261"/>
        <w:spacing w:after="0" w:line="272" w:lineRule="auto"/>
        <w:tabs>
          <w:tab w:leader="none" w:pos="1225" w:val="left"/>
        </w:tabs>
        <w:numPr>
          <w:ilvl w:val="1"/>
          <w:numId w:val="40"/>
        </w:numPr>
        <w:rPr>
          <w:rFonts w:ascii="Arial" w:cs="Arial" w:eastAsia="Arial" w:hAnsi="Arial"/>
          <w:sz w:val="14"/>
          <w:szCs w:val="14"/>
          <w:color w:val="auto"/>
        </w:rPr>
      </w:pPr>
      <w:r>
        <w:rPr>
          <w:rFonts w:ascii="Arial" w:cs="Arial" w:eastAsia="Arial" w:hAnsi="Arial"/>
          <w:sz w:val="14"/>
          <w:szCs w:val="14"/>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56" w:lineRule="exact"/>
        <w:rPr>
          <w:rFonts w:ascii="Arial" w:cs="Arial" w:eastAsia="Arial" w:hAnsi="Arial"/>
          <w:sz w:val="14"/>
          <w:szCs w:val="14"/>
          <w:color w:val="auto"/>
        </w:rPr>
      </w:pPr>
    </w:p>
    <w:p>
      <w:pPr>
        <w:ind w:left="1280" w:right="460" w:hanging="261"/>
        <w:spacing w:after="0" w:line="288" w:lineRule="auto"/>
        <w:tabs>
          <w:tab w:leader="none" w:pos="1217" w:val="left"/>
        </w:tabs>
        <w:numPr>
          <w:ilvl w:val="1"/>
          <w:numId w:val="40"/>
        </w:numPr>
        <w:rPr>
          <w:rFonts w:ascii="Arial" w:cs="Arial" w:eastAsia="Arial" w:hAnsi="Arial"/>
          <w:sz w:val="14"/>
          <w:szCs w:val="14"/>
          <w:color w:val="auto"/>
        </w:rPr>
      </w:pPr>
      <w:r>
        <w:rPr>
          <w:rFonts w:ascii="Arial" w:cs="Arial" w:eastAsia="Arial" w:hAnsi="Arial"/>
          <w:sz w:val="14"/>
          <w:szCs w:val="14"/>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44" w:lineRule="exact"/>
        <w:rPr>
          <w:rFonts w:ascii="Arial" w:cs="Arial" w:eastAsia="Arial" w:hAnsi="Arial"/>
          <w:sz w:val="14"/>
          <w:szCs w:val="14"/>
          <w:color w:val="auto"/>
        </w:rPr>
      </w:pPr>
    </w:p>
    <w:p>
      <w:pPr>
        <w:ind w:left="1280" w:right="120" w:hanging="261"/>
        <w:spacing w:after="0" w:line="272" w:lineRule="auto"/>
        <w:tabs>
          <w:tab w:leader="none" w:pos="1225" w:val="left"/>
        </w:tabs>
        <w:numPr>
          <w:ilvl w:val="1"/>
          <w:numId w:val="40"/>
        </w:numPr>
        <w:rPr>
          <w:rFonts w:ascii="Arial" w:cs="Arial" w:eastAsia="Arial" w:hAnsi="Arial"/>
          <w:sz w:val="14"/>
          <w:szCs w:val="14"/>
          <w:color w:val="auto"/>
        </w:rPr>
      </w:pPr>
      <w:r>
        <w:rPr>
          <w:rFonts w:ascii="Arial" w:cs="Arial" w:eastAsia="Arial" w:hAnsi="Arial"/>
          <w:sz w:val="14"/>
          <w:szCs w:val="14"/>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56" w:lineRule="exact"/>
        <w:rPr>
          <w:rFonts w:ascii="Arial" w:cs="Arial" w:eastAsia="Arial" w:hAnsi="Arial"/>
          <w:sz w:val="14"/>
          <w:szCs w:val="14"/>
          <w:color w:val="auto"/>
        </w:rPr>
      </w:pPr>
    </w:p>
    <w:p>
      <w:pPr>
        <w:ind w:left="760" w:right="60" w:hanging="517"/>
        <w:spacing w:after="0" w:line="288" w:lineRule="auto"/>
        <w:tabs>
          <w:tab w:leader="none" w:pos="760" w:val="left"/>
        </w:tabs>
        <w:numPr>
          <w:ilvl w:val="0"/>
          <w:numId w:val="40"/>
        </w:numPr>
        <w:rPr>
          <w:rFonts w:ascii="Arial" w:cs="Arial" w:eastAsia="Arial" w:hAnsi="Arial"/>
          <w:sz w:val="14"/>
          <w:szCs w:val="14"/>
          <w:color w:val="auto"/>
        </w:rPr>
      </w:pPr>
      <w:r>
        <w:rPr>
          <w:rFonts w:ascii="Arial" w:cs="Arial" w:eastAsia="Arial" w:hAnsi="Arial"/>
          <w:sz w:val="14"/>
          <w:szCs w:val="14"/>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44" w:lineRule="exact"/>
        <w:rPr>
          <w:rFonts w:ascii="Arial" w:cs="Arial" w:eastAsia="Arial" w:hAnsi="Arial"/>
          <w:sz w:val="14"/>
          <w:szCs w:val="14"/>
          <w:color w:val="auto"/>
        </w:rPr>
      </w:pPr>
    </w:p>
    <w:p>
      <w:pPr>
        <w:ind w:left="1280" w:right="60" w:hanging="261"/>
        <w:spacing w:after="0" w:line="288" w:lineRule="auto"/>
        <w:tabs>
          <w:tab w:leader="none" w:pos="1217" w:val="left"/>
        </w:tabs>
        <w:numPr>
          <w:ilvl w:val="1"/>
          <w:numId w:val="40"/>
        </w:numPr>
        <w:rPr>
          <w:rFonts w:ascii="Arial" w:cs="Arial" w:eastAsia="Arial" w:hAnsi="Arial"/>
          <w:sz w:val="14"/>
          <w:szCs w:val="14"/>
          <w:color w:val="auto"/>
        </w:rPr>
      </w:pPr>
      <w:r>
        <w:rPr>
          <w:rFonts w:ascii="Arial" w:cs="Arial" w:eastAsia="Arial" w:hAnsi="Arial"/>
          <w:sz w:val="14"/>
          <w:szCs w:val="14"/>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44" w:lineRule="exact"/>
        <w:rPr>
          <w:rFonts w:ascii="Arial" w:cs="Arial" w:eastAsia="Arial" w:hAnsi="Arial"/>
          <w:sz w:val="14"/>
          <w:szCs w:val="14"/>
          <w:color w:val="auto"/>
        </w:rPr>
      </w:pPr>
    </w:p>
    <w:p>
      <w:pPr>
        <w:ind w:left="1220" w:hanging="201"/>
        <w:spacing w:after="0"/>
        <w:tabs>
          <w:tab w:leader="none" w:pos="1220" w:val="left"/>
        </w:tabs>
        <w:numPr>
          <w:ilvl w:val="1"/>
          <w:numId w:val="40"/>
        </w:numPr>
        <w:rPr>
          <w:rFonts w:ascii="Arial" w:cs="Arial" w:eastAsia="Arial" w:hAnsi="Arial"/>
          <w:sz w:val="13"/>
          <w:szCs w:val="13"/>
          <w:color w:val="auto"/>
        </w:rPr>
      </w:pPr>
      <w:r>
        <w:rPr>
          <w:rFonts w:ascii="Arial" w:cs="Arial" w:eastAsia="Arial" w:hAnsi="Arial"/>
          <w:sz w:val="13"/>
          <w:szCs w:val="13"/>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spacing w:after="0"/>
        <w:tabs>
          <w:tab w:leader="none" w:pos="760" w:val="left"/>
          <w:tab w:leader="none" w:pos="4580" w:val="left"/>
        </w:tabs>
        <w:rPr>
          <w:sz w:val="20"/>
          <w:szCs w:val="20"/>
          <w:color w:val="auto"/>
        </w:rPr>
      </w:pPr>
      <w:r>
        <w:rPr>
          <w:rFonts w:ascii="Arial" w:cs="Arial" w:eastAsia="Arial" w:hAnsi="Arial"/>
          <w:sz w:val="14"/>
          <w:szCs w:val="14"/>
          <w:color w:val="auto"/>
        </w:rPr>
        <w:t>Date:</w:t>
      </w:r>
      <w:r>
        <w:rPr>
          <w:sz w:val="20"/>
          <w:szCs w:val="20"/>
          <w:color w:val="auto"/>
        </w:rPr>
        <w:tab/>
      </w:r>
      <w:r>
        <w:rPr>
          <w:rFonts w:ascii="Arial" w:cs="Arial" w:eastAsia="Arial" w:hAnsi="Arial"/>
          <w:sz w:val="14"/>
          <w:szCs w:val="14"/>
          <w:color w:val="auto"/>
        </w:rPr>
        <w:t>May 8, 2019</w:t>
      </w:r>
      <w:r>
        <w:rPr>
          <w:sz w:val="20"/>
          <w:szCs w:val="20"/>
          <w:color w:val="auto"/>
        </w:rPr>
        <w:tab/>
      </w:r>
      <w:r>
        <w:rPr>
          <w:rFonts w:ascii="Arial" w:cs="Arial" w:eastAsia="Arial" w:hAnsi="Arial"/>
          <w:sz w:val="13"/>
          <w:szCs w:val="13"/>
          <w:u w:val="single" w:color="auto"/>
          <w:color w:val="auto"/>
        </w:rPr>
        <w:t>/s/ JAMES D. KRUGER</w:t>
      </w:r>
    </w:p>
    <w:p>
      <w:pPr>
        <w:spacing w:after="0" w:line="35" w:lineRule="exact"/>
        <w:rPr>
          <w:sz w:val="20"/>
          <w:szCs w:val="20"/>
          <w:color w:val="auto"/>
        </w:rPr>
      </w:pPr>
    </w:p>
    <w:p>
      <w:pPr>
        <w:ind w:left="4600"/>
        <w:spacing w:after="0"/>
        <w:rPr>
          <w:sz w:val="20"/>
          <w:szCs w:val="20"/>
          <w:color w:val="auto"/>
        </w:rPr>
      </w:pPr>
      <w:r>
        <w:rPr>
          <w:rFonts w:ascii="Arial" w:cs="Arial" w:eastAsia="Arial" w:hAnsi="Arial"/>
          <w:sz w:val="14"/>
          <w:szCs w:val="14"/>
          <w:color w:val="auto"/>
        </w:rPr>
        <w:t>James D. Kruger</w:t>
      </w:r>
    </w:p>
    <w:p>
      <w:pPr>
        <w:ind w:left="4600"/>
        <w:spacing w:after="0" w:line="208" w:lineRule="auto"/>
        <w:rPr>
          <w:sz w:val="20"/>
          <w:szCs w:val="20"/>
          <w:color w:val="auto"/>
        </w:rPr>
      </w:pPr>
      <w:r>
        <w:rPr>
          <w:rFonts w:ascii="Arial" w:cs="Arial" w:eastAsia="Arial" w:hAnsi="Arial"/>
          <w:sz w:val="14"/>
          <w:szCs w:val="14"/>
          <w:color w:val="auto"/>
        </w:rPr>
        <w:t>Chief Financial Officer</w:t>
      </w:r>
    </w:p>
    <w:p>
      <w:pPr>
        <w:spacing w:after="0" w:line="1" w:lineRule="exact"/>
        <w:rPr>
          <w:sz w:val="20"/>
          <w:szCs w:val="20"/>
          <w:color w:val="auto"/>
        </w:rPr>
      </w:pPr>
    </w:p>
    <w:p>
      <w:pPr>
        <w:ind w:left="4600"/>
        <w:spacing w:after="0"/>
        <w:rPr>
          <w:sz w:val="20"/>
          <w:szCs w:val="20"/>
          <w:color w:val="auto"/>
        </w:rPr>
      </w:pPr>
      <w:r>
        <w:rPr>
          <w:rFonts w:ascii="Arial" w:cs="Arial" w:eastAsia="Arial" w:hAnsi="Arial"/>
          <w:sz w:val="14"/>
          <w:szCs w:val="14"/>
          <w:color w:val="auto"/>
        </w:rPr>
        <w:t>Principal Financial Officer and Principal Accounting Officer</w:t>
      </w:r>
    </w:p>
    <w:p>
      <w:pPr>
        <w:sectPr>
          <w:pgSz w:w="11900" w:h="16838" w:orient="portrait"/>
          <w:cols w:equalWidth="0" w:num="1">
            <w:col w:w="11180"/>
          </w:cols>
          <w:pgMar w:left="500" w:top="739" w:right="219" w:bottom="1440" w:gutter="0" w:footer="0" w:header="0"/>
        </w:sectPr>
      </w:pPr>
    </w:p>
    <w:bookmarkStart w:id="65" w:name="page66"/>
    <w:bookmarkEnd w:id="65"/>
    <w:p>
      <w:pPr>
        <w:jc w:val="right"/>
        <w:spacing w:after="0"/>
        <w:rPr>
          <w:sz w:val="20"/>
          <w:szCs w:val="20"/>
          <w:color w:val="auto"/>
        </w:rPr>
      </w:pPr>
      <w:r>
        <w:rPr>
          <w:rFonts w:ascii="Arial" w:cs="Arial" w:eastAsia="Arial" w:hAnsi="Arial"/>
          <w:sz w:val="14"/>
          <w:szCs w:val="14"/>
          <w:b w:val="1"/>
          <w:bCs w:val="1"/>
          <w:color w:val="auto"/>
        </w:rPr>
        <w:t>Exhibit 32</w:t>
      </w:r>
    </w:p>
    <w:p>
      <w:pPr>
        <w:spacing w:after="0" w:line="399"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Certification Pursuant to Section 906 of the Sarbanes-Oxley Act of 2002</w:t>
      </w:r>
    </w:p>
    <w:p>
      <w:pPr>
        <w:spacing w:after="0" w:line="145" w:lineRule="exact"/>
        <w:rPr>
          <w:sz w:val="20"/>
          <w:szCs w:val="20"/>
          <w:color w:val="auto"/>
        </w:rPr>
      </w:pPr>
    </w:p>
    <w:p>
      <w:pPr>
        <w:ind w:right="140" w:firstLine="517"/>
        <w:spacing w:after="0" w:line="288" w:lineRule="auto"/>
        <w:rPr>
          <w:sz w:val="20"/>
          <w:szCs w:val="20"/>
          <w:color w:val="auto"/>
        </w:rPr>
      </w:pPr>
      <w:r>
        <w:rPr>
          <w:rFonts w:ascii="Arial" w:cs="Arial" w:eastAsia="Arial" w:hAnsi="Arial"/>
          <w:sz w:val="14"/>
          <w:szCs w:val="14"/>
          <w:color w:val="auto"/>
        </w:rPr>
        <w:t>In connection with the Quarterly Report of Nelnet, Inc. (the “Company”) on Form 10-Q for the quarter ended March 31, 2019 as filed with the Securities and Exchange Commission on the date hereof (the “Report”), we certify pursuant to 18 U.S.C. § 1350, as adopted pursuant to § 906 of the Sarbanes-Oxley Act of 2002, that:</w:t>
      </w:r>
    </w:p>
    <w:p>
      <w:pPr>
        <w:spacing w:after="0" w:line="88" w:lineRule="exact"/>
        <w:rPr>
          <w:sz w:val="20"/>
          <w:szCs w:val="20"/>
          <w:color w:val="auto"/>
        </w:rPr>
      </w:pPr>
    </w:p>
    <w:p>
      <w:pPr>
        <w:ind w:left="1560" w:hanging="519"/>
        <w:spacing w:after="0"/>
        <w:tabs>
          <w:tab w:leader="none" w:pos="1560" w:val="left"/>
        </w:tabs>
        <w:numPr>
          <w:ilvl w:val="0"/>
          <w:numId w:val="41"/>
        </w:numPr>
        <w:rPr>
          <w:rFonts w:ascii="Arial" w:cs="Arial" w:eastAsia="Arial" w:hAnsi="Arial"/>
          <w:sz w:val="14"/>
          <w:szCs w:val="14"/>
          <w:color w:val="auto"/>
        </w:rPr>
      </w:pPr>
      <w:r>
        <w:rPr>
          <w:rFonts w:ascii="Arial" w:cs="Arial" w:eastAsia="Arial" w:hAnsi="Arial"/>
          <w:sz w:val="14"/>
          <w:szCs w:val="14"/>
          <w:color w:val="auto"/>
        </w:rPr>
        <w:t>The Report fully complies with the requirements of Section 13(a) or 15(d) of the Securities Exchange Act of 1934; and</w:t>
      </w:r>
    </w:p>
    <w:p>
      <w:pPr>
        <w:spacing w:after="0" w:line="97" w:lineRule="exact"/>
        <w:rPr>
          <w:rFonts w:ascii="Arial" w:cs="Arial" w:eastAsia="Arial" w:hAnsi="Arial"/>
          <w:sz w:val="14"/>
          <w:szCs w:val="14"/>
          <w:color w:val="auto"/>
        </w:rPr>
      </w:pPr>
    </w:p>
    <w:p>
      <w:pPr>
        <w:ind w:left="1560" w:hanging="519"/>
        <w:spacing w:after="0"/>
        <w:tabs>
          <w:tab w:leader="none" w:pos="1560" w:val="left"/>
        </w:tabs>
        <w:numPr>
          <w:ilvl w:val="0"/>
          <w:numId w:val="41"/>
        </w:numPr>
        <w:rPr>
          <w:rFonts w:ascii="Arial" w:cs="Arial" w:eastAsia="Arial" w:hAnsi="Arial"/>
          <w:sz w:val="14"/>
          <w:szCs w:val="14"/>
          <w:color w:val="auto"/>
        </w:rPr>
      </w:pPr>
      <w:r>
        <w:rPr>
          <w:rFonts w:ascii="Arial" w:cs="Arial" w:eastAsia="Arial" w:hAnsi="Arial"/>
          <w:sz w:val="14"/>
          <w:szCs w:val="14"/>
          <w:color w:val="auto"/>
        </w:rPr>
        <w:t>The information contained in the Report fairly presents, in all material respects, the financial condition and results of operations of the Company.</w:t>
      </w: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tbl>
      <w:tblPr>
        <w:tblLayout w:type="fixed"/>
        <w:tblInd w:w="40" w:type="dxa"/>
        <w:tblCellMar>
          <w:top w:w="0" w:type="dxa"/>
          <w:left w:w="0" w:type="dxa"/>
          <w:bottom w:w="0" w:type="dxa"/>
          <w:right w:w="0" w:type="dxa"/>
        </w:tblCellMar>
      </w:tblPr>
      <w:tr>
        <w:trPr>
          <w:trHeight w:val="172"/>
        </w:trPr>
        <w:tc>
          <w:tcPr>
            <w:tcW w:w="480" w:type="dxa"/>
            <w:vAlign w:val="bottom"/>
          </w:tcPr>
          <w:p>
            <w:pPr>
              <w:spacing w:after="0"/>
              <w:rPr>
                <w:sz w:val="20"/>
                <w:szCs w:val="20"/>
                <w:color w:val="auto"/>
              </w:rPr>
            </w:pPr>
            <w:r>
              <w:rPr>
                <w:rFonts w:ascii="Arial" w:cs="Arial" w:eastAsia="Arial" w:hAnsi="Arial"/>
                <w:sz w:val="14"/>
                <w:szCs w:val="14"/>
                <w:color w:val="auto"/>
              </w:rPr>
              <w:t>Date:</w:t>
            </w:r>
          </w:p>
        </w:tc>
        <w:tc>
          <w:tcPr>
            <w:tcW w:w="2560" w:type="dxa"/>
            <w:vAlign w:val="bottom"/>
          </w:tcPr>
          <w:p>
            <w:pPr>
              <w:ind w:left="160"/>
              <w:spacing w:after="0"/>
              <w:rPr>
                <w:sz w:val="20"/>
                <w:szCs w:val="20"/>
                <w:color w:val="auto"/>
              </w:rPr>
            </w:pPr>
            <w:r>
              <w:rPr>
                <w:rFonts w:ascii="Arial" w:cs="Arial" w:eastAsia="Arial" w:hAnsi="Arial"/>
                <w:sz w:val="14"/>
                <w:szCs w:val="14"/>
                <w:color w:val="auto"/>
              </w:rPr>
              <w:t>May 8, 2019</w:t>
            </w:r>
          </w:p>
        </w:tc>
        <w:tc>
          <w:tcPr>
            <w:tcW w:w="3800" w:type="dxa"/>
            <w:vAlign w:val="bottom"/>
            <w:gridSpan w:val="2"/>
          </w:tcPr>
          <w:p>
            <w:pPr>
              <w:ind w:left="1680"/>
              <w:spacing w:after="0"/>
              <w:rPr>
                <w:sz w:val="20"/>
                <w:szCs w:val="20"/>
                <w:color w:val="auto"/>
              </w:rPr>
            </w:pPr>
            <w:r>
              <w:rPr>
                <w:rFonts w:ascii="Arial" w:cs="Arial" w:eastAsia="Arial" w:hAnsi="Arial"/>
                <w:sz w:val="14"/>
                <w:szCs w:val="14"/>
                <w:color w:val="auto"/>
                <w:w w:val="96"/>
              </w:rPr>
              <w:t>By: /s/ JEFFREY R. NOORDHOEK</w:t>
            </w:r>
          </w:p>
        </w:tc>
      </w:tr>
      <w:tr>
        <w:trPr>
          <w:trHeight w:val="20"/>
        </w:trPr>
        <w:tc>
          <w:tcPr>
            <w:tcW w:w="480" w:type="dxa"/>
            <w:vAlign w:val="bottom"/>
          </w:tcPr>
          <w:p>
            <w:pPr>
              <w:spacing w:after="0" w:line="20" w:lineRule="exact"/>
              <w:rPr>
                <w:sz w:val="1"/>
                <w:szCs w:val="1"/>
                <w:color w:val="auto"/>
              </w:rPr>
            </w:pPr>
          </w:p>
        </w:tc>
        <w:tc>
          <w:tcPr>
            <w:tcW w:w="2560" w:type="dxa"/>
            <w:vAlign w:val="bottom"/>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1880" w:type="dxa"/>
            <w:vAlign w:val="bottom"/>
            <w:shd w:val="clear" w:color="auto" w:fill="000000"/>
          </w:tcPr>
          <w:p>
            <w:pPr>
              <w:spacing w:after="0" w:line="20" w:lineRule="exact"/>
              <w:rPr>
                <w:sz w:val="1"/>
                <w:szCs w:val="1"/>
                <w:color w:val="auto"/>
              </w:rPr>
            </w:pPr>
          </w:p>
        </w:tc>
      </w:tr>
      <w:tr>
        <w:trPr>
          <w:trHeight w:val="153"/>
        </w:trPr>
        <w:tc>
          <w:tcPr>
            <w:tcW w:w="480" w:type="dxa"/>
            <w:vAlign w:val="bottom"/>
          </w:tcPr>
          <w:p>
            <w:pPr>
              <w:spacing w:after="0"/>
              <w:rPr>
                <w:sz w:val="13"/>
                <w:szCs w:val="13"/>
                <w:color w:val="auto"/>
              </w:rPr>
            </w:pPr>
          </w:p>
        </w:tc>
        <w:tc>
          <w:tcPr>
            <w:tcW w:w="2560" w:type="dxa"/>
            <w:vAlign w:val="bottom"/>
          </w:tcPr>
          <w:p>
            <w:pPr>
              <w:spacing w:after="0"/>
              <w:rPr>
                <w:sz w:val="13"/>
                <w:szCs w:val="13"/>
                <w:color w:val="auto"/>
              </w:rPr>
            </w:pPr>
          </w:p>
        </w:tc>
        <w:tc>
          <w:tcPr>
            <w:tcW w:w="3800" w:type="dxa"/>
            <w:vAlign w:val="bottom"/>
            <w:gridSpan w:val="2"/>
          </w:tcPr>
          <w:p>
            <w:pPr>
              <w:ind w:left="1680"/>
              <w:spacing w:after="0" w:line="153" w:lineRule="exact"/>
              <w:rPr>
                <w:sz w:val="20"/>
                <w:szCs w:val="20"/>
                <w:color w:val="auto"/>
              </w:rPr>
            </w:pPr>
            <w:r>
              <w:rPr>
                <w:rFonts w:ascii="Arial" w:cs="Arial" w:eastAsia="Arial" w:hAnsi="Arial"/>
                <w:sz w:val="14"/>
                <w:szCs w:val="14"/>
                <w:color w:val="auto"/>
              </w:rPr>
              <w:t>Name: Jeffrey R. Noordhoek</w:t>
            </w:r>
          </w:p>
        </w:tc>
      </w:tr>
      <w:tr>
        <w:trPr>
          <w:trHeight w:val="152"/>
        </w:trPr>
        <w:tc>
          <w:tcPr>
            <w:tcW w:w="480" w:type="dxa"/>
            <w:vAlign w:val="bottom"/>
          </w:tcPr>
          <w:p>
            <w:pPr>
              <w:spacing w:after="0"/>
              <w:rPr>
                <w:sz w:val="13"/>
                <w:szCs w:val="13"/>
                <w:color w:val="auto"/>
              </w:rPr>
            </w:pPr>
          </w:p>
        </w:tc>
        <w:tc>
          <w:tcPr>
            <w:tcW w:w="2560" w:type="dxa"/>
            <w:vAlign w:val="bottom"/>
          </w:tcPr>
          <w:p>
            <w:pPr>
              <w:spacing w:after="0"/>
              <w:rPr>
                <w:sz w:val="13"/>
                <w:szCs w:val="13"/>
                <w:color w:val="auto"/>
              </w:rPr>
            </w:pPr>
          </w:p>
        </w:tc>
        <w:tc>
          <w:tcPr>
            <w:tcW w:w="3800" w:type="dxa"/>
            <w:vAlign w:val="bottom"/>
            <w:gridSpan w:val="2"/>
          </w:tcPr>
          <w:p>
            <w:pPr>
              <w:ind w:left="1680"/>
              <w:spacing w:after="0" w:line="152" w:lineRule="exact"/>
              <w:rPr>
                <w:sz w:val="20"/>
                <w:szCs w:val="20"/>
                <w:color w:val="auto"/>
              </w:rPr>
            </w:pPr>
            <w:r>
              <w:rPr>
                <w:rFonts w:ascii="Arial" w:cs="Arial" w:eastAsia="Arial" w:hAnsi="Arial"/>
                <w:sz w:val="14"/>
                <w:szCs w:val="14"/>
                <w:color w:val="auto"/>
              </w:rPr>
              <w:t>Title:  Chief Executive Officer</w:t>
            </w:r>
          </w:p>
        </w:tc>
      </w:tr>
    </w:tbl>
    <w:p>
      <w:pPr>
        <w:ind w:left="5160"/>
        <w:spacing w:after="0"/>
        <w:rPr>
          <w:sz w:val="20"/>
          <w:szCs w:val="20"/>
          <w:color w:val="auto"/>
        </w:rPr>
      </w:pPr>
      <w:r>
        <w:rPr>
          <w:rFonts w:ascii="Arial" w:cs="Arial" w:eastAsia="Arial" w:hAnsi="Arial"/>
          <w:sz w:val="14"/>
          <w:szCs w:val="14"/>
          <w:color w:val="auto"/>
        </w:rPr>
        <w:t>Principal Executive Officer</w:t>
      </w:r>
    </w:p>
    <w:p>
      <w:pPr>
        <w:spacing w:after="0" w:line="193" w:lineRule="exact"/>
        <w:rPr>
          <w:sz w:val="20"/>
          <w:szCs w:val="20"/>
          <w:color w:val="auto"/>
        </w:rPr>
      </w:pPr>
    </w:p>
    <w:p>
      <w:pPr>
        <w:ind w:left="4760"/>
        <w:spacing w:after="0"/>
        <w:rPr>
          <w:sz w:val="20"/>
          <w:szCs w:val="20"/>
          <w:color w:val="auto"/>
        </w:rPr>
      </w:pPr>
      <w:r>
        <w:rPr>
          <w:rFonts w:ascii="Arial" w:cs="Arial" w:eastAsia="Arial" w:hAnsi="Arial"/>
          <w:sz w:val="14"/>
          <w:szCs w:val="14"/>
          <w:color w:val="auto"/>
        </w:rPr>
        <w:t xml:space="preserve">By: </w:t>
      </w:r>
      <w:r>
        <w:rPr>
          <w:rFonts w:ascii="Arial" w:cs="Arial" w:eastAsia="Arial" w:hAnsi="Arial"/>
          <w:sz w:val="14"/>
          <w:szCs w:val="14"/>
          <w:u w:val="single" w:color="auto"/>
          <w:color w:val="auto"/>
        </w:rPr>
        <w:t>/s/ JAMES D. KRUGER</w:t>
      </w:r>
    </w:p>
    <w:p>
      <w:pPr>
        <w:spacing w:after="0" w:line="13" w:lineRule="exact"/>
        <w:rPr>
          <w:sz w:val="20"/>
          <w:szCs w:val="20"/>
          <w:color w:val="auto"/>
        </w:rPr>
      </w:pPr>
    </w:p>
    <w:p>
      <w:pPr>
        <w:ind w:left="4760"/>
        <w:spacing w:after="0"/>
        <w:rPr>
          <w:sz w:val="20"/>
          <w:szCs w:val="20"/>
          <w:color w:val="auto"/>
        </w:rPr>
      </w:pPr>
      <w:r>
        <w:rPr>
          <w:rFonts w:ascii="Arial" w:cs="Arial" w:eastAsia="Arial" w:hAnsi="Arial"/>
          <w:sz w:val="14"/>
          <w:szCs w:val="14"/>
          <w:color w:val="auto"/>
        </w:rPr>
        <w:t>Name: James D. Kruger</w:t>
      </w:r>
    </w:p>
    <w:p>
      <w:pPr>
        <w:ind w:left="4760"/>
        <w:spacing w:after="0" w:line="208" w:lineRule="auto"/>
        <w:rPr>
          <w:sz w:val="20"/>
          <w:szCs w:val="20"/>
          <w:color w:val="auto"/>
        </w:rPr>
      </w:pPr>
      <w:r>
        <w:rPr>
          <w:rFonts w:ascii="Arial" w:cs="Arial" w:eastAsia="Arial" w:hAnsi="Arial"/>
          <w:sz w:val="14"/>
          <w:szCs w:val="14"/>
          <w:color w:val="auto"/>
        </w:rPr>
        <w:t>Title:  Chief Financial Officer</w:t>
      </w:r>
    </w:p>
    <w:p>
      <w:pPr>
        <w:spacing w:after="0" w:line="1" w:lineRule="exact"/>
        <w:rPr>
          <w:sz w:val="20"/>
          <w:szCs w:val="20"/>
          <w:color w:val="auto"/>
        </w:rPr>
      </w:pPr>
    </w:p>
    <w:p>
      <w:pPr>
        <w:ind w:left="5160"/>
        <w:spacing w:after="0"/>
        <w:rPr>
          <w:sz w:val="20"/>
          <w:szCs w:val="20"/>
          <w:color w:val="auto"/>
        </w:rPr>
      </w:pPr>
      <w:r>
        <w:rPr>
          <w:rFonts w:ascii="Arial" w:cs="Arial" w:eastAsia="Arial" w:hAnsi="Arial"/>
          <w:sz w:val="14"/>
          <w:szCs w:val="14"/>
          <w:color w:val="auto"/>
        </w:rPr>
        <w:t>Principal Financial Officer and Principal Accounting Officer</w:t>
      </w:r>
    </w:p>
    <w:sectPr>
      <w:pgSz w:w="11900" w:h="16838" w:orient="portrait"/>
      <w:cols w:equalWidth="0" w:num="1">
        <w:col w:w="11460"/>
      </w:cols>
      <w:pgMar w:left="220" w:top="739" w:right="2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28C895D"/>
    <w:multiLevelType w:val="hybridMultilevel"/>
    <w:lvl w:ilvl="0">
      <w:lvlJc w:val="left"/>
      <w:lvlText w:val="☒"/>
      <w:numFmt w:val="bullet"/>
      <w:start w:val="1"/>
    </w:lvl>
  </w:abstractNum>
  <w:abstractNum w:abstractNumId="1">
    <w:nsid w:val="333AB105"/>
    <w:multiLevelType w:val="hybridMultilevel"/>
    <w:lvl w:ilvl="0">
      <w:lvlJc w:val="left"/>
      <w:lvlText w:val="☐"/>
      <w:numFmt w:val="bullet"/>
      <w:start w:val="1"/>
    </w:lvl>
  </w:abstractNum>
  <w:abstractNum w:abstractNumId="2">
    <w:nsid w:val="721DA317"/>
    <w:multiLevelType w:val="hybridMultilevel"/>
    <w:lvl w:ilvl="0">
      <w:lvlJc w:val="left"/>
      <w:lvlText w:val="(%1)"/>
      <w:numFmt w:val="lowerLetter"/>
      <w:start w:val="1"/>
    </w:lvl>
  </w:abstractNum>
  <w:abstractNum w:abstractNumId="3">
    <w:nsid w:val="2443A858"/>
    <w:multiLevelType w:val="hybridMultilevel"/>
    <w:lvl w:ilvl="0">
      <w:lvlJc w:val="left"/>
      <w:lvlText w:val="(%1)"/>
      <w:numFmt w:val="lowerLetter"/>
      <w:start w:val="1"/>
    </w:lvl>
  </w:abstractNum>
  <w:abstractNum w:abstractNumId="4">
    <w:nsid w:val="2D1D5AE9"/>
    <w:multiLevelType w:val="hybridMultilevel"/>
    <w:lvl w:ilvl="0">
      <w:lvlJc w:val="left"/>
      <w:lvlText w:val="•"/>
      <w:numFmt w:val="bullet"/>
      <w:start w:val="1"/>
    </w:lvl>
  </w:abstractNum>
  <w:abstractNum w:abstractNumId="5">
    <w:nsid w:val="6763845E"/>
    <w:multiLevelType w:val="hybridMultilevel"/>
    <w:lvl w:ilvl="0">
      <w:lvlJc w:val="left"/>
      <w:lvlText w:val="(%1)"/>
      <w:numFmt w:val="lowerLetter"/>
      <w:start w:val="1"/>
    </w:lvl>
  </w:abstractNum>
  <w:abstractNum w:abstractNumId="6">
    <w:nsid w:val="75A2A8D4"/>
    <w:multiLevelType w:val="hybridMultilevel"/>
    <w:lvl w:ilvl="0">
      <w:lvlJc w:val="left"/>
      <w:lvlText w:val="•"/>
      <w:numFmt w:val="bullet"/>
      <w:start w:val="1"/>
    </w:lvl>
  </w:abstractNum>
  <w:abstractNum w:abstractNumId="7">
    <w:nsid w:val="8EDBDAB"/>
    <w:multiLevelType w:val="hybridMultilevel"/>
    <w:lvl w:ilvl="0">
      <w:lvlJc w:val="left"/>
      <w:lvlText w:val="•"/>
      <w:numFmt w:val="bullet"/>
      <w:start w:val="1"/>
    </w:lvl>
  </w:abstractNum>
  <w:abstractNum w:abstractNumId="8">
    <w:nsid w:val="79838CB2"/>
    <w:multiLevelType w:val="hybridMultilevel"/>
    <w:lvl w:ilvl="0">
      <w:lvlJc w:val="left"/>
      <w:lvlText w:val="(%1)"/>
      <w:numFmt w:val="lowerLetter"/>
      <w:start w:val="1"/>
    </w:lvl>
  </w:abstractNum>
  <w:abstractNum w:abstractNumId="9">
    <w:nsid w:val="4353D0CD"/>
    <w:multiLevelType w:val="hybridMultilevel"/>
    <w:lvl w:ilvl="0">
      <w:lvlJc w:val="left"/>
      <w:lvlText w:val="•"/>
      <w:numFmt w:val="bullet"/>
      <w:start w:val="1"/>
    </w:lvl>
  </w:abstractNum>
  <w:abstractNum w:abstractNumId="10">
    <w:nsid w:val="B03E0C6"/>
    <w:multiLevelType w:val="hybridMultilevel"/>
    <w:lvl w:ilvl="0">
      <w:lvlJc w:val="left"/>
      <w:lvlText w:val="•"/>
      <w:numFmt w:val="bullet"/>
      <w:start w:val="1"/>
    </w:lvl>
  </w:abstractNum>
  <w:abstractNum w:abstractNumId="11">
    <w:nsid w:val="189A769B"/>
    <w:multiLevelType w:val="hybridMultilevel"/>
    <w:lvl w:ilvl="0">
      <w:lvlJc w:val="left"/>
      <w:lvlText w:val="(%1)"/>
      <w:numFmt w:val="lowerLetter"/>
      <w:start w:val="1"/>
    </w:lvl>
  </w:abstractNum>
  <w:abstractNum w:abstractNumId="12">
    <w:nsid w:val="54E49EB4"/>
    <w:multiLevelType w:val="hybridMultilevel"/>
    <w:lvl w:ilvl="0">
      <w:lvlJc w:val="left"/>
      <w:lvlText w:val="•"/>
      <w:numFmt w:val="bullet"/>
      <w:start w:val="1"/>
    </w:lvl>
  </w:abstractNum>
  <w:abstractNum w:abstractNumId="13">
    <w:nsid w:val="71F32454"/>
    <w:multiLevelType w:val="hybridMultilevel"/>
    <w:lvl w:ilvl="0">
      <w:lvlJc w:val="left"/>
      <w:lvlText w:val="•"/>
      <w:numFmt w:val="bullet"/>
      <w:start w:val="1"/>
    </w:lvl>
  </w:abstractNum>
  <w:abstractNum w:abstractNumId="14">
    <w:nsid w:val="2CA88611"/>
    <w:multiLevelType w:val="hybridMultilevel"/>
    <w:lvl w:ilvl="0">
      <w:lvlJc w:val="left"/>
      <w:lvlText w:val="•"/>
      <w:numFmt w:val="bullet"/>
      <w:start w:val="1"/>
    </w:lvl>
  </w:abstractNum>
  <w:abstractNum w:abstractNumId="15">
    <w:nsid w:val="836C40E"/>
    <w:multiLevelType w:val="hybridMultilevel"/>
    <w:lvl w:ilvl="0">
      <w:lvlJc w:val="left"/>
      <w:lvlText w:val="•"/>
      <w:numFmt w:val="bullet"/>
      <w:start w:val="1"/>
    </w:lvl>
  </w:abstractNum>
  <w:abstractNum w:abstractNumId="16">
    <w:nsid w:val="2901D82"/>
    <w:multiLevelType w:val="hybridMultilevel"/>
    <w:lvl w:ilvl="0">
      <w:lvlJc w:val="left"/>
      <w:lvlText w:val="•"/>
      <w:numFmt w:val="bullet"/>
      <w:start w:val="1"/>
    </w:lvl>
  </w:abstractNum>
  <w:abstractNum w:abstractNumId="17">
    <w:nsid w:val="3A95F874"/>
    <w:multiLevelType w:val="hybridMultilevel"/>
    <w:lvl w:ilvl="0">
      <w:lvlJc w:val="left"/>
      <w:lvlText w:val="•"/>
      <w:numFmt w:val="bullet"/>
      <w:start w:val="1"/>
    </w:lvl>
  </w:abstractNum>
  <w:abstractNum w:abstractNumId="18">
    <w:nsid w:val="8138641"/>
    <w:multiLevelType w:val="hybridMultilevel"/>
    <w:lvl w:ilvl="0">
      <w:lvlJc w:val="left"/>
      <w:lvlText w:val="•"/>
      <w:numFmt w:val="bullet"/>
      <w:start w:val="1"/>
    </w:lvl>
  </w:abstractNum>
  <w:abstractNum w:abstractNumId="19">
    <w:nsid w:val="1E7FF521"/>
    <w:multiLevelType w:val="hybridMultilevel"/>
    <w:lvl w:ilvl="0">
      <w:lvlJc w:val="left"/>
      <w:lvlText w:val="•"/>
      <w:numFmt w:val="bullet"/>
      <w:start w:val="1"/>
    </w:lvl>
  </w:abstractNum>
  <w:abstractNum w:abstractNumId="20">
    <w:nsid w:val="7C3DBD3D"/>
    <w:multiLevelType w:val="hybridMultilevel"/>
    <w:lvl w:ilvl="0">
      <w:lvlJc w:val="left"/>
      <w:lvlText w:val="•"/>
      <w:numFmt w:val="bullet"/>
      <w:start w:val="1"/>
    </w:lvl>
  </w:abstractNum>
  <w:abstractNum w:abstractNumId="21">
    <w:nsid w:val="737B8DDC"/>
    <w:multiLevelType w:val="hybridMultilevel"/>
    <w:lvl w:ilvl="0">
      <w:lvlJc w:val="left"/>
      <w:lvlText w:val="•"/>
      <w:numFmt w:val="bullet"/>
      <w:start w:val="1"/>
    </w:lvl>
    <w:lvl w:ilvl="1">
      <w:lvlJc w:val="left"/>
      <w:lvlText w:val="•"/>
      <w:numFmt w:val="bullet"/>
      <w:start w:val="1"/>
    </w:lvl>
  </w:abstractNum>
  <w:abstractNum w:abstractNumId="22">
    <w:nsid w:val="6CEAF087"/>
    <w:multiLevelType w:val="hybridMultilevel"/>
    <w:lvl w:ilvl="0">
      <w:lvlJc w:val="left"/>
      <w:lvlText w:val="(%1)"/>
      <w:numFmt w:val="lowerLetter"/>
      <w:start w:val="1"/>
    </w:lvl>
  </w:abstractNum>
  <w:abstractNum w:abstractNumId="23">
    <w:nsid w:val="22221A70"/>
    <w:multiLevelType w:val="hybridMultilevel"/>
    <w:lvl w:ilvl="0">
      <w:lvlJc w:val="left"/>
      <w:lvlText w:val="$"/>
      <w:numFmt w:val="bullet"/>
      <w:start w:val="1"/>
    </w:lvl>
  </w:abstractNum>
  <w:abstractNum w:abstractNumId="24">
    <w:nsid w:val="4516DDE9"/>
    <w:multiLevelType w:val="hybridMultilevel"/>
    <w:lvl w:ilvl="0">
      <w:lvlJc w:val="left"/>
      <w:lvlText w:val="$"/>
      <w:numFmt w:val="bullet"/>
      <w:start w:val="1"/>
    </w:lvl>
  </w:abstractNum>
  <w:abstractNum w:abstractNumId="25">
    <w:nsid w:val="3006C83E"/>
    <w:multiLevelType w:val="hybridMultilevel"/>
    <w:lvl w:ilvl="0">
      <w:lvlJc w:val="left"/>
      <w:lvlText w:val="(%1)"/>
      <w:numFmt w:val="lowerLetter"/>
      <w:start w:val="1"/>
    </w:lvl>
  </w:abstractNum>
  <w:abstractNum w:abstractNumId="26">
    <w:nsid w:val="614FD4A1"/>
    <w:multiLevelType w:val="hybridMultilevel"/>
    <w:lvl w:ilvl="0">
      <w:lvlJc w:val="left"/>
      <w:lvlText w:val="(%1)"/>
      <w:numFmt w:val="lowerLetter"/>
      <w:start w:val="1"/>
    </w:lvl>
  </w:abstractNum>
  <w:abstractNum w:abstractNumId="27">
    <w:nsid w:val="419AC241"/>
    <w:multiLevelType w:val="hybridMultilevel"/>
    <w:lvl w:ilvl="0">
      <w:lvlJc w:val="left"/>
      <w:lvlText w:val="(%1)"/>
      <w:numFmt w:val="lowerLetter"/>
      <w:start w:val="2"/>
    </w:lvl>
  </w:abstractNum>
  <w:abstractNum w:abstractNumId="28">
    <w:nsid w:val="5577F8E1"/>
    <w:multiLevelType w:val="hybridMultilevel"/>
    <w:lvl w:ilvl="0">
      <w:lvlJc w:val="left"/>
      <w:lvlText w:val="(%1)"/>
      <w:numFmt w:val="lowerLetter"/>
      <w:start w:val="1"/>
    </w:lvl>
  </w:abstractNum>
  <w:abstractNum w:abstractNumId="29">
    <w:nsid w:val="440BADFC"/>
    <w:multiLevelType w:val="hybridMultilevel"/>
    <w:lvl w:ilvl="0">
      <w:lvlJc w:val="left"/>
      <w:lvlText w:val="•"/>
      <w:numFmt w:val="bullet"/>
      <w:start w:val="1"/>
    </w:lvl>
  </w:abstractNum>
  <w:abstractNum w:abstractNumId="30">
    <w:nsid w:val="5072367"/>
    <w:multiLevelType w:val="hybridMultilevel"/>
    <w:lvl w:ilvl="0">
      <w:lvlJc w:val="left"/>
      <w:lvlText w:val="•"/>
      <w:numFmt w:val="bullet"/>
      <w:start w:val="1"/>
    </w:lvl>
  </w:abstractNum>
  <w:abstractNum w:abstractNumId="31">
    <w:nsid w:val="3804823E"/>
    <w:multiLevelType w:val="hybridMultilevel"/>
    <w:lvl w:ilvl="0">
      <w:lvlJc w:val="left"/>
      <w:lvlText w:val="(%1)"/>
      <w:numFmt w:val="lowerLetter"/>
      <w:start w:val="1"/>
    </w:lvl>
  </w:abstractNum>
  <w:abstractNum w:abstractNumId="32">
    <w:nsid w:val="77465F01"/>
    <w:multiLevelType w:val="hybridMultilevel"/>
    <w:lvl w:ilvl="0">
      <w:lvlJc w:val="left"/>
      <w:lvlText w:val="(%1)"/>
      <w:numFmt w:val="lowerLetter"/>
      <w:start w:val="1"/>
    </w:lvl>
  </w:abstractNum>
  <w:abstractNum w:abstractNumId="33">
    <w:nsid w:val="7724C67E"/>
    <w:multiLevelType w:val="hybridMultilevel"/>
    <w:lvl w:ilvl="0">
      <w:lvlJc w:val="left"/>
      <w:lvlText w:val="(%1)"/>
      <w:numFmt w:val="lowerLetter"/>
      <w:start w:val="2"/>
    </w:lvl>
  </w:abstractNum>
  <w:abstractNum w:abstractNumId="34">
    <w:nsid w:val="5C482A97"/>
    <w:multiLevelType w:val="hybridMultilevel"/>
    <w:lvl w:ilvl="0">
      <w:lvlJc w:val="left"/>
      <w:lvlText w:val="(%1)"/>
      <w:numFmt w:val="lowerLetter"/>
      <w:start w:val="1"/>
    </w:lvl>
  </w:abstractNum>
  <w:abstractNum w:abstractNumId="35">
    <w:nsid w:val="2463B9EA"/>
    <w:multiLevelType w:val="hybridMultilevel"/>
    <w:lvl w:ilvl="0">
      <w:lvlJc w:val="left"/>
      <w:lvlText w:val="(%1)"/>
      <w:numFmt w:val="decimal"/>
      <w:start w:val="3"/>
    </w:lvl>
  </w:abstractNum>
  <w:abstractNum w:abstractNumId="36">
    <w:nsid w:val="5E884ADC"/>
    <w:multiLevelType w:val="hybridMultilevel"/>
    <w:lvl w:ilvl="0">
      <w:lvlJc w:val="left"/>
      <w:lvlText w:val="(%1)"/>
      <w:numFmt w:val="lowerLetter"/>
      <w:start w:val="1"/>
    </w:lvl>
  </w:abstractNum>
  <w:abstractNum w:abstractNumId="37">
    <w:nsid w:val="51EAD36B"/>
    <w:multiLevelType w:val="hybridMultilevel"/>
    <w:lvl w:ilvl="0">
      <w:lvlJc w:val="left"/>
      <w:lvlText w:val="(%1)"/>
      <w:numFmt w:val="lowerLetter"/>
      <w:start w:val="2"/>
    </w:lvl>
  </w:abstractNum>
  <w:abstractNum w:abstractNumId="38">
    <w:nsid w:val="2D517796"/>
    <w:multiLevelType w:val="hybridMultilevel"/>
    <w:lvl w:ilvl="0">
      <w:lvlJc w:val="left"/>
      <w:lvlText w:val="%1."/>
      <w:numFmt w:val="decimal"/>
      <w:start w:val="1"/>
    </w:lvl>
    <w:lvl w:ilvl="1">
      <w:lvlJc w:val="left"/>
      <w:lvlText w:val="(%2)"/>
      <w:numFmt w:val="lowerLetter"/>
      <w:start w:val="1"/>
    </w:lvl>
  </w:abstractNum>
  <w:abstractNum w:abstractNumId="39">
    <w:nsid w:val="580BD78F"/>
    <w:multiLevelType w:val="hybridMultilevel"/>
    <w:lvl w:ilvl="0">
      <w:lvlJc w:val="left"/>
      <w:lvlText w:val="%1."/>
      <w:numFmt w:val="decimal"/>
      <w:start w:val="1"/>
    </w:lvl>
    <w:lvl w:ilvl="1">
      <w:lvlJc w:val="left"/>
      <w:lvlText w:val="(%2)"/>
      <w:numFmt w:val="lowerLetter"/>
      <w:start w:val="1"/>
    </w:lvl>
  </w:abstractNum>
  <w:abstractNum w:abstractNumId="40">
    <w:nsid w:val="153EA438"/>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jpe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jpeg"/><Relationship Id="rId64" Type="http://schemas.openxmlformats.org/officeDocument/2006/relationships/image" Target="media/image57.jpeg"/><Relationship Id="rId67" Type="http://schemas.openxmlformats.org/officeDocument/2006/relationships/image" Target="media/image58.png"/><Relationship Id="rId68" Type="http://schemas.openxmlformats.org/officeDocument/2006/relationships/image" Target="media/image59.png"/><Relationship Id="rId65" Type="http://schemas.openxmlformats.org/officeDocument/2006/relationships/hyperlink" Target="http://www.sec.gov/Archives/edgar/data/1258602/000125860219000022/aircraftjointownershipag.htm" TargetMode="External"/><Relationship Id="rId66" Type="http://schemas.openxmlformats.org/officeDocument/2006/relationships/hyperlink" Target="http://www.sec.gov/Archives/edgar/data/1258602/000125860219000022/flightdepartmentnelnetdu.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2019-12-02T22:42:19Z</dcterms:created>
  <dcterms:modified xsi:type="dcterms:W3CDTF">2019-12-02T22:42:19Z</dcterms:modified>
</cp:coreProperties>
</file>