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7023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70230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Munn William J</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980"/>
        <w:spacing w:after="0" w:line="301" w:lineRule="auto"/>
        <w:rPr>
          <w:sz w:val="20"/>
          <w:szCs w:val="20"/>
          <w:color w:val="auto"/>
        </w:rPr>
      </w:pPr>
      <w:r>
        <w:rPr>
          <w:rFonts w:ascii="Arial" w:cs="Arial" w:eastAsia="Arial" w:hAnsi="Arial"/>
          <w:sz w:val="18"/>
          <w:szCs w:val="18"/>
          <w:color w:val="0000FF"/>
        </w:rPr>
        <w:t>3015 SOUTH PARKER ROAD SUITE 400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NELNET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NNI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03/10/2019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503"/>
        <w:spacing w:after="0"/>
        <w:rPr>
          <w:sz w:val="20"/>
          <w:szCs w:val="20"/>
          <w:color w:val="auto"/>
        </w:rPr>
      </w:pPr>
      <w:r>
        <w:rPr>
          <w:rFonts w:ascii="Arial" w:cs="Arial" w:eastAsia="Arial" w:hAnsi="Arial"/>
          <w:sz w:val="16"/>
          <w:szCs w:val="16"/>
          <w:color w:val="0000FF"/>
        </w:rPr>
        <w:t>Secy/Chief Legal Off/Gen Coun</w:t>
      </w:r>
    </w:p>
    <w:p>
      <w:pPr>
        <w:spacing w:after="0" w:line="471"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120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3840" w:type="dxa"/>
            <w:vAlign w:val="bottom"/>
            <w:gridSpan w:val="6"/>
          </w:tcPr>
          <w:p>
            <w:pPr>
              <w:ind w:left="160"/>
              <w:spacing w:after="0" w:line="104" w:lineRule="exact"/>
              <w:rPr>
                <w:sz w:val="20"/>
                <w:szCs w:val="20"/>
                <w:color w:val="auto"/>
              </w:rPr>
            </w:pPr>
            <w:r>
              <w:rPr>
                <w:rFonts w:ascii="Arial" w:cs="Arial" w:eastAsia="Arial" w:hAnsi="Arial"/>
                <w:sz w:val="12"/>
                <w:szCs w:val="12"/>
                <w:color w:val="auto"/>
              </w:rPr>
              <w:t>4. If Amendment, Date of Original Filed (Month/Day/Year)</w:t>
            </w:r>
          </w:p>
        </w:tc>
        <w:tc>
          <w:tcPr>
            <w:tcW w:w="3660" w:type="dxa"/>
            <w:vAlign w:val="bottom"/>
            <w:gridSpan w:val="7"/>
          </w:tcPr>
          <w:p>
            <w:pPr>
              <w:ind w:left="300"/>
              <w:spacing w:after="0" w:line="104" w:lineRule="exact"/>
              <w:rPr>
                <w:sz w:val="20"/>
                <w:szCs w:val="20"/>
                <w:color w:val="auto"/>
              </w:rPr>
            </w:pPr>
            <w:r>
              <w:rPr>
                <w:rFonts w:ascii="Arial" w:cs="Arial" w:eastAsia="Arial" w:hAnsi="Arial"/>
                <w:sz w:val="12"/>
                <w:szCs w:val="12"/>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00" w:type="dxa"/>
            <w:vAlign w:val="bottom"/>
            <w:gridSpan w:val="2"/>
          </w:tcPr>
          <w:p>
            <w:pPr>
              <w:ind w:left="300"/>
              <w:spacing w:after="0"/>
              <w:rPr>
                <w:sz w:val="20"/>
                <w:szCs w:val="20"/>
                <w:color w:val="auto"/>
              </w:rPr>
            </w:pPr>
            <w:r>
              <w:rPr>
                <w:rFonts w:ascii="Arial" w:cs="Arial" w:eastAsia="Arial" w:hAnsi="Arial"/>
                <w:sz w:val="14"/>
                <w:szCs w:val="14"/>
                <w:color w:val="auto"/>
              </w:rPr>
              <w:t>Line)</w:t>
            </w:r>
          </w:p>
        </w:tc>
        <w:tc>
          <w:tcPr>
            <w:tcW w:w="4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420" w:type="dxa"/>
            <w:vAlign w:val="bottom"/>
          </w:tcPr>
          <w:p>
            <w:pPr>
              <w:spacing w:after="0"/>
              <w:rPr>
                <w:sz w:val="9"/>
                <w:szCs w:val="9"/>
                <w:color w:val="auto"/>
              </w:rPr>
            </w:pPr>
          </w:p>
        </w:tc>
        <w:tc>
          <w:tcPr>
            <w:tcW w:w="440" w:type="dxa"/>
            <w:vAlign w:val="bottom"/>
          </w:tcPr>
          <w:p>
            <w:pPr>
              <w:spacing w:after="0"/>
              <w:rPr>
                <w:sz w:val="9"/>
                <w:szCs w:val="9"/>
                <w:color w:val="auto"/>
              </w:rPr>
            </w:pPr>
          </w:p>
        </w:tc>
        <w:tc>
          <w:tcPr>
            <w:tcW w:w="760" w:type="dxa"/>
            <w:vAlign w:val="bottom"/>
          </w:tcPr>
          <w:p>
            <w:pPr>
              <w:spacing w:after="0"/>
              <w:rPr>
                <w:sz w:val="9"/>
                <w:szCs w:val="9"/>
                <w:color w:val="auto"/>
              </w:rPr>
            </w:pPr>
          </w:p>
        </w:tc>
        <w:tc>
          <w:tcPr>
            <w:tcW w:w="800" w:type="dxa"/>
            <w:vAlign w:val="bottom"/>
          </w:tcPr>
          <w:p>
            <w:pPr>
              <w:spacing w:after="0"/>
              <w:rPr>
                <w:sz w:val="9"/>
                <w:szCs w:val="9"/>
                <w:color w:val="auto"/>
              </w:rPr>
            </w:pPr>
          </w:p>
        </w:tc>
        <w:tc>
          <w:tcPr>
            <w:tcW w:w="7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AURORA</w:t>
            </w:r>
          </w:p>
        </w:tc>
        <w:tc>
          <w:tcPr>
            <w:tcW w:w="280" w:type="dxa"/>
            <w:vAlign w:val="bottom"/>
            <w:vMerge w:val="restart"/>
          </w:tcPr>
          <w:p>
            <w:pPr>
              <w:ind w:left="40"/>
              <w:spacing w:after="0"/>
              <w:rPr>
                <w:sz w:val="20"/>
                <w:szCs w:val="20"/>
                <w:color w:val="auto"/>
              </w:rPr>
            </w:pPr>
            <w:r>
              <w:rPr>
                <w:rFonts w:ascii="Arial" w:cs="Arial" w:eastAsia="Arial" w:hAnsi="Arial"/>
                <w:sz w:val="18"/>
                <w:szCs w:val="18"/>
                <w:color w:val="0000FF"/>
                <w:w w:val="81"/>
              </w:rPr>
              <w:t>CO</w:t>
            </w:r>
          </w:p>
        </w:tc>
        <w:tc>
          <w:tcPr>
            <w:tcW w:w="1020" w:type="dxa"/>
            <w:vAlign w:val="bottom"/>
          </w:tcPr>
          <w:p>
            <w:pPr>
              <w:spacing w:after="0"/>
              <w:rPr>
                <w:sz w:val="11"/>
                <w:szCs w:val="11"/>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80014</w:t>
            </w: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420" w:type="dxa"/>
            <w:vAlign w:val="bottom"/>
          </w:tcPr>
          <w:p>
            <w:pPr>
              <w:spacing w:after="0"/>
              <w:rPr>
                <w:sz w:val="9"/>
                <w:szCs w:val="9"/>
                <w:color w:val="auto"/>
              </w:rPr>
            </w:pPr>
          </w:p>
        </w:tc>
        <w:tc>
          <w:tcPr>
            <w:tcW w:w="440" w:type="dxa"/>
            <w:vAlign w:val="bottom"/>
          </w:tcPr>
          <w:p>
            <w:pPr>
              <w:spacing w:after="0"/>
              <w:rPr>
                <w:sz w:val="9"/>
                <w:szCs w:val="9"/>
                <w:color w:val="auto"/>
              </w:rPr>
            </w:pPr>
          </w:p>
        </w:tc>
        <w:tc>
          <w:tcPr>
            <w:tcW w:w="760" w:type="dxa"/>
            <w:vAlign w:val="bottom"/>
          </w:tcPr>
          <w:p>
            <w:pPr>
              <w:spacing w:after="0"/>
              <w:rPr>
                <w:sz w:val="9"/>
                <w:szCs w:val="9"/>
                <w:color w:val="auto"/>
              </w:rPr>
            </w:pPr>
          </w:p>
        </w:tc>
        <w:tc>
          <w:tcPr>
            <w:tcW w:w="800" w:type="dxa"/>
            <w:vAlign w:val="bottom"/>
          </w:tcPr>
          <w:p>
            <w:pPr>
              <w:spacing w:after="0"/>
              <w:rPr>
                <w:sz w:val="9"/>
                <w:szCs w:val="9"/>
                <w:color w:val="auto"/>
              </w:rPr>
            </w:pPr>
          </w:p>
        </w:tc>
        <w:tc>
          <w:tcPr>
            <w:tcW w:w="7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9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8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4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4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4300" w:type="dxa"/>
            <w:vAlign w:val="bottom"/>
            <w:tcBorders>
              <w:bottom w:val="single" w:sz="8" w:color="2C2C2C"/>
            </w:tcBorders>
            <w:gridSpan w:val="8"/>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3"/>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80" w:type="dxa"/>
            <w:vAlign w:val="bottom"/>
            <w:gridSpan w:val="3"/>
          </w:tcPr>
          <w:p>
            <w:pPr>
              <w:ind w:left="68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80" w:type="dxa"/>
            <w:vAlign w:val="bottom"/>
            <w:gridSpan w:val="3"/>
          </w:tcPr>
          <w:p>
            <w:pPr>
              <w:jc w:val="center"/>
              <w:ind w:left="586"/>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4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680" w:type="dxa"/>
            <w:vAlign w:val="bottom"/>
            <w:tcBorders>
              <w:bottom w:val="single" w:sz="8" w:color="2C2C2C"/>
            </w:tcBorders>
            <w:gridSpan w:val="3"/>
          </w:tcPr>
          <w:p>
            <w:pPr>
              <w:jc w:val="center"/>
              <w:ind w:left="606"/>
              <w:spacing w:after="0"/>
              <w:rPr>
                <w:sz w:val="20"/>
                <w:szCs w:val="20"/>
                <w:color w:val="auto"/>
              </w:rPr>
            </w:pPr>
            <w:r>
              <w:rPr>
                <w:rFonts w:ascii="Arial" w:cs="Arial" w:eastAsia="Arial" w:hAnsi="Arial"/>
                <w:sz w:val="18"/>
                <w:szCs w:val="18"/>
                <w:color w:val="0000FF"/>
                <w:w w:val="88"/>
              </w:rPr>
              <w:t>03/10/2019</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20" w:type="dxa"/>
            <w:vAlign w:val="bottom"/>
            <w:tcBorders>
              <w:bottom w:val="single" w:sz="8" w:color="2C2C2C"/>
            </w:tcBorders>
          </w:tcPr>
          <w:p>
            <w:pPr>
              <w:jc w:val="right"/>
              <w:ind w:right="32"/>
              <w:spacing w:after="0"/>
              <w:rPr>
                <w:sz w:val="20"/>
                <w:szCs w:val="20"/>
                <w:color w:val="auto"/>
              </w:rPr>
            </w:pPr>
            <w:r>
              <w:rPr>
                <w:rFonts w:ascii="Arial" w:cs="Arial" w:eastAsia="Arial" w:hAnsi="Arial"/>
                <w:sz w:val="18"/>
                <w:szCs w:val="18"/>
                <w:color w:val="0000FF"/>
              </w:rPr>
              <w:t>154</w:t>
            </w:r>
            <w:r>
              <w:rPr>
                <w:rFonts w:ascii="Arial" w:cs="Arial" w:eastAsia="Arial" w:hAnsi="Arial"/>
                <w:sz w:val="22"/>
                <w:szCs w:val="22"/>
                <w:color w:val="008000"/>
                <w:vertAlign w:val="superscript"/>
              </w:rPr>
              <w:t>(1)</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1"/>
              </w:rPr>
              <w:t>D</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54.29</w:t>
            </w:r>
            <w:r>
              <w:rPr>
                <w:rFonts w:ascii="Arial" w:cs="Arial" w:eastAsia="Arial" w:hAnsi="Arial"/>
                <w:sz w:val="22"/>
                <w:szCs w:val="22"/>
                <w:color w:val="008000"/>
                <w:w w:val="93"/>
                <w:vertAlign w:val="superscript"/>
              </w:rPr>
              <w:t>(2)</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8"/>
                <w:szCs w:val="18"/>
                <w:color w:val="0000FF"/>
              </w:rPr>
              <w:t>25,407</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4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680" w:type="dxa"/>
            <w:vAlign w:val="bottom"/>
            <w:tcBorders>
              <w:bottom w:val="single" w:sz="8" w:color="2C2C2C"/>
            </w:tcBorders>
            <w:gridSpan w:val="3"/>
          </w:tcPr>
          <w:p>
            <w:pPr>
              <w:jc w:val="center"/>
              <w:ind w:left="606"/>
              <w:spacing w:after="0"/>
              <w:rPr>
                <w:sz w:val="20"/>
                <w:szCs w:val="20"/>
                <w:color w:val="auto"/>
              </w:rPr>
            </w:pPr>
            <w:r>
              <w:rPr>
                <w:rFonts w:ascii="Arial" w:cs="Arial" w:eastAsia="Arial" w:hAnsi="Arial"/>
                <w:sz w:val="18"/>
                <w:szCs w:val="18"/>
                <w:color w:val="0000FF"/>
                <w:w w:val="88"/>
              </w:rPr>
              <w:t>03/10/2019</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20" w:type="dxa"/>
            <w:vAlign w:val="bottom"/>
            <w:tcBorders>
              <w:bottom w:val="single" w:sz="8" w:color="2C2C2C"/>
            </w:tcBorders>
          </w:tcPr>
          <w:p>
            <w:pPr>
              <w:jc w:val="right"/>
              <w:ind w:right="32"/>
              <w:spacing w:after="0"/>
              <w:rPr>
                <w:sz w:val="20"/>
                <w:szCs w:val="20"/>
                <w:color w:val="auto"/>
              </w:rPr>
            </w:pPr>
            <w:r>
              <w:rPr>
                <w:rFonts w:ascii="Arial" w:cs="Arial" w:eastAsia="Arial" w:hAnsi="Arial"/>
                <w:sz w:val="18"/>
                <w:szCs w:val="18"/>
                <w:color w:val="0000FF"/>
              </w:rPr>
              <w:t>122</w:t>
            </w:r>
            <w:r>
              <w:rPr>
                <w:rFonts w:ascii="Arial" w:cs="Arial" w:eastAsia="Arial" w:hAnsi="Arial"/>
                <w:sz w:val="22"/>
                <w:szCs w:val="22"/>
                <w:color w:val="008000"/>
                <w:vertAlign w:val="superscript"/>
              </w:rPr>
              <w:t>(1)</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1"/>
              </w:rPr>
              <w:t>D</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54.29</w:t>
            </w:r>
            <w:r>
              <w:rPr>
                <w:rFonts w:ascii="Arial" w:cs="Arial" w:eastAsia="Arial" w:hAnsi="Arial"/>
                <w:sz w:val="22"/>
                <w:szCs w:val="22"/>
                <w:color w:val="008000"/>
                <w:w w:val="93"/>
                <w:vertAlign w:val="superscript"/>
              </w:rPr>
              <w:t>(2)</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8"/>
                <w:szCs w:val="18"/>
                <w:color w:val="0000FF"/>
              </w:rPr>
              <w:t>25,285</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4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680" w:type="dxa"/>
            <w:vAlign w:val="bottom"/>
            <w:tcBorders>
              <w:bottom w:val="single" w:sz="8" w:color="2C2C2C"/>
            </w:tcBorders>
            <w:gridSpan w:val="3"/>
          </w:tcPr>
          <w:p>
            <w:pPr>
              <w:jc w:val="center"/>
              <w:ind w:left="606"/>
              <w:spacing w:after="0"/>
              <w:rPr>
                <w:sz w:val="20"/>
                <w:szCs w:val="20"/>
                <w:color w:val="auto"/>
              </w:rPr>
            </w:pPr>
            <w:r>
              <w:rPr>
                <w:rFonts w:ascii="Arial" w:cs="Arial" w:eastAsia="Arial" w:hAnsi="Arial"/>
                <w:sz w:val="18"/>
                <w:szCs w:val="18"/>
                <w:color w:val="0000FF"/>
                <w:w w:val="88"/>
              </w:rPr>
              <w:t>03/10/2019</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20" w:type="dxa"/>
            <w:vAlign w:val="bottom"/>
            <w:tcBorders>
              <w:bottom w:val="single" w:sz="8" w:color="2C2C2C"/>
            </w:tcBorders>
          </w:tcPr>
          <w:p>
            <w:pPr>
              <w:jc w:val="right"/>
              <w:ind w:right="32"/>
              <w:spacing w:after="0"/>
              <w:rPr>
                <w:sz w:val="20"/>
                <w:szCs w:val="20"/>
                <w:color w:val="auto"/>
              </w:rPr>
            </w:pPr>
            <w:r>
              <w:rPr>
                <w:rFonts w:ascii="Arial" w:cs="Arial" w:eastAsia="Arial" w:hAnsi="Arial"/>
                <w:sz w:val="18"/>
                <w:szCs w:val="18"/>
                <w:color w:val="0000FF"/>
              </w:rPr>
              <w:t>138</w:t>
            </w:r>
            <w:r>
              <w:rPr>
                <w:rFonts w:ascii="Arial" w:cs="Arial" w:eastAsia="Arial" w:hAnsi="Arial"/>
                <w:sz w:val="22"/>
                <w:szCs w:val="22"/>
                <w:color w:val="008000"/>
                <w:vertAlign w:val="superscript"/>
              </w:rPr>
              <w:t>(1)</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1"/>
              </w:rPr>
              <w:t>D</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54.29</w:t>
            </w:r>
            <w:r>
              <w:rPr>
                <w:rFonts w:ascii="Arial" w:cs="Arial" w:eastAsia="Arial" w:hAnsi="Arial"/>
                <w:sz w:val="22"/>
                <w:szCs w:val="22"/>
                <w:color w:val="008000"/>
                <w:w w:val="93"/>
                <w:vertAlign w:val="superscript"/>
              </w:rPr>
              <w:t>(2)</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8"/>
                <w:szCs w:val="18"/>
                <w:color w:val="0000FF"/>
              </w:rPr>
              <w:t>25,147</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4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680" w:type="dxa"/>
            <w:vAlign w:val="bottom"/>
            <w:tcBorders>
              <w:bottom w:val="single" w:sz="8" w:color="2C2C2C"/>
            </w:tcBorders>
            <w:gridSpan w:val="3"/>
          </w:tcPr>
          <w:p>
            <w:pPr>
              <w:jc w:val="center"/>
              <w:ind w:left="606"/>
              <w:spacing w:after="0"/>
              <w:rPr>
                <w:sz w:val="20"/>
                <w:szCs w:val="20"/>
                <w:color w:val="auto"/>
              </w:rPr>
            </w:pPr>
            <w:r>
              <w:rPr>
                <w:rFonts w:ascii="Arial" w:cs="Arial" w:eastAsia="Arial" w:hAnsi="Arial"/>
                <w:sz w:val="18"/>
                <w:szCs w:val="18"/>
                <w:color w:val="0000FF"/>
                <w:w w:val="88"/>
              </w:rPr>
              <w:t>03/10/2019</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20" w:type="dxa"/>
            <w:vAlign w:val="bottom"/>
            <w:tcBorders>
              <w:bottom w:val="single" w:sz="8" w:color="2C2C2C"/>
            </w:tcBorders>
          </w:tcPr>
          <w:p>
            <w:pPr>
              <w:jc w:val="right"/>
              <w:ind w:right="32"/>
              <w:spacing w:after="0" w:line="324" w:lineRule="exact"/>
              <w:rPr>
                <w:sz w:val="20"/>
                <w:szCs w:val="20"/>
                <w:color w:val="auto"/>
              </w:rPr>
            </w:pPr>
            <w:r>
              <w:rPr>
                <w:rFonts w:ascii="Arial" w:cs="Arial" w:eastAsia="Arial" w:hAnsi="Arial"/>
                <w:sz w:val="35"/>
                <w:szCs w:val="35"/>
                <w:color w:val="0000FF"/>
                <w:vertAlign w:val="subscript"/>
              </w:rPr>
              <w:t>129</w:t>
            </w:r>
            <w:r>
              <w:rPr>
                <w:rFonts w:ascii="Arial" w:cs="Arial" w:eastAsia="Arial" w:hAnsi="Arial"/>
                <w:sz w:val="11"/>
                <w:szCs w:val="11"/>
                <w:color w:val="008000"/>
              </w:rPr>
              <w:t>(1)</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1"/>
              </w:rPr>
              <w:t>D</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54.29</w:t>
            </w:r>
            <w:r>
              <w:rPr>
                <w:rFonts w:ascii="Arial" w:cs="Arial" w:eastAsia="Arial" w:hAnsi="Arial"/>
                <w:sz w:val="22"/>
                <w:szCs w:val="22"/>
                <w:color w:val="008000"/>
                <w:w w:val="93"/>
                <w:vertAlign w:val="superscript"/>
              </w:rPr>
              <w:t>(2)</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8"/>
                <w:szCs w:val="18"/>
                <w:color w:val="0000FF"/>
              </w:rPr>
              <w:t>25,018</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5"/>
          </w:tcPr>
          <w:p>
            <w:pPr>
              <w:ind w:left="60"/>
              <w:spacing w:after="0"/>
              <w:rPr>
                <w:sz w:val="20"/>
                <w:szCs w:val="20"/>
                <w:color w:val="auto"/>
              </w:rPr>
            </w:pPr>
            <w:r>
              <w:rPr>
                <w:rFonts w:ascii="Arial" w:cs="Arial" w:eastAsia="Arial" w:hAnsi="Arial"/>
                <w:sz w:val="18"/>
                <w:szCs w:val="18"/>
                <w:color w:val="0000FF"/>
              </w:rPr>
              <w:t>Class A Common Stock</w:t>
            </w:r>
          </w:p>
        </w:tc>
        <w:tc>
          <w:tcPr>
            <w:tcW w:w="1680" w:type="dxa"/>
            <w:vAlign w:val="bottom"/>
            <w:tcBorders>
              <w:bottom w:val="single" w:sz="8" w:color="2C2C2C"/>
            </w:tcBorders>
            <w:gridSpan w:val="3"/>
          </w:tcPr>
          <w:p>
            <w:pPr>
              <w:jc w:val="center"/>
              <w:ind w:left="606"/>
              <w:spacing w:after="0"/>
              <w:rPr>
                <w:sz w:val="20"/>
                <w:szCs w:val="20"/>
                <w:color w:val="auto"/>
              </w:rPr>
            </w:pPr>
            <w:r>
              <w:rPr>
                <w:rFonts w:ascii="Arial" w:cs="Arial" w:eastAsia="Arial" w:hAnsi="Arial"/>
                <w:sz w:val="18"/>
                <w:szCs w:val="18"/>
                <w:color w:val="0000FF"/>
                <w:w w:val="88"/>
              </w:rPr>
              <w:t>03/10/2019</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20" w:type="dxa"/>
            <w:vAlign w:val="bottom"/>
            <w:tcBorders>
              <w:bottom w:val="single" w:sz="8" w:color="2C2C2C"/>
            </w:tcBorders>
          </w:tcPr>
          <w:p>
            <w:pPr>
              <w:jc w:val="right"/>
              <w:ind w:right="32"/>
              <w:spacing w:after="0" w:line="324" w:lineRule="exact"/>
              <w:rPr>
                <w:sz w:val="20"/>
                <w:szCs w:val="20"/>
                <w:color w:val="auto"/>
              </w:rPr>
            </w:pPr>
            <w:r>
              <w:rPr>
                <w:rFonts w:ascii="Arial" w:cs="Arial" w:eastAsia="Arial" w:hAnsi="Arial"/>
                <w:sz w:val="35"/>
                <w:szCs w:val="35"/>
                <w:color w:val="0000FF"/>
                <w:vertAlign w:val="subscript"/>
              </w:rPr>
              <w:t>107</w:t>
            </w:r>
            <w:r>
              <w:rPr>
                <w:rFonts w:ascii="Arial" w:cs="Arial" w:eastAsia="Arial" w:hAnsi="Arial"/>
                <w:sz w:val="11"/>
                <w:szCs w:val="11"/>
                <w:color w:val="008000"/>
              </w:rPr>
              <w:t>(1)</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1"/>
              </w:rPr>
              <w:t>D</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54.29</w:t>
            </w:r>
            <w:r>
              <w:rPr>
                <w:rFonts w:ascii="Arial" w:cs="Arial" w:eastAsia="Arial" w:hAnsi="Arial"/>
                <w:sz w:val="22"/>
                <w:szCs w:val="22"/>
                <w:color w:val="008000"/>
                <w:w w:val="93"/>
                <w:vertAlign w:val="superscript"/>
              </w:rPr>
              <w:t>(2)</w:t>
            </w:r>
          </w:p>
        </w:tc>
        <w:tc>
          <w:tcPr>
            <w:tcW w:w="124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24,911</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280" w:type="dxa"/>
            <w:vAlign w:val="bottom"/>
            <w:tcBorders>
              <w:top w:val="single" w:sz="8" w:color="2C2C2C"/>
            </w:tcBorders>
            <w:gridSpan w:val="12"/>
          </w:tcPr>
          <w:p>
            <w:pPr>
              <w:jc w:val="center"/>
              <w:ind w:left="80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800" w:type="dxa"/>
            <w:vAlign w:val="bottom"/>
            <w:gridSpan w:val="10"/>
          </w:tcPr>
          <w:p>
            <w:pPr>
              <w:jc w:val="center"/>
              <w:ind w:left="246"/>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jc w:val="center"/>
              <w:spacing w:after="0"/>
              <w:rPr>
                <w:sz w:val="20"/>
                <w:szCs w:val="20"/>
                <w:color w:val="auto"/>
              </w:rPr>
            </w:pPr>
            <w:r>
              <w:rPr>
                <w:rFonts w:ascii="Arial" w:cs="Arial" w:eastAsia="Arial" w:hAnsi="Arial"/>
                <w:sz w:val="12"/>
                <w:szCs w:val="12"/>
                <w:b w:val="1"/>
                <w:bCs w:val="1"/>
                <w:color w:val="auto"/>
              </w:rPr>
              <w:t>7. Title and</w:t>
            </w:r>
          </w:p>
        </w:tc>
        <w:tc>
          <w:tcPr>
            <w:tcW w:w="40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Amount of</w:t>
            </w:r>
          </w:p>
        </w:tc>
        <w:tc>
          <w:tcPr>
            <w:tcW w:w="4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Underlying</w:t>
            </w:r>
          </w:p>
        </w:tc>
        <w:tc>
          <w:tcPr>
            <w:tcW w:w="4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right"/>
              <w:ind w:right="12"/>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jc w:val="right"/>
              <w:ind w:right="352"/>
              <w:spacing w:after="0"/>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These shares were tax-withheld by the issuer to satisfy the reporting person's tax obligation resulting from the vesting of a previously reported grant of shares pursuant to Rule 16b-3(d).</w:t>
      </w:r>
    </w:p>
    <w:p>
      <w:pPr>
        <w:spacing w:after="0" w:line="64" w:lineRule="exact"/>
        <w:rPr>
          <w:rFonts w:ascii="Arial" w:cs="Arial" w:eastAsia="Arial" w:hAnsi="Arial"/>
          <w:sz w:val="12"/>
          <w:szCs w:val="12"/>
          <w:color w:val="008000"/>
        </w:rPr>
      </w:pPr>
    </w:p>
    <w:p>
      <w:pPr>
        <w:ind w:left="180" w:hanging="131"/>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Per share value assigned by the issuer to the tax withholding shares under the tax withholding arrangement, and based on the market closing price of the shares as of March 11, 2019.</w:t>
      </w:r>
    </w:p>
    <w:p>
      <w:pPr>
        <w:spacing w:after="0" w:line="64" w:lineRule="exact"/>
        <w:rPr>
          <w:rFonts w:ascii="Arial" w:cs="Arial" w:eastAsia="Arial" w:hAnsi="Arial"/>
          <w:sz w:val="12"/>
          <w:szCs w:val="12"/>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Includes 500 shares held jointly with spouse.</w:t>
      </w:r>
    </w:p>
    <w:p>
      <w:pPr>
        <w:spacing w:after="0" w:line="7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Audra Hoffschneider,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85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855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Attorney-in-Fact for William J. 03/12/2019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Munn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2660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6606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94176" TargetMode="External"/><Relationship Id="rId13" Type="http://schemas.openxmlformats.org/officeDocument/2006/relationships/hyperlink" Target="http://www.sec.gov/cgi-bin/browse-edgar?action=getcompany&amp;CIK=000125860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2020-01-09T13:00:00Z</dcterms:created>
  <dcterms:modified xsi:type="dcterms:W3CDTF">2020-01-09T13:00:00Z</dcterms:modified>
</cp:coreProperties>
</file>