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34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Washington, D.C. 20549</w:t>
      </w: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SCHEDULE 13G</w:t>
      </w:r>
    </w:p>
    <w:p>
      <w:pPr>
        <w:spacing w:after="0" w:line="21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(Amendment No. 8)*</w:t>
      </w:r>
    </w:p>
    <w:p>
      <w:pPr>
        <w:spacing w:after="0" w:line="200" w:lineRule="exact"/>
        <w:rPr>
          <w:sz w:val="24"/>
          <w:szCs w:val="24"/>
          <w:color w:val="auto"/>
        </w:rPr>
      </w:pPr>
    </w:p>
    <w:p>
      <w:pPr>
        <w:spacing w:after="0" w:line="245" w:lineRule="exact"/>
        <w:rPr>
          <w:sz w:val="24"/>
          <w:szCs w:val="24"/>
          <w:color w:val="auto"/>
        </w:rPr>
      </w:pPr>
    </w:p>
    <w:p>
      <w:pPr>
        <w:ind w:left="5340"/>
        <w:spacing w:after="0"/>
        <w:rPr>
          <w:sz w:val="20"/>
          <w:szCs w:val="20"/>
          <w:color w:val="auto"/>
        </w:rPr>
      </w:pPr>
      <w:r>
        <w:rPr>
          <w:rFonts w:ascii="Arial" w:cs="Arial" w:eastAsia="Arial" w:hAnsi="Arial"/>
          <w:sz w:val="18"/>
          <w:szCs w:val="18"/>
          <w:color w:val="auto"/>
        </w:rPr>
        <w:t>Nelnet,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3046095</wp:posOffset>
            </wp:positionH>
            <wp:positionV relativeFrom="paragraph">
              <wp:posOffset>-10160</wp:posOffset>
            </wp:positionV>
            <wp:extent cx="116459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64590" cy="8890"/>
                    </a:xfrm>
                    <a:prstGeom prst="rect">
                      <a:avLst/>
                    </a:prstGeom>
                    <a:noFill/>
                  </pic:spPr>
                </pic:pic>
              </a:graphicData>
            </a:graphic>
          </wp:anchor>
        </w:drawing>
      </w:r>
    </w:p>
    <w:p>
      <w:pPr>
        <w:spacing w:after="0" w:line="3" w:lineRule="exact"/>
        <w:rPr>
          <w:sz w:val="24"/>
          <w:szCs w:val="24"/>
          <w:color w:val="auto"/>
        </w:rPr>
      </w:pPr>
    </w:p>
    <w:p>
      <w:pPr>
        <w:ind w:left="5100"/>
        <w:spacing w:after="0"/>
        <w:rPr>
          <w:sz w:val="20"/>
          <w:szCs w:val="20"/>
          <w:color w:val="auto"/>
        </w:rPr>
      </w:pPr>
      <w:r>
        <w:rPr>
          <w:rFonts w:ascii="Arial" w:cs="Arial" w:eastAsia="Arial" w:hAnsi="Arial"/>
          <w:sz w:val="18"/>
          <w:szCs w:val="18"/>
          <w:color w:val="auto"/>
        </w:rPr>
        <w:t>(Name of Issuer)</w:t>
      </w:r>
    </w:p>
    <w:p>
      <w:pPr>
        <w:spacing w:after="0" w:line="200" w:lineRule="exact"/>
        <w:rPr>
          <w:sz w:val="24"/>
          <w:szCs w:val="24"/>
          <w:color w:val="auto"/>
        </w:rPr>
      </w:pPr>
    </w:p>
    <w:p>
      <w:pPr>
        <w:spacing w:after="0" w:line="227"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Class A 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2820035</wp:posOffset>
            </wp:positionH>
            <wp:positionV relativeFrom="paragraph">
              <wp:posOffset>-10160</wp:posOffset>
            </wp:positionV>
            <wp:extent cx="161607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616075" cy="8890"/>
                    </a:xfrm>
                    <a:prstGeom prst="rect">
                      <a:avLst/>
                    </a:prstGeom>
                    <a:noFill/>
                  </pic:spPr>
                </pic:pic>
              </a:graphicData>
            </a:graphic>
          </wp:anchor>
        </w:drawing>
      </w:r>
    </w:p>
    <w:p>
      <w:pPr>
        <w:spacing w:after="0" w:line="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(Title of Class of Securities)</w:t>
      </w:r>
    </w:p>
    <w:p>
      <w:pPr>
        <w:spacing w:after="0" w:line="200" w:lineRule="exact"/>
        <w:rPr>
          <w:sz w:val="24"/>
          <w:szCs w:val="24"/>
          <w:color w:val="auto"/>
        </w:rPr>
      </w:pPr>
    </w:p>
    <w:p>
      <w:pPr>
        <w:spacing w:after="0" w:line="227" w:lineRule="exact"/>
        <w:rPr>
          <w:sz w:val="24"/>
          <w:szCs w:val="24"/>
          <w:color w:val="auto"/>
        </w:rPr>
      </w:pPr>
    </w:p>
    <w:p>
      <w:pPr>
        <w:ind w:left="5280"/>
        <w:spacing w:after="0"/>
        <w:rPr>
          <w:sz w:val="20"/>
          <w:szCs w:val="20"/>
          <w:color w:val="auto"/>
        </w:rPr>
      </w:pPr>
      <w:r>
        <w:rPr>
          <w:rFonts w:ascii="Arial" w:cs="Arial" w:eastAsia="Arial" w:hAnsi="Arial"/>
          <w:sz w:val="18"/>
          <w:szCs w:val="18"/>
          <w:color w:val="auto"/>
        </w:rPr>
        <w:t>64031N 10 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3015615</wp:posOffset>
            </wp:positionH>
            <wp:positionV relativeFrom="paragraph">
              <wp:posOffset>-10160</wp:posOffset>
            </wp:positionV>
            <wp:extent cx="12255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25550" cy="8890"/>
                    </a:xfrm>
                    <a:prstGeom prst="rect">
                      <a:avLst/>
                    </a:prstGeom>
                    <a:noFill/>
                  </pic:spPr>
                </pic:pic>
              </a:graphicData>
            </a:graphic>
          </wp:anchor>
        </w:drawing>
      </w:r>
    </w:p>
    <w:p>
      <w:pPr>
        <w:spacing w:after="0" w:line="3" w:lineRule="exact"/>
        <w:rPr>
          <w:sz w:val="24"/>
          <w:szCs w:val="24"/>
          <w:color w:val="auto"/>
        </w:rPr>
      </w:pPr>
    </w:p>
    <w:p>
      <w:pPr>
        <w:ind w:left="5080"/>
        <w:spacing w:after="0"/>
        <w:rPr>
          <w:sz w:val="20"/>
          <w:szCs w:val="20"/>
          <w:color w:val="auto"/>
        </w:rPr>
      </w:pPr>
      <w:r>
        <w:rPr>
          <w:rFonts w:ascii="Arial" w:cs="Arial" w:eastAsia="Arial" w:hAnsi="Arial"/>
          <w:sz w:val="18"/>
          <w:szCs w:val="18"/>
          <w:color w:val="auto"/>
        </w:rPr>
        <w:t>(CUSIP Number)</w:t>
      </w:r>
    </w:p>
    <w:p>
      <w:pPr>
        <w:spacing w:after="0" w:line="200" w:lineRule="exact"/>
        <w:rPr>
          <w:sz w:val="24"/>
          <w:szCs w:val="24"/>
          <w:color w:val="auto"/>
        </w:rPr>
      </w:pPr>
    </w:p>
    <w:p>
      <w:pPr>
        <w:spacing w:after="0" w:line="227"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12/31/2018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3110865</wp:posOffset>
            </wp:positionH>
            <wp:positionV relativeFrom="paragraph">
              <wp:posOffset>-10160</wp:posOffset>
            </wp:positionV>
            <wp:extent cx="10350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35050" cy="8890"/>
                    </a:xfrm>
                    <a:prstGeom prst="rect">
                      <a:avLst/>
                    </a:prstGeom>
                    <a:noFill/>
                  </pic:spPr>
                </pic:pic>
              </a:graphicData>
            </a:graphic>
          </wp:anchor>
        </w:drawing>
      </w:r>
    </w:p>
    <w:p>
      <w:pPr>
        <w:spacing w:after="0" w:line="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(Date of Event Which Requires Filing of this Statement)</w:t>
      </w:r>
    </w:p>
    <w:p>
      <w:pPr>
        <w:spacing w:after="0" w:line="200" w:lineRule="exact"/>
        <w:rPr>
          <w:sz w:val="24"/>
          <w:szCs w:val="24"/>
          <w:color w:val="auto"/>
        </w:rPr>
      </w:pPr>
    </w:p>
    <w:p>
      <w:pPr>
        <w:spacing w:after="0" w:line="227" w:lineRule="exact"/>
        <w:rPr>
          <w:sz w:val="24"/>
          <w:szCs w:val="24"/>
          <w:color w:val="auto"/>
        </w:rPr>
      </w:pPr>
    </w:p>
    <w:p>
      <w:pPr>
        <w:ind w:left="660"/>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25" w:lineRule="exact"/>
        <w:rPr>
          <w:sz w:val="24"/>
          <w:szCs w:val="24"/>
          <w:color w:val="auto"/>
        </w:rPr>
      </w:pPr>
    </w:p>
    <w:p>
      <w:pPr>
        <w:ind w:left="760" w:hanging="104"/>
        <w:spacing w:after="0"/>
        <w:tabs>
          <w:tab w:leader="none" w:pos="760" w:val="left"/>
        </w:tabs>
        <w:numPr>
          <w:ilvl w:val="0"/>
          <w:numId w:val="1"/>
        </w:numPr>
        <w:rPr>
          <w:rFonts w:ascii="Arial" w:cs="Arial" w:eastAsia="Arial" w:hAnsi="Arial"/>
          <w:sz w:val="18"/>
          <w:szCs w:val="18"/>
          <w:color w:val="auto"/>
        </w:rPr>
      </w:pPr>
      <w:r>
        <w:rPr>
          <w:rFonts w:ascii="Arial" w:cs="Arial" w:eastAsia="Arial" w:hAnsi="Arial"/>
          <w:sz w:val="18"/>
          <w:szCs w:val="18"/>
          <w:color w:val="auto"/>
        </w:rPr>
        <w:t>X ]  Rule 13d-1(b)</w:t>
      </w:r>
    </w:p>
    <w:p>
      <w:pPr>
        <w:spacing w:after="0" w:line="23" w:lineRule="exact"/>
        <w:rPr>
          <w:rFonts w:ascii="Arial" w:cs="Arial" w:eastAsia="Arial" w:hAnsi="Arial"/>
          <w:sz w:val="18"/>
          <w:szCs w:val="18"/>
          <w:color w:val="auto"/>
        </w:rPr>
      </w:pPr>
    </w:p>
    <w:p>
      <w:pPr>
        <w:ind w:left="760" w:hanging="104"/>
        <w:spacing w:after="0"/>
        <w:tabs>
          <w:tab w:leader="none" w:pos="760" w:val="left"/>
        </w:tabs>
        <w:numPr>
          <w:ilvl w:val="0"/>
          <w:numId w:val="1"/>
        </w:numPr>
        <w:rPr>
          <w:rFonts w:ascii="Arial" w:cs="Arial" w:eastAsia="Arial" w:hAnsi="Arial"/>
          <w:sz w:val="18"/>
          <w:szCs w:val="18"/>
          <w:color w:val="auto"/>
        </w:rPr>
      </w:pPr>
      <w:r>
        <w:rPr>
          <w:rFonts w:ascii="Arial" w:cs="Arial" w:eastAsia="Arial" w:hAnsi="Arial"/>
          <w:sz w:val="18"/>
          <w:szCs w:val="18"/>
          <w:color w:val="auto"/>
        </w:rPr>
        <w:t>]  Rule 13d-1(c)</w:t>
      </w:r>
    </w:p>
    <w:p>
      <w:pPr>
        <w:spacing w:after="0" w:line="9" w:lineRule="exact"/>
        <w:rPr>
          <w:rFonts w:ascii="Arial" w:cs="Arial" w:eastAsia="Arial" w:hAnsi="Arial"/>
          <w:sz w:val="18"/>
          <w:szCs w:val="18"/>
          <w:color w:val="auto"/>
        </w:rPr>
      </w:pPr>
    </w:p>
    <w:p>
      <w:pPr>
        <w:ind w:left="760" w:hanging="104"/>
        <w:spacing w:after="0"/>
        <w:tabs>
          <w:tab w:leader="none" w:pos="760" w:val="left"/>
        </w:tabs>
        <w:numPr>
          <w:ilvl w:val="0"/>
          <w:numId w:val="1"/>
        </w:numPr>
        <w:rPr>
          <w:rFonts w:ascii="Arial" w:cs="Arial" w:eastAsia="Arial" w:hAnsi="Arial"/>
          <w:sz w:val="18"/>
          <w:szCs w:val="18"/>
          <w:color w:val="auto"/>
        </w:rPr>
      </w:pPr>
      <w:r>
        <w:rPr>
          <w:rFonts w:ascii="Arial" w:cs="Arial" w:eastAsia="Arial" w:hAnsi="Arial"/>
          <w:sz w:val="18"/>
          <w:szCs w:val="18"/>
          <w:color w:val="auto"/>
        </w:rPr>
        <w:t>]  Rule 13d-1(d)</w:t>
      </w:r>
    </w:p>
    <w:p>
      <w:pPr>
        <w:spacing w:after="0" w:line="200" w:lineRule="exact"/>
        <w:rPr>
          <w:sz w:val="24"/>
          <w:szCs w:val="24"/>
          <w:color w:val="auto"/>
        </w:rPr>
      </w:pPr>
    </w:p>
    <w:p>
      <w:pPr>
        <w:spacing w:after="0" w:line="227" w:lineRule="exact"/>
        <w:rPr>
          <w:sz w:val="24"/>
          <w:szCs w:val="24"/>
          <w:color w:val="auto"/>
        </w:rPr>
      </w:pPr>
    </w:p>
    <w:p>
      <w:pPr>
        <w:ind w:firstLine="656"/>
        <w:spacing w:after="0" w:line="277" w:lineRule="auto"/>
        <w:tabs>
          <w:tab w:leader="none" w:pos="783"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0" w:lineRule="exact"/>
        <w:rPr>
          <w:sz w:val="24"/>
          <w:szCs w:val="24"/>
          <w:color w:val="auto"/>
        </w:rPr>
      </w:pPr>
    </w:p>
    <w:p>
      <w:pPr>
        <w:ind w:right="40" w:firstLine="648"/>
        <w:spacing w:after="0" w:line="264" w:lineRule="auto"/>
        <w:rPr>
          <w:sz w:val="20"/>
          <w:szCs w:val="20"/>
          <w:color w:val="auto"/>
        </w:rPr>
      </w:pPr>
      <w:r>
        <w:rPr>
          <w:rFonts w:ascii="Arial" w:cs="Arial" w:eastAsia="Arial" w:hAnsi="Arial"/>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8" w:lineRule="exact"/>
        <w:rPr>
          <w:sz w:val="24"/>
          <w:szCs w:val="24"/>
          <w:color w:val="auto"/>
        </w:rPr>
      </w:pPr>
    </w:p>
    <w:p>
      <w:pPr>
        <w:jc w:val="center"/>
        <w:ind w:left="280"/>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320"/>
          </w:cols>
          <w:pgMar w:left="240" w:top="1440"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t>CUSIP No. 64031N 10 8</w:t>
      </w:r>
    </w:p>
    <w:p>
      <w:pPr>
        <w:spacing w:after="0" w:line="200" w:lineRule="exact"/>
        <w:rPr>
          <w:sz w:val="20"/>
          <w:szCs w:val="20"/>
          <w:color w:val="auto"/>
        </w:rPr>
      </w:pPr>
    </w:p>
    <w:p>
      <w:pPr>
        <w:spacing w:after="0" w:line="241" w:lineRule="exact"/>
        <w:rPr>
          <w:sz w:val="20"/>
          <w:szCs w:val="20"/>
          <w:color w:val="auto"/>
        </w:rPr>
      </w:pPr>
    </w:p>
    <w:p>
      <w:pPr>
        <w:ind w:left="660" w:hanging="652"/>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Names of Reporting Persons.</w:t>
      </w:r>
    </w:p>
    <w:p>
      <w:pPr>
        <w:spacing w:after="0" w:line="225"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18"/>
          <w:szCs w:val="18"/>
          <w:color w:val="auto"/>
        </w:rPr>
        <w:t>Whitetail Rock Capital Management, LLC</w:t>
      </w:r>
    </w:p>
    <w:p>
      <w:pPr>
        <w:spacing w:after="0" w:line="200" w:lineRule="exact"/>
        <w:rPr>
          <w:rFonts w:ascii="Arial" w:cs="Arial" w:eastAsia="Arial" w:hAnsi="Arial"/>
          <w:sz w:val="18"/>
          <w:szCs w:val="18"/>
          <w:color w:val="auto"/>
        </w:rPr>
      </w:pPr>
    </w:p>
    <w:p>
      <w:pPr>
        <w:spacing w:after="0" w:line="241" w:lineRule="exact"/>
        <w:rPr>
          <w:rFonts w:ascii="Arial" w:cs="Arial" w:eastAsia="Arial" w:hAnsi="Arial"/>
          <w:sz w:val="18"/>
          <w:szCs w:val="18"/>
          <w:color w:val="auto"/>
        </w:rPr>
      </w:pPr>
    </w:p>
    <w:p>
      <w:pPr>
        <w:ind w:left="660" w:hanging="652"/>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Check the Appropriate Box if a Member of a Group (See Instructions)</w:t>
      </w:r>
    </w:p>
    <w:p>
      <w:pPr>
        <w:spacing w:after="0" w:line="225" w:lineRule="exact"/>
        <w:rPr>
          <w:rFonts w:ascii="Arial" w:cs="Arial" w:eastAsia="Arial" w:hAnsi="Arial"/>
          <w:sz w:val="18"/>
          <w:szCs w:val="18"/>
          <w:color w:val="auto"/>
        </w:rPr>
      </w:pPr>
    </w:p>
    <w:p>
      <w:pPr>
        <w:ind w:left="1040" w:hanging="384"/>
        <w:spacing w:after="0"/>
        <w:tabs>
          <w:tab w:leader="none" w:pos="1040" w:val="left"/>
        </w:tabs>
        <w:numPr>
          <w:ilvl w:val="1"/>
          <w:numId w:val="3"/>
        </w:numPr>
        <w:rPr>
          <w:rFonts w:ascii="Arial" w:cs="Arial" w:eastAsia="Arial" w:hAnsi="Arial"/>
          <w:sz w:val="18"/>
          <w:szCs w:val="18"/>
          <w:color w:val="auto"/>
        </w:rPr>
      </w:pPr>
      <w:r>
        <w:rPr>
          <w:rFonts w:ascii="Arial" w:cs="Arial" w:eastAsia="Arial" w:hAnsi="Arial"/>
          <w:sz w:val="18"/>
          <w:szCs w:val="18"/>
          <w:color w:val="auto"/>
        </w:rPr>
        <w:t>[ ]</w:t>
      </w:r>
    </w:p>
    <w:p>
      <w:pPr>
        <w:spacing w:after="0" w:line="23" w:lineRule="exact"/>
        <w:rPr>
          <w:rFonts w:ascii="Arial" w:cs="Arial" w:eastAsia="Arial" w:hAnsi="Arial"/>
          <w:sz w:val="18"/>
          <w:szCs w:val="18"/>
          <w:color w:val="auto"/>
        </w:rPr>
      </w:pPr>
    </w:p>
    <w:p>
      <w:pPr>
        <w:ind w:left="1040" w:hanging="384"/>
        <w:spacing w:after="0"/>
        <w:tabs>
          <w:tab w:leader="none" w:pos="1040" w:val="left"/>
        </w:tabs>
        <w:numPr>
          <w:ilvl w:val="1"/>
          <w:numId w:val="3"/>
        </w:numPr>
        <w:rPr>
          <w:rFonts w:ascii="Arial" w:cs="Arial" w:eastAsia="Arial" w:hAnsi="Arial"/>
          <w:sz w:val="18"/>
          <w:szCs w:val="18"/>
          <w:color w:val="auto"/>
        </w:rPr>
      </w:pPr>
      <w:r>
        <w:rPr>
          <w:rFonts w:ascii="Arial" w:cs="Arial" w:eastAsia="Arial" w:hAnsi="Arial"/>
          <w:sz w:val="18"/>
          <w:szCs w:val="18"/>
          <w:color w:val="auto"/>
        </w:rPr>
        <w:t>[ ]</w:t>
      </w:r>
    </w:p>
    <w:p>
      <w:pPr>
        <w:spacing w:after="0" w:line="200" w:lineRule="exact"/>
        <w:rPr>
          <w:rFonts w:ascii="Arial" w:cs="Arial" w:eastAsia="Arial" w:hAnsi="Arial"/>
          <w:sz w:val="18"/>
          <w:szCs w:val="18"/>
          <w:color w:val="auto"/>
        </w:rPr>
      </w:pPr>
    </w:p>
    <w:p>
      <w:pPr>
        <w:spacing w:after="0" w:line="226" w:lineRule="exact"/>
        <w:rPr>
          <w:rFonts w:ascii="Arial" w:cs="Arial" w:eastAsia="Arial" w:hAnsi="Arial"/>
          <w:sz w:val="18"/>
          <w:szCs w:val="18"/>
          <w:color w:val="auto"/>
        </w:rPr>
      </w:pPr>
    </w:p>
    <w:p>
      <w:pPr>
        <w:ind w:left="340" w:hanging="332"/>
        <w:spacing w:after="0"/>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00" w:lineRule="exact"/>
        <w:rPr>
          <w:rFonts w:ascii="Arial" w:cs="Arial" w:eastAsia="Arial" w:hAnsi="Arial"/>
          <w:sz w:val="18"/>
          <w:szCs w:val="18"/>
          <w:color w:val="auto"/>
        </w:rPr>
      </w:pPr>
    </w:p>
    <w:p>
      <w:pPr>
        <w:spacing w:after="0" w:line="241" w:lineRule="exact"/>
        <w:rPr>
          <w:rFonts w:ascii="Arial" w:cs="Arial" w:eastAsia="Arial" w:hAnsi="Arial"/>
          <w:sz w:val="18"/>
          <w:szCs w:val="18"/>
          <w:color w:val="auto"/>
        </w:rPr>
      </w:pPr>
    </w:p>
    <w:p>
      <w:pPr>
        <w:ind w:left="660" w:hanging="652"/>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60" w:type="dxa"/>
            <w:vAlign w:val="bottom"/>
          </w:tcPr>
          <w:p>
            <w:pPr>
              <w:spacing w:after="0"/>
              <w:rPr>
                <w:sz w:val="20"/>
                <w:szCs w:val="20"/>
                <w:color w:val="auto"/>
              </w:rPr>
            </w:pPr>
          </w:p>
        </w:tc>
        <w:tc>
          <w:tcPr>
            <w:tcW w:w="2220" w:type="dxa"/>
            <w:vAlign w:val="bottom"/>
          </w:tcPr>
          <w:p>
            <w:pPr>
              <w:ind w:left="340"/>
              <w:spacing w:after="0"/>
              <w:rPr>
                <w:sz w:val="20"/>
                <w:szCs w:val="20"/>
                <w:color w:val="auto"/>
              </w:rPr>
            </w:pPr>
            <w:r>
              <w:rPr>
                <w:rFonts w:ascii="Arial" w:cs="Arial" w:eastAsia="Arial" w:hAnsi="Arial"/>
                <w:sz w:val="18"/>
                <w:szCs w:val="18"/>
                <w:color w:val="auto"/>
              </w:rPr>
              <w:t>Nebraska</w:t>
            </w:r>
          </w:p>
        </w:tc>
        <w:tc>
          <w:tcPr>
            <w:tcW w:w="1020" w:type="dxa"/>
            <w:vAlign w:val="bottom"/>
          </w:tcPr>
          <w:p>
            <w:pPr>
              <w:spacing w:after="0"/>
              <w:rPr>
                <w:sz w:val="20"/>
                <w:szCs w:val="20"/>
                <w:color w:val="auto"/>
              </w:rPr>
            </w:pPr>
          </w:p>
        </w:tc>
        <w:tc>
          <w:tcPr>
            <w:tcW w:w="1400" w:type="dxa"/>
            <w:vAlign w:val="bottom"/>
          </w:tcPr>
          <w:p>
            <w:pPr>
              <w:spacing w:after="0"/>
              <w:rPr>
                <w:sz w:val="20"/>
                <w:szCs w:val="20"/>
                <w:color w:val="auto"/>
              </w:rPr>
            </w:pPr>
          </w:p>
        </w:tc>
      </w:tr>
      <w:tr>
        <w:trPr>
          <w:trHeight w:val="634"/>
        </w:trPr>
        <w:tc>
          <w:tcPr>
            <w:tcW w:w="960" w:type="dxa"/>
            <w:vAlign w:val="bottom"/>
          </w:tcPr>
          <w:p>
            <w:pPr>
              <w:spacing w:after="0"/>
              <w:rPr>
                <w:sz w:val="20"/>
                <w:szCs w:val="20"/>
                <w:color w:val="auto"/>
              </w:rPr>
            </w:pPr>
            <w:r>
              <w:rPr>
                <w:rFonts w:ascii="Arial" w:cs="Arial" w:eastAsia="Arial" w:hAnsi="Arial"/>
                <w:sz w:val="18"/>
                <w:szCs w:val="18"/>
                <w:color w:val="auto"/>
              </w:rPr>
              <w:t>Number of</w:t>
            </w:r>
          </w:p>
        </w:tc>
        <w:tc>
          <w:tcPr>
            <w:tcW w:w="2220" w:type="dxa"/>
            <w:vAlign w:val="bottom"/>
          </w:tcPr>
          <w:p>
            <w:pPr>
              <w:jc w:val="center"/>
              <w:ind w:right="190"/>
              <w:spacing w:after="0"/>
              <w:rPr>
                <w:sz w:val="20"/>
                <w:szCs w:val="20"/>
                <w:color w:val="auto"/>
              </w:rPr>
            </w:pPr>
            <w:r>
              <w:rPr>
                <w:rFonts w:ascii="Arial" w:cs="Arial" w:eastAsia="Arial" w:hAnsi="Arial"/>
                <w:sz w:val="18"/>
                <w:szCs w:val="18"/>
                <w:color w:val="auto"/>
                <w:w w:val="91"/>
              </w:rPr>
              <w:t>5) Sole Voting Power</w:t>
            </w:r>
          </w:p>
        </w:tc>
        <w:tc>
          <w:tcPr>
            <w:tcW w:w="1020" w:type="dxa"/>
            <w:vAlign w:val="bottom"/>
          </w:tcPr>
          <w:p>
            <w:pPr>
              <w:jc w:val="right"/>
              <w:ind w:right="530"/>
              <w:spacing w:after="0"/>
              <w:rPr>
                <w:sz w:val="20"/>
                <w:szCs w:val="20"/>
                <w:color w:val="auto"/>
              </w:rPr>
            </w:pPr>
            <w:r>
              <w:rPr>
                <w:rFonts w:ascii="Arial" w:cs="Arial" w:eastAsia="Arial" w:hAnsi="Arial"/>
                <w:sz w:val="18"/>
                <w:szCs w:val="18"/>
                <w:color w:val="auto"/>
              </w:rPr>
              <w:t>0 (1)</w:t>
            </w:r>
          </w:p>
        </w:tc>
        <w:tc>
          <w:tcPr>
            <w:tcW w:w="1400" w:type="dxa"/>
            <w:vAlign w:val="bottom"/>
          </w:tcPr>
          <w:p>
            <w:pPr>
              <w:spacing w:after="0"/>
              <w:rPr>
                <w:sz w:val="24"/>
                <w:szCs w:val="24"/>
                <w:color w:val="auto"/>
              </w:rPr>
            </w:pPr>
          </w:p>
        </w:tc>
      </w:tr>
      <w:tr>
        <w:trPr>
          <w:trHeight w:val="216"/>
        </w:trPr>
        <w:tc>
          <w:tcPr>
            <w:tcW w:w="960" w:type="dxa"/>
            <w:vAlign w:val="bottom"/>
          </w:tcPr>
          <w:p>
            <w:pPr>
              <w:spacing w:after="0"/>
              <w:rPr>
                <w:sz w:val="20"/>
                <w:szCs w:val="20"/>
                <w:color w:val="auto"/>
              </w:rPr>
            </w:pPr>
            <w:r>
              <w:rPr>
                <w:rFonts w:ascii="Arial" w:cs="Arial" w:eastAsia="Arial" w:hAnsi="Arial"/>
                <w:sz w:val="18"/>
                <w:szCs w:val="18"/>
                <w:color w:val="auto"/>
              </w:rPr>
              <w:t>Shares</w:t>
            </w:r>
          </w:p>
        </w:tc>
        <w:tc>
          <w:tcPr>
            <w:tcW w:w="2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0" w:type="dxa"/>
            <w:vAlign w:val="bottom"/>
          </w:tcPr>
          <w:p>
            <w:pPr>
              <w:spacing w:after="0"/>
              <w:rPr>
                <w:sz w:val="18"/>
                <w:szCs w:val="18"/>
                <w:color w:val="auto"/>
              </w:rPr>
            </w:pPr>
          </w:p>
        </w:tc>
      </w:tr>
      <w:tr>
        <w:trPr>
          <w:trHeight w:val="216"/>
        </w:trPr>
        <w:tc>
          <w:tcPr>
            <w:tcW w:w="960" w:type="dxa"/>
            <w:vAlign w:val="bottom"/>
          </w:tcPr>
          <w:p>
            <w:pPr>
              <w:spacing w:after="0"/>
              <w:rPr>
                <w:sz w:val="20"/>
                <w:szCs w:val="20"/>
                <w:color w:val="auto"/>
              </w:rPr>
            </w:pPr>
            <w:r>
              <w:rPr>
                <w:rFonts w:ascii="Arial" w:cs="Arial" w:eastAsia="Arial" w:hAnsi="Arial"/>
                <w:sz w:val="18"/>
                <w:szCs w:val="18"/>
                <w:color w:val="auto"/>
              </w:rPr>
              <w:t>Beneficially</w:t>
            </w:r>
          </w:p>
        </w:tc>
        <w:tc>
          <w:tcPr>
            <w:tcW w:w="2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0" w:type="dxa"/>
            <w:vAlign w:val="bottom"/>
          </w:tcPr>
          <w:p>
            <w:pPr>
              <w:spacing w:after="0"/>
              <w:rPr>
                <w:sz w:val="18"/>
                <w:szCs w:val="18"/>
                <w:color w:val="auto"/>
              </w:rPr>
            </w:pPr>
          </w:p>
        </w:tc>
      </w:tr>
      <w:tr>
        <w:trPr>
          <w:trHeight w:val="216"/>
        </w:trPr>
        <w:tc>
          <w:tcPr>
            <w:tcW w:w="960" w:type="dxa"/>
            <w:vAlign w:val="bottom"/>
          </w:tcPr>
          <w:p>
            <w:pPr>
              <w:spacing w:after="0"/>
              <w:rPr>
                <w:sz w:val="20"/>
                <w:szCs w:val="20"/>
                <w:color w:val="auto"/>
              </w:rPr>
            </w:pPr>
            <w:r>
              <w:rPr>
                <w:rFonts w:ascii="Arial" w:cs="Arial" w:eastAsia="Arial" w:hAnsi="Arial"/>
                <w:sz w:val="18"/>
                <w:szCs w:val="18"/>
                <w:color w:val="auto"/>
              </w:rPr>
              <w:t>Owned</w:t>
            </w:r>
          </w:p>
        </w:tc>
        <w:tc>
          <w:tcPr>
            <w:tcW w:w="2220" w:type="dxa"/>
            <w:vAlign w:val="bottom"/>
          </w:tcPr>
          <w:p>
            <w:pPr>
              <w:jc w:val="center"/>
              <w:ind w:right="210"/>
              <w:spacing w:after="0"/>
              <w:rPr>
                <w:sz w:val="20"/>
                <w:szCs w:val="20"/>
                <w:color w:val="auto"/>
              </w:rPr>
            </w:pPr>
            <w:r>
              <w:rPr>
                <w:rFonts w:ascii="Arial" w:cs="Arial" w:eastAsia="Arial" w:hAnsi="Arial"/>
                <w:sz w:val="18"/>
                <w:szCs w:val="18"/>
                <w:color w:val="auto"/>
                <w:w w:val="89"/>
              </w:rPr>
              <w:t>6) Shared Voting Power</w:t>
            </w:r>
          </w:p>
        </w:tc>
        <w:tc>
          <w:tcPr>
            <w:tcW w:w="2420" w:type="dxa"/>
            <w:vAlign w:val="bottom"/>
            <w:gridSpan w:val="2"/>
          </w:tcPr>
          <w:p>
            <w:pPr>
              <w:jc w:val="right"/>
              <w:ind w:right="950"/>
              <w:spacing w:after="0"/>
              <w:rPr>
                <w:sz w:val="20"/>
                <w:szCs w:val="20"/>
                <w:color w:val="auto"/>
              </w:rPr>
            </w:pPr>
            <w:r>
              <w:rPr>
                <w:rFonts w:ascii="Arial" w:cs="Arial" w:eastAsia="Arial" w:hAnsi="Arial"/>
                <w:sz w:val="18"/>
                <w:szCs w:val="18"/>
                <w:color w:val="auto"/>
              </w:rPr>
              <w:t>5,943,449 (1) (2)</w:t>
            </w:r>
          </w:p>
        </w:tc>
      </w:tr>
      <w:tr>
        <w:trPr>
          <w:trHeight w:val="216"/>
        </w:trPr>
        <w:tc>
          <w:tcPr>
            <w:tcW w:w="960" w:type="dxa"/>
            <w:vAlign w:val="bottom"/>
          </w:tcPr>
          <w:p>
            <w:pPr>
              <w:spacing w:after="0"/>
              <w:rPr>
                <w:sz w:val="20"/>
                <w:szCs w:val="20"/>
                <w:color w:val="auto"/>
              </w:rPr>
            </w:pPr>
            <w:r>
              <w:rPr>
                <w:rFonts w:ascii="Arial" w:cs="Arial" w:eastAsia="Arial" w:hAnsi="Arial"/>
                <w:sz w:val="18"/>
                <w:szCs w:val="18"/>
                <w:color w:val="auto"/>
              </w:rPr>
              <w:t>by Each</w:t>
            </w:r>
          </w:p>
        </w:tc>
        <w:tc>
          <w:tcPr>
            <w:tcW w:w="2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0" w:type="dxa"/>
            <w:vAlign w:val="bottom"/>
          </w:tcPr>
          <w:p>
            <w:pPr>
              <w:spacing w:after="0"/>
              <w:rPr>
                <w:sz w:val="18"/>
                <w:szCs w:val="18"/>
                <w:color w:val="auto"/>
              </w:rPr>
            </w:pPr>
          </w:p>
        </w:tc>
      </w:tr>
      <w:tr>
        <w:trPr>
          <w:trHeight w:val="216"/>
        </w:trPr>
        <w:tc>
          <w:tcPr>
            <w:tcW w:w="960" w:type="dxa"/>
            <w:vAlign w:val="bottom"/>
          </w:tcPr>
          <w:p>
            <w:pPr>
              <w:spacing w:after="0"/>
              <w:rPr>
                <w:sz w:val="20"/>
                <w:szCs w:val="20"/>
                <w:color w:val="auto"/>
              </w:rPr>
            </w:pPr>
            <w:r>
              <w:rPr>
                <w:rFonts w:ascii="Arial" w:cs="Arial" w:eastAsia="Arial" w:hAnsi="Arial"/>
                <w:sz w:val="18"/>
                <w:szCs w:val="18"/>
                <w:color w:val="auto"/>
              </w:rPr>
              <w:t>Reporting</w:t>
            </w:r>
          </w:p>
        </w:tc>
        <w:tc>
          <w:tcPr>
            <w:tcW w:w="2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0" w:type="dxa"/>
            <w:vAlign w:val="bottom"/>
          </w:tcPr>
          <w:p>
            <w:pPr>
              <w:spacing w:after="0"/>
              <w:rPr>
                <w:sz w:val="18"/>
                <w:szCs w:val="18"/>
                <w:color w:val="auto"/>
              </w:rPr>
            </w:pPr>
          </w:p>
        </w:tc>
      </w:tr>
      <w:tr>
        <w:trPr>
          <w:trHeight w:val="216"/>
        </w:trPr>
        <w:tc>
          <w:tcPr>
            <w:tcW w:w="960" w:type="dxa"/>
            <w:vAlign w:val="bottom"/>
          </w:tcPr>
          <w:p>
            <w:pPr>
              <w:spacing w:after="0"/>
              <w:rPr>
                <w:sz w:val="20"/>
                <w:szCs w:val="20"/>
                <w:color w:val="auto"/>
              </w:rPr>
            </w:pPr>
            <w:r>
              <w:rPr>
                <w:rFonts w:ascii="Arial" w:cs="Arial" w:eastAsia="Arial" w:hAnsi="Arial"/>
                <w:sz w:val="18"/>
                <w:szCs w:val="18"/>
                <w:color w:val="auto"/>
              </w:rPr>
              <w:t>Person</w:t>
            </w:r>
          </w:p>
        </w:tc>
        <w:tc>
          <w:tcPr>
            <w:tcW w:w="2220" w:type="dxa"/>
            <w:vAlign w:val="bottom"/>
          </w:tcPr>
          <w:p>
            <w:pPr>
              <w:ind w:left="80"/>
              <w:spacing w:after="0"/>
              <w:rPr>
                <w:sz w:val="20"/>
                <w:szCs w:val="20"/>
                <w:color w:val="auto"/>
              </w:rPr>
            </w:pPr>
            <w:r>
              <w:rPr>
                <w:rFonts w:ascii="Arial" w:cs="Arial" w:eastAsia="Arial" w:hAnsi="Arial"/>
                <w:sz w:val="18"/>
                <w:szCs w:val="18"/>
                <w:color w:val="auto"/>
              </w:rPr>
              <w:t>7) Sole Dispositive Power</w:t>
            </w:r>
          </w:p>
        </w:tc>
        <w:tc>
          <w:tcPr>
            <w:tcW w:w="1020" w:type="dxa"/>
            <w:vAlign w:val="bottom"/>
          </w:tcPr>
          <w:p>
            <w:pPr>
              <w:jc w:val="right"/>
              <w:ind w:right="310"/>
              <w:spacing w:after="0"/>
              <w:rPr>
                <w:sz w:val="20"/>
                <w:szCs w:val="20"/>
                <w:color w:val="auto"/>
              </w:rPr>
            </w:pPr>
            <w:r>
              <w:rPr>
                <w:rFonts w:ascii="Arial" w:cs="Arial" w:eastAsia="Arial" w:hAnsi="Arial"/>
                <w:sz w:val="18"/>
                <w:szCs w:val="18"/>
                <w:color w:val="auto"/>
              </w:rPr>
              <w:t>0 (1)</w:t>
            </w:r>
          </w:p>
        </w:tc>
        <w:tc>
          <w:tcPr>
            <w:tcW w:w="1400" w:type="dxa"/>
            <w:vAlign w:val="bottom"/>
          </w:tcPr>
          <w:p>
            <w:pPr>
              <w:spacing w:after="0"/>
              <w:rPr>
                <w:sz w:val="18"/>
                <w:szCs w:val="18"/>
                <w:color w:val="auto"/>
              </w:rPr>
            </w:pPr>
          </w:p>
        </w:tc>
      </w:tr>
      <w:tr>
        <w:trPr>
          <w:trHeight w:val="230"/>
        </w:trPr>
        <w:tc>
          <w:tcPr>
            <w:tcW w:w="960" w:type="dxa"/>
            <w:vAlign w:val="bottom"/>
          </w:tcPr>
          <w:p>
            <w:pPr>
              <w:spacing w:after="0"/>
              <w:rPr>
                <w:sz w:val="20"/>
                <w:szCs w:val="20"/>
                <w:color w:val="auto"/>
              </w:rPr>
            </w:pPr>
            <w:r>
              <w:rPr>
                <w:rFonts w:ascii="Arial" w:cs="Arial" w:eastAsia="Arial" w:hAnsi="Arial"/>
                <w:sz w:val="18"/>
                <w:szCs w:val="18"/>
                <w:color w:val="auto"/>
              </w:rPr>
              <w:t>With:</w:t>
            </w:r>
          </w:p>
        </w:tc>
        <w:tc>
          <w:tcPr>
            <w:tcW w:w="22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400" w:type="dxa"/>
            <w:vAlign w:val="bottom"/>
          </w:tcPr>
          <w:p>
            <w:pPr>
              <w:spacing w:after="0"/>
              <w:rPr>
                <w:sz w:val="20"/>
                <w:szCs w:val="20"/>
                <w:color w:val="auto"/>
              </w:rPr>
            </w:pPr>
          </w:p>
        </w:tc>
      </w:tr>
      <w:tr>
        <w:trPr>
          <w:trHeight w:val="432"/>
        </w:trPr>
        <w:tc>
          <w:tcPr>
            <w:tcW w:w="960" w:type="dxa"/>
            <w:vAlign w:val="bottom"/>
          </w:tcPr>
          <w:p>
            <w:pPr>
              <w:spacing w:after="0"/>
              <w:rPr>
                <w:sz w:val="24"/>
                <w:szCs w:val="24"/>
                <w:color w:val="auto"/>
              </w:rPr>
            </w:pPr>
          </w:p>
        </w:tc>
        <w:tc>
          <w:tcPr>
            <w:tcW w:w="3240" w:type="dxa"/>
            <w:vAlign w:val="bottom"/>
            <w:gridSpan w:val="2"/>
          </w:tcPr>
          <w:p>
            <w:pPr>
              <w:jc w:val="right"/>
              <w:ind w:right="90"/>
              <w:spacing w:after="0"/>
              <w:rPr>
                <w:sz w:val="20"/>
                <w:szCs w:val="20"/>
                <w:color w:val="auto"/>
              </w:rPr>
            </w:pPr>
            <w:r>
              <w:rPr>
                <w:rFonts w:ascii="Arial" w:cs="Arial" w:eastAsia="Arial" w:hAnsi="Arial"/>
                <w:sz w:val="18"/>
                <w:szCs w:val="18"/>
                <w:color w:val="auto"/>
              </w:rPr>
              <w:t>8) Shared Dispositive Power</w:t>
            </w:r>
          </w:p>
        </w:tc>
        <w:tc>
          <w:tcPr>
            <w:tcW w:w="1400" w:type="dxa"/>
            <w:vAlign w:val="bottom"/>
          </w:tcPr>
          <w:p>
            <w:pPr>
              <w:jc w:val="right"/>
              <w:spacing w:after="0"/>
              <w:rPr>
                <w:sz w:val="20"/>
                <w:szCs w:val="20"/>
                <w:color w:val="auto"/>
              </w:rPr>
            </w:pPr>
            <w:r>
              <w:rPr>
                <w:rFonts w:ascii="Arial" w:cs="Arial" w:eastAsia="Arial" w:hAnsi="Arial"/>
                <w:sz w:val="18"/>
                <w:szCs w:val="18"/>
                <w:color w:val="auto"/>
              </w:rPr>
              <w:t>5,943,449 (1) (2)</w:t>
            </w:r>
          </w:p>
        </w:tc>
      </w:tr>
      <w:tr>
        <w:trPr>
          <w:trHeight w:val="634"/>
        </w:trPr>
        <w:tc>
          <w:tcPr>
            <w:tcW w:w="3180" w:type="dxa"/>
            <w:vAlign w:val="bottom"/>
            <w:gridSpan w:val="2"/>
          </w:tcPr>
          <w:p>
            <w:pPr>
              <w:spacing w:after="0"/>
              <w:rPr>
                <w:sz w:val="20"/>
                <w:szCs w:val="20"/>
                <w:color w:val="auto"/>
              </w:rPr>
            </w:pPr>
            <w:r>
              <w:rPr>
                <w:rFonts w:ascii="Arial" w:cs="Arial" w:eastAsia="Arial" w:hAnsi="Arial"/>
                <w:sz w:val="18"/>
                <w:szCs w:val="18"/>
                <w:color w:val="auto"/>
              </w:rPr>
              <w:t>9)  Aggregate Amount Beneficially</w:t>
            </w:r>
          </w:p>
        </w:tc>
        <w:tc>
          <w:tcPr>
            <w:tcW w:w="1020" w:type="dxa"/>
            <w:vAlign w:val="bottom"/>
          </w:tcPr>
          <w:p>
            <w:pPr>
              <w:spacing w:after="0"/>
              <w:rPr>
                <w:sz w:val="24"/>
                <w:szCs w:val="24"/>
                <w:color w:val="auto"/>
              </w:rPr>
            </w:pPr>
          </w:p>
        </w:tc>
        <w:tc>
          <w:tcPr>
            <w:tcW w:w="1400" w:type="dxa"/>
            <w:vAlign w:val="bottom"/>
          </w:tcPr>
          <w:p>
            <w:pPr>
              <w:spacing w:after="0"/>
              <w:rPr>
                <w:sz w:val="24"/>
                <w:szCs w:val="24"/>
                <w:color w:val="auto"/>
              </w:rPr>
            </w:pPr>
          </w:p>
        </w:tc>
      </w:tr>
      <w:tr>
        <w:trPr>
          <w:trHeight w:val="230"/>
        </w:trPr>
        <w:tc>
          <w:tcPr>
            <w:tcW w:w="3180" w:type="dxa"/>
            <w:vAlign w:val="bottom"/>
            <w:gridSpan w:val="2"/>
          </w:tcPr>
          <w:p>
            <w:pPr>
              <w:ind w:left="660"/>
              <w:spacing w:after="0"/>
              <w:rPr>
                <w:sz w:val="20"/>
                <w:szCs w:val="20"/>
                <w:color w:val="auto"/>
              </w:rPr>
            </w:pPr>
            <w:r>
              <w:rPr>
                <w:rFonts w:ascii="Arial" w:cs="Arial" w:eastAsia="Arial" w:hAnsi="Arial"/>
                <w:sz w:val="18"/>
                <w:szCs w:val="18"/>
                <w:color w:val="auto"/>
                <w:w w:val="91"/>
              </w:rPr>
              <w:t>Owned by Each Reporting Person</w:t>
            </w:r>
          </w:p>
        </w:tc>
        <w:tc>
          <w:tcPr>
            <w:tcW w:w="2420" w:type="dxa"/>
            <w:vAlign w:val="bottom"/>
            <w:gridSpan w:val="2"/>
          </w:tcPr>
          <w:p>
            <w:pPr>
              <w:jc w:val="right"/>
              <w:ind w:right="450"/>
              <w:spacing w:after="0"/>
              <w:rPr>
                <w:sz w:val="20"/>
                <w:szCs w:val="20"/>
                <w:color w:val="auto"/>
              </w:rPr>
            </w:pPr>
            <w:r>
              <w:rPr>
                <w:rFonts w:ascii="Arial" w:cs="Arial" w:eastAsia="Arial" w:hAnsi="Arial"/>
                <w:sz w:val="18"/>
                <w:szCs w:val="18"/>
                <w:color w:val="auto"/>
              </w:rPr>
              <w:t>5,943,449 (1) (2)</w:t>
            </w:r>
          </w:p>
        </w:tc>
      </w:tr>
    </w:tbl>
    <w:p>
      <w:pPr>
        <w:spacing w:after="0" w:line="200" w:lineRule="exact"/>
        <w:rPr>
          <w:sz w:val="20"/>
          <w:szCs w:val="20"/>
          <w:color w:val="auto"/>
        </w:rPr>
      </w:pPr>
    </w:p>
    <w:p>
      <w:pPr>
        <w:spacing w:after="0" w:line="218" w:lineRule="exact"/>
        <w:rPr>
          <w:sz w:val="20"/>
          <w:szCs w:val="20"/>
          <w:color w:val="auto"/>
        </w:rPr>
      </w:pPr>
    </w:p>
    <w:p>
      <w:pPr>
        <w:ind w:left="660" w:hanging="652"/>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Check if the Aggregate Amount in Row (9)</w:t>
      </w:r>
    </w:p>
    <w:p>
      <w:pPr>
        <w:spacing w:after="0" w:line="23" w:lineRule="exact"/>
        <w:rPr>
          <w:sz w:val="20"/>
          <w:szCs w:val="20"/>
          <w:color w:val="auto"/>
        </w:rPr>
      </w:pPr>
    </w:p>
    <w:p>
      <w:pPr>
        <w:ind w:left="660"/>
        <w:spacing w:after="0"/>
        <w:tabs>
          <w:tab w:leader="none" w:pos="4440" w:val="left"/>
        </w:tabs>
        <w:rPr>
          <w:sz w:val="20"/>
          <w:szCs w:val="20"/>
          <w:color w:val="auto"/>
        </w:rPr>
      </w:pPr>
      <w:r>
        <w:rPr>
          <w:rFonts w:ascii="Arial" w:cs="Arial" w:eastAsia="Arial" w:hAnsi="Arial"/>
          <w:sz w:val="18"/>
          <w:szCs w:val="18"/>
          <w:color w:val="auto"/>
        </w:rPr>
        <w:t>Excludes Certain Shares (See Instructions)</w:t>
      </w:r>
      <w:r>
        <w:rPr>
          <w:sz w:val="20"/>
          <w:szCs w:val="20"/>
          <w:color w:val="auto"/>
        </w:rPr>
        <w:tab/>
      </w:r>
      <w:r>
        <w:rPr>
          <w:rFonts w:ascii="Arial" w:cs="Arial" w:eastAsia="Arial" w:hAnsi="Arial"/>
          <w:sz w:val="18"/>
          <w:szCs w:val="18"/>
          <w:color w:val="auto"/>
        </w:rPr>
        <w:t>[ ]</w:t>
      </w:r>
    </w:p>
    <w:p>
      <w:pPr>
        <w:spacing w:after="0" w:line="200" w:lineRule="exact"/>
        <w:rPr>
          <w:sz w:val="20"/>
          <w:szCs w:val="20"/>
          <w:color w:val="auto"/>
        </w:rPr>
      </w:pPr>
    </w:p>
    <w:p>
      <w:pPr>
        <w:spacing w:after="0" w:line="227" w:lineRule="exact"/>
        <w:rPr>
          <w:sz w:val="20"/>
          <w:szCs w:val="20"/>
          <w:color w:val="auto"/>
        </w:rPr>
      </w:pPr>
    </w:p>
    <w:p>
      <w:pPr>
        <w:spacing w:after="0"/>
        <w:tabs>
          <w:tab w:leader="none" w:pos="400" w:val="left"/>
          <w:tab w:leader="none" w:pos="4740" w:val="left"/>
        </w:tabs>
        <w:rPr>
          <w:sz w:val="20"/>
          <w:szCs w:val="20"/>
          <w:color w:val="auto"/>
        </w:rPr>
      </w:pPr>
      <w:r>
        <w:rPr>
          <w:rFonts w:ascii="Arial" w:cs="Arial" w:eastAsia="Arial" w:hAnsi="Arial"/>
          <w:sz w:val="18"/>
          <w:szCs w:val="18"/>
          <w:color w:val="auto"/>
        </w:rPr>
        <w:t>11)</w:t>
        <w:tab/>
        <w:t>Percent of Class Represented by Amount in Row (9)</w:t>
      </w:r>
      <w:r>
        <w:rPr>
          <w:sz w:val="20"/>
          <w:szCs w:val="20"/>
          <w:color w:val="auto"/>
        </w:rPr>
        <w:tab/>
      </w:r>
      <w:r>
        <w:rPr>
          <w:rFonts w:ascii="Arial" w:cs="Arial" w:eastAsia="Arial" w:hAnsi="Arial"/>
          <w:sz w:val="16"/>
          <w:szCs w:val="16"/>
          <w:color w:val="auto"/>
        </w:rPr>
        <w:t>17.1% (3)</w:t>
      </w:r>
    </w:p>
    <w:p>
      <w:pPr>
        <w:spacing w:after="0" w:line="200" w:lineRule="exact"/>
        <w:rPr>
          <w:sz w:val="20"/>
          <w:szCs w:val="20"/>
          <w:color w:val="auto"/>
        </w:rPr>
      </w:pPr>
    </w:p>
    <w:p>
      <w:pPr>
        <w:spacing w:after="0" w:line="241" w:lineRule="exact"/>
        <w:rPr>
          <w:sz w:val="20"/>
          <w:szCs w:val="20"/>
          <w:color w:val="auto"/>
        </w:rPr>
      </w:pPr>
    </w:p>
    <w:p>
      <w:pPr>
        <w:spacing w:after="0"/>
        <w:tabs>
          <w:tab w:leader="none" w:pos="640" w:val="left"/>
          <w:tab w:leader="none" w:pos="452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8"/>
          <w:szCs w:val="18"/>
          <w:color w:val="auto"/>
        </w:rPr>
        <w:t>Type of Reporting Person (See Instructions)</w:t>
      </w:r>
      <w:r>
        <w:rPr>
          <w:sz w:val="20"/>
          <w:szCs w:val="20"/>
          <w:color w:val="auto"/>
        </w:rPr>
        <w:tab/>
      </w:r>
      <w:r>
        <w:rPr>
          <w:rFonts w:ascii="Arial" w:cs="Arial" w:eastAsia="Arial" w:hAnsi="Arial"/>
          <w:sz w:val="18"/>
          <w:szCs w:val="18"/>
          <w:color w:val="auto"/>
        </w:rPr>
        <w:t>IA</w:t>
      </w:r>
    </w:p>
    <w:p>
      <w:pPr>
        <w:spacing w:after="0" w:line="200" w:lineRule="exact"/>
        <w:rPr>
          <w:sz w:val="20"/>
          <w:szCs w:val="20"/>
          <w:color w:val="auto"/>
        </w:rPr>
      </w:pPr>
    </w:p>
    <w:p>
      <w:pPr>
        <w:spacing w:after="0" w:line="241" w:lineRule="exact"/>
        <w:rPr>
          <w:sz w:val="20"/>
          <w:szCs w:val="20"/>
          <w:color w:val="auto"/>
        </w:rPr>
      </w:pPr>
    </w:p>
    <w:p>
      <w:pPr>
        <w:ind w:left="380" w:hanging="372"/>
        <w:spacing w:after="0"/>
        <w:tabs>
          <w:tab w:leader="none" w:pos="380" w:val="left"/>
        </w:tabs>
        <w:numPr>
          <w:ilvl w:val="0"/>
          <w:numId w:val="5"/>
        </w:numPr>
        <w:rPr>
          <w:rFonts w:ascii="Arial" w:cs="Arial" w:eastAsia="Arial" w:hAnsi="Arial"/>
          <w:sz w:val="18"/>
          <w:szCs w:val="18"/>
          <w:color w:val="auto"/>
        </w:rPr>
      </w:pPr>
      <w:r>
        <w:rPr>
          <w:rFonts w:ascii="Arial" w:cs="Arial" w:eastAsia="Arial" w:hAnsi="Arial"/>
          <w:sz w:val="18"/>
          <w:szCs w:val="18"/>
          <w:color w:val="auto"/>
        </w:rPr>
        <w:t>All amounts in Rows 5-9 are as of December 31, 2018.</w:t>
      </w:r>
    </w:p>
    <w:p>
      <w:pPr>
        <w:spacing w:after="0" w:line="225" w:lineRule="exact"/>
        <w:rPr>
          <w:rFonts w:ascii="Arial" w:cs="Arial" w:eastAsia="Arial" w:hAnsi="Arial"/>
          <w:sz w:val="18"/>
          <w:szCs w:val="18"/>
          <w:color w:val="auto"/>
        </w:rPr>
      </w:pPr>
    </w:p>
    <w:p>
      <w:pPr>
        <w:ind w:left="340" w:hanging="332"/>
        <w:spacing w:after="0" w:line="272" w:lineRule="auto"/>
        <w:tabs>
          <w:tab w:leader="none" w:pos="340" w:val="left"/>
        </w:tabs>
        <w:numPr>
          <w:ilvl w:val="0"/>
          <w:numId w:val="5"/>
        </w:numPr>
        <w:rPr>
          <w:rFonts w:ascii="Arial" w:cs="Arial" w:eastAsia="Arial" w:hAnsi="Arial"/>
          <w:sz w:val="17"/>
          <w:szCs w:val="17"/>
          <w:color w:val="auto"/>
        </w:rPr>
      </w:pPr>
      <w:r>
        <w:rPr>
          <w:rFonts w:ascii="Arial" w:cs="Arial" w:eastAsia="Arial" w:hAnsi="Arial"/>
          <w:sz w:val="17"/>
          <w:szCs w:val="17"/>
          <w:color w:val="auto"/>
        </w:rPr>
        <w:t>Represents a total of 5,943,449 shares of Class B common stock (which shares are convertible into the same number of shares of Class A common stock at the option of the holder at any time, with each share of Class A common stock having one vote and each share of Class B common stock having ten votes on all matters to be voted upon by the issuer’s shareholders), held in (i) four separate grantor retained annuity trusts (“GRATs”) and three separate other irrevocable trusts (collectively, the “Dynasty Trusts”) established by Michael S. Dunlap in 2011; (ii) three separate post-annuity trusts established upon the expiration of the annuity term of two other separate GRATs established by Michael S. Dunlap in 2011 (collectively, the “Post-Annuity Trusts”); (iii) six separate GRATs established by the spouse of Michael S. Dunlap in 2015; (iv) eight separate GRATs established by Shelby J. Butterfield, the widow of Stephen F. Butterfield (who passed away in</w:t>
      </w:r>
    </w:p>
    <w:p>
      <w:pPr>
        <w:sectPr>
          <w:pgSz w:w="11900" w:h="16838" w:orient="portrait"/>
          <w:cols w:equalWidth="0" w:num="1">
            <w:col w:w="11340"/>
          </w:cols>
          <w:pgMar w:left="240" w:top="800" w:right="319" w:bottom="1440" w:gutter="0" w:footer="0" w:header="0"/>
        </w:sectPr>
      </w:pPr>
    </w:p>
    <w:p>
      <w:pPr>
        <w:spacing w:after="0" w:line="205" w:lineRule="exact"/>
        <w:rPr>
          <w:sz w:val="20"/>
          <w:szCs w:val="20"/>
          <w:color w:val="auto"/>
        </w:rPr>
      </w:pPr>
    </w:p>
    <w:p>
      <w:pPr>
        <w:jc w:val="center"/>
        <w:ind w:left="280"/>
        <w:spacing w:after="0"/>
        <w:rPr>
          <w:sz w:val="20"/>
          <w:szCs w:val="20"/>
          <w:color w:val="auto"/>
        </w:rPr>
      </w:pPr>
      <w:r>
        <w:rPr>
          <w:rFonts w:ascii="Arial" w:cs="Arial" w:eastAsia="Arial" w:hAnsi="Arial"/>
          <w:sz w:val="17"/>
          <w:szCs w:val="17"/>
          <w:color w:val="auto"/>
        </w:rPr>
        <w:t>2</w:t>
      </w:r>
    </w:p>
    <w:p>
      <w:pPr>
        <w:sectPr>
          <w:pgSz w:w="11900" w:h="16838" w:orient="portrait"/>
          <w:cols w:equalWidth="0" w:num="1">
            <w:col w:w="11340"/>
          </w:cols>
          <w:pgMar w:left="240" w:top="800" w:right="319" w:bottom="1440" w:gutter="0" w:footer="0" w:header="0"/>
          <w:type w:val="continuous"/>
        </w:sectPr>
      </w:pPr>
    </w:p>
    <w:bookmarkStart w:id="2" w:name="page3"/>
    <w:bookmarkEnd w:id="2"/>
    <w:p>
      <w:pPr>
        <w:ind w:left="332" w:right="20"/>
        <w:spacing w:after="0" w:line="318" w:lineRule="auto"/>
        <w:rPr>
          <w:sz w:val="20"/>
          <w:szCs w:val="20"/>
          <w:color w:val="auto"/>
        </w:rPr>
      </w:pPr>
      <w:r>
        <w:rPr>
          <w:rFonts w:ascii="Arial" w:cs="Arial" w:eastAsia="Arial" w:hAnsi="Arial"/>
          <w:sz w:val="17"/>
          <w:szCs w:val="17"/>
          <w:color w:val="auto"/>
        </w:rPr>
        <w:t>April 2018), in 2015; (v) four separate GRATs established by Stephen F. Butterfield in 2015; and (vi) a charitable lead annuity trust (“CLAT”) established by Stephen F. Butterfield in 2016, which total number of shares of Class B common stock reflects annuity distributions of shares of Class B common stock from certain of the GRATs during 2018 to the grantors of such GRATs pursuant to the terms thereof and an annuity distribution of shares of Class B common stock from the CLAT during 2018 to a charitable beneficiary of the CLAT pursuant to the terms thereof. All twenty-two of the GRATs, along with the Dynasty Trusts, the Post-Annuity Trusts, and the CLAT referred to herein, are collectively referred to herein as the “Trusts”. Under the Trusts, the reporting person, which is registered as an investment adviser under Section 203 of the Investment Advisers Act of 1940, has been designated to serve as investment adviser with investment power with respect to assets held by the Trusts and voting power with respect to shares of stock held by the Trusts. Accordingly, the reporting person is reporting beneficial ownership pursuant to Rule 13d-3 under the Securities Exchange Act of 1934 (the “Exchange Act”) of the subject securities held by the Trusts. The reporting person is not a beneficiary of any of the Trusts, does not have any pecuniary interest under the provisions of Rule 16a-1(a)(2) under the Exchange Act in the securities held by the Trusts, and, for purposes of Section 16 of the Exchange Act pursuant to the provisions of Rule 16a-1(a)(1) thereunder, is not deemed to be the beneficial owner of the securities held in the Trusts for the benefit of third parties. The reporting person is a majority owned subsidiary of the issuer, of which Michael S. Dunlap is Executive Chairman of the Board of Directors and a significant shareholder, and of which Stephen F. Butterfield was Vice Chairman of the Board of Directors and a significant shareholder.</w:t>
      </w:r>
    </w:p>
    <w:p>
      <w:pPr>
        <w:spacing w:after="0" w:line="155" w:lineRule="exact"/>
        <w:rPr>
          <w:sz w:val="20"/>
          <w:szCs w:val="20"/>
          <w:color w:val="auto"/>
        </w:rPr>
      </w:pPr>
    </w:p>
    <w:p>
      <w:pPr>
        <w:ind w:left="332" w:hanging="332"/>
        <w:spacing w:after="0" w:line="277" w:lineRule="auto"/>
        <w:tabs>
          <w:tab w:leader="none" w:pos="332" w:val="left"/>
        </w:tabs>
        <w:numPr>
          <w:ilvl w:val="0"/>
          <w:numId w:val="6"/>
        </w:numPr>
        <w:rPr>
          <w:rFonts w:ascii="Arial" w:cs="Arial" w:eastAsia="Arial" w:hAnsi="Arial"/>
          <w:sz w:val="18"/>
          <w:szCs w:val="18"/>
          <w:color w:val="auto"/>
        </w:rPr>
      </w:pPr>
      <w:r>
        <w:rPr>
          <w:rFonts w:ascii="Arial" w:cs="Arial" w:eastAsia="Arial" w:hAnsi="Arial"/>
          <w:sz w:val="18"/>
          <w:szCs w:val="18"/>
          <w:color w:val="auto"/>
        </w:rPr>
        <w:t>This percentage reflects issuer repurchases of shares of Class A common stock during 2018, and a resulting reduction in the number of outstanding shares of Class A common stock.</w:t>
      </w:r>
    </w:p>
    <w:p>
      <w:pPr>
        <w:spacing w:after="0" w:line="197"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12"/>
          </w:cols>
          <w:pgMar w:left="248" w:top="611" w:right="23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t>Item 1.</w:t>
      </w:r>
    </w:p>
    <w:p>
      <w:pPr>
        <w:spacing w:after="0" w:line="229" w:lineRule="exact"/>
        <w:rPr>
          <w:sz w:val="20"/>
          <w:szCs w:val="20"/>
          <w:color w:val="auto"/>
        </w:rPr>
      </w:pPr>
    </w:p>
    <w:p>
      <w:pPr>
        <w:jc w:val="right"/>
        <w:ind w:left="1300" w:right="8039" w:hanging="644"/>
        <w:spacing w:after="0" w:line="563" w:lineRule="auto"/>
        <w:tabs>
          <w:tab w:leader="none" w:pos="1031" w:val="left"/>
        </w:tabs>
        <w:numPr>
          <w:ilvl w:val="0"/>
          <w:numId w:val="7"/>
        </w:numPr>
        <w:rPr>
          <w:rFonts w:ascii="Arial" w:cs="Arial" w:eastAsia="Arial" w:hAnsi="Arial"/>
          <w:sz w:val="16"/>
          <w:szCs w:val="16"/>
          <w:color w:val="auto"/>
        </w:rPr>
      </w:pPr>
      <w:r>
        <w:rPr>
          <w:rFonts w:ascii="Arial" w:cs="Arial" w:eastAsia="Arial" w:hAnsi="Arial"/>
          <w:sz w:val="16"/>
          <w:szCs w:val="16"/>
          <w:color w:val="auto"/>
        </w:rPr>
        <w:t>Name of Issuer: Nelnet, Inc.</w:t>
      </w:r>
    </w:p>
    <w:p>
      <w:pPr>
        <w:spacing w:after="0" w:line="1" w:lineRule="exact"/>
        <w:rPr>
          <w:rFonts w:ascii="Arial" w:cs="Arial" w:eastAsia="Arial" w:hAnsi="Arial"/>
          <w:sz w:val="16"/>
          <w:szCs w:val="16"/>
          <w:color w:val="auto"/>
        </w:rPr>
      </w:pPr>
    </w:p>
    <w:p>
      <w:pPr>
        <w:ind w:left="1040" w:hanging="384"/>
        <w:spacing w:after="0"/>
        <w:tabs>
          <w:tab w:leader="none" w:pos="10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Address of Issuer’s Principal Executive Offices:</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121 South 13th Street</w:t>
      </w:r>
    </w:p>
    <w:p>
      <w:pPr>
        <w:spacing w:after="0" w:line="2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Suite 100</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Lincoln, Nebraska 68508</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w:t>
      </w:r>
    </w:p>
    <w:p>
      <w:pPr>
        <w:spacing w:after="0" w:line="229" w:lineRule="exact"/>
        <w:rPr>
          <w:sz w:val="20"/>
          <w:szCs w:val="20"/>
          <w:color w:val="auto"/>
        </w:rPr>
      </w:pPr>
    </w:p>
    <w:p>
      <w:pPr>
        <w:ind w:left="660"/>
        <w:spacing w:after="0"/>
        <w:tabs>
          <w:tab w:leader="none" w:pos="1020" w:val="left"/>
        </w:tabs>
        <w:rPr>
          <w:sz w:val="20"/>
          <w:szCs w:val="20"/>
          <w:color w:val="auto"/>
        </w:rPr>
      </w:pPr>
      <w:r>
        <w:rPr>
          <w:rFonts w:ascii="Arial" w:cs="Arial" w:eastAsia="Arial" w:hAnsi="Arial"/>
          <w:sz w:val="18"/>
          <w:szCs w:val="18"/>
          <w:color w:val="auto"/>
        </w:rPr>
        <w:t>(a)</w:t>
      </w:r>
      <w:r>
        <w:rPr>
          <w:sz w:val="20"/>
          <w:szCs w:val="20"/>
          <w:color w:val="auto"/>
        </w:rPr>
        <w:tab/>
      </w:r>
      <w:r>
        <w:rPr>
          <w:rFonts w:ascii="Arial" w:cs="Arial" w:eastAsia="Arial" w:hAnsi="Arial"/>
          <w:sz w:val="16"/>
          <w:szCs w:val="16"/>
          <w:color w:val="auto"/>
        </w:rPr>
        <w:t>Name of Person Filing:</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Whitetail Rock Capital Management, LLC</w:t>
      </w:r>
    </w:p>
    <w:p>
      <w:pPr>
        <w:spacing w:after="0" w:line="225" w:lineRule="exact"/>
        <w:rPr>
          <w:sz w:val="20"/>
          <w:szCs w:val="20"/>
          <w:color w:val="auto"/>
        </w:rPr>
      </w:pPr>
    </w:p>
    <w:p>
      <w:pPr>
        <w:ind w:left="1300" w:hanging="644"/>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Address of Principal Business Office or, if none, Residence:</w:t>
      </w:r>
    </w:p>
    <w:p>
      <w:pPr>
        <w:spacing w:after="0" w:line="225" w:lineRule="exact"/>
        <w:rPr>
          <w:rFonts w:ascii="Arial" w:cs="Arial" w:eastAsia="Arial" w:hAnsi="Arial"/>
          <w:sz w:val="18"/>
          <w:szCs w:val="18"/>
          <w:color w:val="auto"/>
        </w:rPr>
      </w:pPr>
    </w:p>
    <w:p>
      <w:pPr>
        <w:ind w:left="1300" w:right="7359"/>
        <w:spacing w:after="0" w:line="258" w:lineRule="auto"/>
        <w:rPr>
          <w:rFonts w:ascii="Arial" w:cs="Arial" w:eastAsia="Arial" w:hAnsi="Arial"/>
          <w:sz w:val="18"/>
          <w:szCs w:val="18"/>
          <w:color w:val="auto"/>
        </w:rPr>
      </w:pPr>
      <w:r>
        <w:rPr>
          <w:rFonts w:ascii="Arial" w:cs="Arial" w:eastAsia="Arial" w:hAnsi="Arial"/>
          <w:sz w:val="18"/>
          <w:szCs w:val="18"/>
          <w:color w:val="auto"/>
        </w:rPr>
        <w:t>121 South 13th Street Suite 100</w:t>
      </w:r>
    </w:p>
    <w:p>
      <w:pPr>
        <w:spacing w:after="0" w:line="1"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Lincoln, Nebraska 68508</w:t>
      </w:r>
    </w:p>
    <w:p>
      <w:pPr>
        <w:spacing w:after="0" w:line="210" w:lineRule="exact"/>
        <w:rPr>
          <w:rFonts w:ascii="Arial" w:cs="Arial" w:eastAsia="Arial" w:hAnsi="Arial"/>
          <w:sz w:val="18"/>
          <w:szCs w:val="18"/>
          <w:color w:val="auto"/>
        </w:rPr>
      </w:pPr>
    </w:p>
    <w:p>
      <w:pPr>
        <w:ind w:left="1300" w:hanging="644"/>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Citizenship:</w:t>
      </w:r>
    </w:p>
    <w:p>
      <w:pPr>
        <w:spacing w:after="0" w:line="225"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Nebraska</w:t>
      </w:r>
    </w:p>
    <w:p>
      <w:pPr>
        <w:spacing w:after="0" w:line="225" w:lineRule="exact"/>
        <w:rPr>
          <w:sz w:val="20"/>
          <w:szCs w:val="20"/>
          <w:color w:val="auto"/>
        </w:rPr>
      </w:pPr>
    </w:p>
    <w:p>
      <w:pPr>
        <w:ind w:left="1960" w:right="6539" w:hanging="1304"/>
        <w:spacing w:after="0" w:line="563" w:lineRule="auto"/>
        <w:tabs>
          <w:tab w:leader="none" w:pos="1312" w:val="left"/>
        </w:tabs>
        <w:numPr>
          <w:ilvl w:val="0"/>
          <w:numId w:val="9"/>
        </w:numPr>
        <w:rPr>
          <w:rFonts w:ascii="Arial" w:cs="Arial" w:eastAsia="Arial" w:hAnsi="Arial"/>
          <w:sz w:val="16"/>
          <w:szCs w:val="16"/>
          <w:color w:val="auto"/>
        </w:rPr>
      </w:pPr>
      <w:r>
        <w:rPr>
          <w:rFonts w:ascii="Arial" w:cs="Arial" w:eastAsia="Arial" w:hAnsi="Arial"/>
          <w:sz w:val="16"/>
          <w:szCs w:val="16"/>
          <w:color w:val="auto"/>
        </w:rPr>
        <w:t>Title of Class of Securities: Class A Common Stock</w:t>
      </w:r>
    </w:p>
    <w:p>
      <w:pPr>
        <w:spacing w:after="0" w:line="1" w:lineRule="exact"/>
        <w:rPr>
          <w:rFonts w:ascii="Arial" w:cs="Arial" w:eastAsia="Arial" w:hAnsi="Arial"/>
          <w:sz w:val="16"/>
          <w:szCs w:val="16"/>
          <w:color w:val="auto"/>
        </w:rPr>
      </w:pPr>
    </w:p>
    <w:p>
      <w:pPr>
        <w:ind w:left="1300" w:hanging="644"/>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CUSIP Number:</w:t>
      </w:r>
    </w:p>
    <w:p>
      <w:pPr>
        <w:spacing w:after="0" w:line="225"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64031N 10 8</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3. If this statement is filed pursuant to §§ 240.13d-1(b) or 240.13d-2(b) or (c), check whether the person filing is a:</w:t>
      </w:r>
    </w:p>
    <w:p>
      <w:pPr>
        <w:spacing w:after="0" w:line="241" w:lineRule="exact"/>
        <w:rPr>
          <w:sz w:val="20"/>
          <w:szCs w:val="20"/>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  Broker or dealer registered under section 15 of the Act (15 U.S.C. 78o);</w:t>
      </w:r>
    </w:p>
    <w:p>
      <w:pPr>
        <w:spacing w:after="0" w:line="225" w:lineRule="exact"/>
        <w:rPr>
          <w:rFonts w:ascii="Arial" w:cs="Arial" w:eastAsia="Arial" w:hAnsi="Arial"/>
          <w:sz w:val="18"/>
          <w:szCs w:val="18"/>
          <w:color w:val="auto"/>
        </w:rPr>
      </w:pPr>
    </w:p>
    <w:p>
      <w:pPr>
        <w:ind w:left="1040" w:hanging="384"/>
        <w:spacing w:after="0"/>
        <w:tabs>
          <w:tab w:leader="none" w:pos="10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  Bank as defined in section 3(a)(6) of the Act (15 U.S.C. 78c);</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  Insurance company as defined in section 3(a)(19) of the Act (15 U.S.C. 78c);</w:t>
      </w:r>
    </w:p>
    <w:p>
      <w:pPr>
        <w:spacing w:after="0" w:line="225" w:lineRule="exact"/>
        <w:rPr>
          <w:sz w:val="20"/>
          <w:szCs w:val="20"/>
          <w:color w:val="auto"/>
        </w:rPr>
      </w:pPr>
    </w:p>
    <w:p>
      <w:pPr>
        <w:ind w:left="660"/>
        <w:spacing w:after="0"/>
        <w:tabs>
          <w:tab w:leader="none" w:pos="1940" w:val="left"/>
        </w:tabs>
        <w:rPr>
          <w:sz w:val="20"/>
          <w:szCs w:val="20"/>
          <w:color w:val="auto"/>
        </w:rPr>
      </w:pPr>
      <w:r>
        <w:rPr>
          <w:rFonts w:ascii="Arial" w:cs="Arial" w:eastAsia="Arial" w:hAnsi="Arial"/>
          <w:sz w:val="18"/>
          <w:szCs w:val="18"/>
          <w:color w:val="auto"/>
        </w:rPr>
        <w:t>(d) [ ]</w:t>
      </w:r>
      <w:r>
        <w:rPr>
          <w:sz w:val="20"/>
          <w:szCs w:val="20"/>
          <w:color w:val="auto"/>
        </w:rPr>
        <w:tab/>
      </w:r>
      <w:r>
        <w:rPr>
          <w:rFonts w:ascii="Arial" w:cs="Arial" w:eastAsia="Arial" w:hAnsi="Arial"/>
          <w:sz w:val="16"/>
          <w:szCs w:val="16"/>
          <w:color w:val="auto"/>
        </w:rPr>
        <w:t>Investment company registered under section 8 of the Investment Company Act of 1940 (15 U.S.C. 80a-8);</w:t>
      </w:r>
    </w:p>
    <w:p>
      <w:pPr>
        <w:spacing w:after="0" w:line="225" w:lineRule="exact"/>
        <w:rPr>
          <w:sz w:val="20"/>
          <w:szCs w:val="20"/>
          <w:color w:val="auto"/>
        </w:rPr>
      </w:pPr>
    </w:p>
    <w:p>
      <w:pPr>
        <w:ind w:left="1300" w:hanging="644"/>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[X]  An investment adviser in accordance with § 240.13d-1(b)(1)(ii)(E);</w:t>
      </w:r>
    </w:p>
    <w:p>
      <w:pPr>
        <w:spacing w:after="0" w:line="225" w:lineRule="exact"/>
        <w:rPr>
          <w:sz w:val="20"/>
          <w:szCs w:val="20"/>
          <w:color w:val="auto"/>
        </w:rPr>
      </w:pPr>
    </w:p>
    <w:p>
      <w:pPr>
        <w:ind w:left="660"/>
        <w:spacing w:after="0"/>
        <w:tabs>
          <w:tab w:leader="none" w:pos="1940" w:val="left"/>
        </w:tabs>
        <w:rPr>
          <w:sz w:val="20"/>
          <w:szCs w:val="20"/>
          <w:color w:val="auto"/>
        </w:rPr>
      </w:pPr>
      <w:r>
        <w:rPr>
          <w:rFonts w:ascii="Arial" w:cs="Arial" w:eastAsia="Arial" w:hAnsi="Arial"/>
          <w:sz w:val="18"/>
          <w:szCs w:val="18"/>
          <w:color w:val="auto"/>
        </w:rPr>
        <w:t>(f) [ ]</w:t>
      </w:r>
      <w:r>
        <w:rPr>
          <w:sz w:val="20"/>
          <w:szCs w:val="20"/>
          <w:color w:val="auto"/>
        </w:rPr>
        <w:tab/>
      </w:r>
      <w:r>
        <w:rPr>
          <w:rFonts w:ascii="Arial" w:cs="Arial" w:eastAsia="Arial" w:hAnsi="Arial"/>
          <w:sz w:val="16"/>
          <w:szCs w:val="16"/>
          <w:color w:val="auto"/>
        </w:rPr>
        <w:t>An employee benefit plan or endowment fund in accordance with § 240.13d-1(b)(1)(ii)(F);</w:t>
      </w:r>
    </w:p>
    <w:p>
      <w:pPr>
        <w:spacing w:after="0" w:line="225" w:lineRule="exact"/>
        <w:rPr>
          <w:sz w:val="20"/>
          <w:szCs w:val="20"/>
          <w:color w:val="auto"/>
        </w:rPr>
      </w:pPr>
    </w:p>
    <w:p>
      <w:pPr>
        <w:ind w:left="1300" w:hanging="644"/>
        <w:spacing w:after="0"/>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 ]  A parent holding company or control person in accordance with § 240.13d-1(b)(1)(ii)(G);</w:t>
      </w:r>
    </w:p>
    <w:p>
      <w:pPr>
        <w:spacing w:after="0" w:line="225" w:lineRule="exact"/>
        <w:rPr>
          <w:rFonts w:ascii="Arial" w:cs="Arial" w:eastAsia="Arial" w:hAnsi="Arial"/>
          <w:sz w:val="18"/>
          <w:szCs w:val="18"/>
          <w:color w:val="auto"/>
        </w:rPr>
      </w:pPr>
    </w:p>
    <w:p>
      <w:pPr>
        <w:ind w:left="1960" w:hanging="1304"/>
        <w:spacing w:after="0"/>
        <w:tabs>
          <w:tab w:leader="none" w:pos="19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 ]  A savings associations as defined in Section 3(b) of the Federal Deposit Insurance Act (12 U.S.C. 1813);</w:t>
      </w:r>
    </w:p>
    <w:p>
      <w:pPr>
        <w:spacing w:after="0" w:line="275" w:lineRule="exact"/>
        <w:rPr>
          <w:rFonts w:ascii="Arial" w:cs="Arial" w:eastAsia="Arial" w:hAnsi="Arial"/>
          <w:sz w:val="16"/>
          <w:szCs w:val="16"/>
          <w:color w:val="auto"/>
        </w:rPr>
      </w:pPr>
    </w:p>
    <w:p>
      <w:pPr>
        <w:ind w:left="5800"/>
        <w:spacing w:after="0"/>
        <w:rPr>
          <w:rFonts w:ascii="Arial" w:cs="Arial" w:eastAsia="Arial" w:hAnsi="Arial"/>
          <w:sz w:val="16"/>
          <w:szCs w:val="16"/>
          <w:color w:val="auto"/>
        </w:rPr>
      </w:pPr>
      <w:r>
        <w:rPr>
          <w:rFonts w:ascii="Arial" w:cs="Arial" w:eastAsia="Arial" w:hAnsi="Arial"/>
          <w:sz w:val="18"/>
          <w:szCs w:val="18"/>
          <w:color w:val="auto"/>
        </w:rPr>
        <w:t>4</w:t>
      </w:r>
    </w:p>
    <w:p>
      <w:pPr>
        <w:sectPr>
          <w:pgSz w:w="11900" w:h="16838" w:orient="portrait"/>
          <w:cols w:equalWidth="0" w:num="1">
            <w:col w:w="10219"/>
          </w:cols>
          <w:pgMar w:left="240" w:top="1013" w:right="1440" w:bottom="1440" w:gutter="0" w:footer="0" w:header="0"/>
        </w:sectPr>
      </w:pPr>
    </w:p>
    <w:bookmarkStart w:id="4" w:name="page5"/>
    <w:bookmarkEnd w:id="4"/>
    <w:p>
      <w:pPr>
        <w:ind w:left="660"/>
        <w:spacing w:after="0"/>
        <w:rPr>
          <w:sz w:val="20"/>
          <w:szCs w:val="20"/>
          <w:color w:val="auto"/>
        </w:rPr>
      </w:pPr>
      <w:r>
        <w:rPr>
          <w:rFonts w:ascii="Arial" w:cs="Arial" w:eastAsia="Arial" w:hAnsi="Arial"/>
          <w:sz w:val="18"/>
          <w:szCs w:val="18"/>
          <w:color w:val="auto"/>
        </w:rPr>
        <w:t>(i) [ ]</w:t>
      </w:r>
    </w:p>
    <w:p>
      <w:pPr>
        <w:spacing w:after="0" w:line="20" w:lineRule="exact"/>
        <w:rPr>
          <w:sz w:val="20"/>
          <w:szCs w:val="20"/>
          <w:color w:val="auto"/>
        </w:rPr>
      </w:pPr>
      <w:r>
        <w:rPr>
          <w:sz w:val="20"/>
          <w:szCs w:val="20"/>
          <w:color w:val="auto"/>
        </w:rPr>
        <w:br w:type="column"/>
      </w:r>
    </w:p>
    <w:p>
      <w:pPr>
        <w:ind w:right="180"/>
        <w:spacing w:after="0" w:line="277" w:lineRule="auto"/>
        <w:rPr>
          <w:sz w:val="20"/>
          <w:szCs w:val="20"/>
          <w:color w:val="auto"/>
        </w:rPr>
      </w:pPr>
      <w:r>
        <w:rPr>
          <w:rFonts w:ascii="Arial" w:cs="Arial" w:eastAsia="Arial" w:hAnsi="Arial"/>
          <w:sz w:val="18"/>
          <w:szCs w:val="18"/>
          <w:color w:val="auto"/>
        </w:rPr>
        <w:t>A church plan that is excluded from the definition of an investment company under section 3(c)(14) of the Investment Company Act of 1940 (15 U.S.C. 80a-3);</w:t>
      </w:r>
    </w:p>
    <w:p>
      <w:pPr>
        <w:spacing w:after="0" w:line="170" w:lineRule="exact"/>
        <w:rPr>
          <w:sz w:val="20"/>
          <w:szCs w:val="20"/>
          <w:color w:val="auto"/>
        </w:rPr>
      </w:pPr>
    </w:p>
    <w:p>
      <w:pPr>
        <w:sectPr>
          <w:pgSz w:w="11900" w:h="16838" w:orient="portrait"/>
          <w:cols w:equalWidth="0" w:num="2">
            <w:col w:w="1240" w:space="720"/>
            <w:col w:w="9420"/>
          </w:cols>
          <w:pgMar w:left="240" w:top="800" w:right="279" w:bottom="1440" w:gutter="0" w:footer="0" w:header="0"/>
        </w:sectPr>
      </w:pPr>
    </w:p>
    <w:p>
      <w:pPr>
        <w:ind w:left="1300" w:hanging="644"/>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 ]  A non-U.S. institution in accordance with § 240.13d-1(b)(1)(ii)(J);</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 ]  Group, in accordance with § 240.13d-1(b)(1)(ii)(K).</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If filing as a non-U.S. institution in accordance with § 240.13d-1(b)(1)(ii)(J), please specify the type of institution: Not applicable.</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Ownership.</w:t>
      </w:r>
    </w:p>
    <w:p>
      <w:pPr>
        <w:spacing w:after="0" w:line="229" w:lineRule="exact"/>
        <w:rPr>
          <w:sz w:val="20"/>
          <w:szCs w:val="20"/>
          <w:color w:val="auto"/>
        </w:rPr>
      </w:pPr>
    </w:p>
    <w:p>
      <w:pPr>
        <w:ind w:left="660" w:right="9060" w:hanging="652"/>
        <w:spacing w:after="0" w:line="277" w:lineRule="auto"/>
        <w:tabs>
          <w:tab w:leader="none" w:pos="256" w:val="left"/>
        </w:tabs>
        <w:numPr>
          <w:ilvl w:val="0"/>
          <w:numId w:val="14"/>
        </w:numPr>
        <w:rPr>
          <w:rFonts w:ascii="Arial" w:cs="Arial" w:eastAsia="Arial" w:hAnsi="Arial"/>
          <w:sz w:val="18"/>
          <w:szCs w:val="18"/>
          <w:color w:val="auto"/>
        </w:rPr>
      </w:pPr>
      <w:r>
        <w:rPr>
          <w:rFonts w:ascii="Arial" w:cs="Arial" w:eastAsia="Arial" w:hAnsi="Arial"/>
          <w:sz w:val="18"/>
          <w:szCs w:val="18"/>
          <w:color w:val="auto"/>
        </w:rPr>
        <w:t>Amount beneficially owned: 5,943,449</w:t>
      </w:r>
    </w:p>
    <w:p>
      <w:pPr>
        <w:spacing w:after="0" w:line="170" w:lineRule="exact"/>
        <w:rPr>
          <w:rFonts w:ascii="Arial" w:cs="Arial" w:eastAsia="Arial" w:hAnsi="Arial"/>
          <w:sz w:val="18"/>
          <w:szCs w:val="18"/>
          <w:color w:val="auto"/>
        </w:rPr>
      </w:pPr>
    </w:p>
    <w:p>
      <w:pPr>
        <w:ind w:left="400" w:hanging="392"/>
        <w:spacing w:after="0"/>
        <w:tabs>
          <w:tab w:leader="none" w:pos="4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17.1%</w:t>
      </w:r>
    </w:p>
    <w:p>
      <w:pPr>
        <w:spacing w:after="0" w:line="211" w:lineRule="exact"/>
        <w:rPr>
          <w:sz w:val="20"/>
          <w:szCs w:val="20"/>
          <w:color w:val="auto"/>
        </w:rPr>
      </w:pPr>
    </w:p>
    <w:p>
      <w:pPr>
        <w:ind w:left="380" w:hanging="372"/>
        <w:spacing w:after="0"/>
        <w:tabs>
          <w:tab w:leader="none" w:pos="3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225" w:lineRule="exact"/>
        <w:rPr>
          <w:rFonts w:ascii="Arial" w:cs="Arial" w:eastAsia="Arial" w:hAnsi="Arial"/>
          <w:sz w:val="18"/>
          <w:szCs w:val="18"/>
          <w:color w:val="auto"/>
        </w:rPr>
      </w:pPr>
    </w:p>
    <w:p>
      <w:pPr>
        <w:ind w:left="3900" w:right="4920" w:hanging="651"/>
        <w:spacing w:after="0" w:line="277" w:lineRule="auto"/>
        <w:tabs>
          <w:tab w:leader="none" w:pos="3602" w:val="left"/>
        </w:tabs>
        <w:numPr>
          <w:ilvl w:val="1"/>
          <w:numId w:val="15"/>
        </w:numPr>
        <w:rPr>
          <w:rFonts w:ascii="Arial" w:cs="Arial" w:eastAsia="Arial" w:hAnsi="Arial"/>
          <w:sz w:val="18"/>
          <w:szCs w:val="18"/>
          <w:color w:val="auto"/>
        </w:rPr>
      </w:pPr>
      <w:r>
        <w:rPr>
          <w:rFonts w:ascii="Arial" w:cs="Arial" w:eastAsia="Arial" w:hAnsi="Arial"/>
          <w:sz w:val="18"/>
          <w:szCs w:val="18"/>
          <w:color w:val="auto"/>
        </w:rPr>
        <w:t>Sole power to vote or to direct the vote: 0 (1)</w:t>
      </w:r>
    </w:p>
    <w:p>
      <w:pPr>
        <w:spacing w:after="0" w:line="170" w:lineRule="exact"/>
        <w:rPr>
          <w:rFonts w:ascii="Arial" w:cs="Arial" w:eastAsia="Arial" w:hAnsi="Arial"/>
          <w:sz w:val="18"/>
          <w:szCs w:val="18"/>
          <w:color w:val="auto"/>
        </w:rPr>
      </w:pPr>
    </w:p>
    <w:p>
      <w:pPr>
        <w:ind w:left="3900" w:right="4700" w:hanging="651"/>
        <w:spacing w:after="0" w:line="277" w:lineRule="auto"/>
        <w:tabs>
          <w:tab w:leader="none" w:pos="3652" w:val="left"/>
        </w:tabs>
        <w:numPr>
          <w:ilvl w:val="1"/>
          <w:numId w:val="15"/>
        </w:numPr>
        <w:rPr>
          <w:rFonts w:ascii="Arial" w:cs="Arial" w:eastAsia="Arial" w:hAnsi="Arial"/>
          <w:sz w:val="18"/>
          <w:szCs w:val="18"/>
          <w:color w:val="auto"/>
        </w:rPr>
      </w:pPr>
      <w:r>
        <w:rPr>
          <w:rFonts w:ascii="Arial" w:cs="Arial" w:eastAsia="Arial" w:hAnsi="Arial"/>
          <w:sz w:val="18"/>
          <w:szCs w:val="18"/>
          <w:color w:val="auto"/>
        </w:rPr>
        <w:t>Shared power to vote or to direct the vote: 5,943,449 (2)</w:t>
      </w:r>
    </w:p>
    <w:p>
      <w:pPr>
        <w:spacing w:after="0" w:line="170" w:lineRule="exact"/>
        <w:rPr>
          <w:rFonts w:ascii="Arial" w:cs="Arial" w:eastAsia="Arial" w:hAnsi="Arial"/>
          <w:sz w:val="18"/>
          <w:szCs w:val="18"/>
          <w:color w:val="auto"/>
        </w:rPr>
      </w:pPr>
    </w:p>
    <w:p>
      <w:pPr>
        <w:ind w:left="3900" w:right="3920" w:hanging="651"/>
        <w:spacing w:after="0" w:line="277" w:lineRule="auto"/>
        <w:tabs>
          <w:tab w:leader="none" w:pos="3702" w:val="left"/>
        </w:tabs>
        <w:numPr>
          <w:ilvl w:val="1"/>
          <w:numId w:val="15"/>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0 (3)</w:t>
      </w:r>
    </w:p>
    <w:p>
      <w:pPr>
        <w:spacing w:after="0" w:line="170" w:lineRule="exact"/>
        <w:rPr>
          <w:rFonts w:ascii="Arial" w:cs="Arial" w:eastAsia="Arial" w:hAnsi="Arial"/>
          <w:sz w:val="18"/>
          <w:szCs w:val="18"/>
          <w:color w:val="auto"/>
        </w:rPr>
      </w:pPr>
    </w:p>
    <w:p>
      <w:pPr>
        <w:ind w:left="3900" w:right="3740" w:hanging="651"/>
        <w:spacing w:after="0" w:line="277" w:lineRule="auto"/>
        <w:tabs>
          <w:tab w:leader="none" w:pos="3692" w:val="left"/>
        </w:tabs>
        <w:numPr>
          <w:ilvl w:val="1"/>
          <w:numId w:val="15"/>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5,943,449 (4)</w:t>
      </w:r>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Ownership of Five Percent or Less of a Class</w:t>
      </w:r>
    </w:p>
    <w:p>
      <w:pPr>
        <w:spacing w:after="0" w:line="229"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 ].</w:t>
      </w:r>
    </w:p>
    <w:p>
      <w:pPr>
        <w:spacing w:after="0" w:line="383"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Ownership of More than Five Percent on Behalf of Another Person.</w:t>
      </w:r>
    </w:p>
    <w:p>
      <w:pPr>
        <w:spacing w:after="0" w:line="229"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The securities resulting in the filing of this Schedule by the reporting person, in its capacity as investment adviser, are held by the Trusts, which have the right to receive or the power to direct the receipt of dividends from, or the proceeds from the sale of, such securities. No individual Trust has such right with respect to more than five percent of the class of securities to which this Schedule relates.</w:t>
      </w:r>
    </w:p>
    <w:p>
      <w:pPr>
        <w:spacing w:after="0" w:line="393" w:lineRule="exact"/>
        <w:rPr>
          <w:sz w:val="20"/>
          <w:szCs w:val="20"/>
          <w:color w:val="auto"/>
        </w:rPr>
      </w:pPr>
    </w:p>
    <w:p>
      <w:pPr>
        <w:ind w:left="660" w:right="360" w:hanging="647"/>
        <w:spacing w:after="0" w:line="282" w:lineRule="auto"/>
        <w:rPr>
          <w:sz w:val="20"/>
          <w:szCs w:val="20"/>
          <w:color w:val="auto"/>
        </w:rPr>
      </w:pPr>
      <w:r>
        <w:rPr>
          <w:rFonts w:ascii="Arial" w:cs="Arial" w:eastAsia="Arial" w:hAnsi="Arial"/>
          <w:sz w:val="18"/>
          <w:szCs w:val="18"/>
          <w:b w:val="1"/>
          <w:bCs w:val="1"/>
          <w:color w:val="auto"/>
        </w:rPr>
        <w:t>Item 7. Identification and Classification of the Subsidiary Which Acquired the Security Being Reported on By the Parent Holding Company or Control Person</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37"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6"/>
          <w:szCs w:val="16"/>
          <w:b w:val="1"/>
          <w:bCs w:val="1"/>
          <w:color w:val="auto"/>
        </w:rPr>
        <w:t>Identification and Classification of Members of the Group</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68"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80"/>
          </w:cols>
          <w:pgMar w:left="240" w:top="800" w:right="279" w:bottom="1440" w:gutter="0" w:footer="0" w:header="0"/>
          <w:type w:val="continuous"/>
        </w:sectPr>
      </w:pPr>
    </w:p>
    <w:bookmarkStart w:id="5" w:name="page6"/>
    <w:bookmarkEnd w:id="5"/>
    <w:p>
      <w:pPr>
        <w:spacing w:after="0"/>
        <w:rPr>
          <w:sz w:val="20"/>
          <w:szCs w:val="20"/>
          <w:color w:val="auto"/>
        </w:rPr>
      </w:pPr>
      <w:r>
        <w:rPr>
          <w:rFonts w:ascii="Arial" w:cs="Arial" w:eastAsia="Arial" w:hAnsi="Arial"/>
          <w:sz w:val="18"/>
          <w:szCs w:val="18"/>
          <w:b w:val="1"/>
          <w:bCs w:val="1"/>
          <w:color w:val="auto"/>
        </w:rPr>
        <w:t>Item 9. Notice of Dissolution of Group</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 Certifications</w:t>
      </w:r>
    </w:p>
    <w:p>
      <w:pPr>
        <w:spacing w:after="0" w:line="229"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 240.14a-11.</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400" w:hanging="392"/>
        <w:spacing w:after="0"/>
        <w:tabs>
          <w:tab w:leader="none" w:pos="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See footnote for Row 5) above.</w:t>
      </w:r>
    </w:p>
    <w:p>
      <w:pPr>
        <w:spacing w:after="0" w:line="225" w:lineRule="exact"/>
        <w:rPr>
          <w:rFonts w:ascii="Arial" w:cs="Arial" w:eastAsia="Arial" w:hAnsi="Arial"/>
          <w:sz w:val="18"/>
          <w:szCs w:val="18"/>
          <w:color w:val="auto"/>
        </w:rPr>
      </w:pPr>
    </w:p>
    <w:p>
      <w:pPr>
        <w:ind w:left="400" w:hanging="392"/>
        <w:spacing w:after="0"/>
        <w:tabs>
          <w:tab w:leader="none" w:pos="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See footnotes for Row 6) above.</w:t>
      </w:r>
    </w:p>
    <w:p>
      <w:pPr>
        <w:spacing w:after="0" w:line="225" w:lineRule="exact"/>
        <w:rPr>
          <w:rFonts w:ascii="Arial" w:cs="Arial" w:eastAsia="Arial" w:hAnsi="Arial"/>
          <w:sz w:val="18"/>
          <w:szCs w:val="18"/>
          <w:color w:val="auto"/>
        </w:rPr>
      </w:pPr>
    </w:p>
    <w:p>
      <w:pPr>
        <w:ind w:left="400" w:hanging="392"/>
        <w:spacing w:after="0"/>
        <w:tabs>
          <w:tab w:leader="none" w:pos="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See footnote for Row 7) above.</w:t>
      </w:r>
    </w:p>
    <w:p>
      <w:pPr>
        <w:spacing w:after="0" w:line="225" w:lineRule="exact"/>
        <w:rPr>
          <w:rFonts w:ascii="Arial" w:cs="Arial" w:eastAsia="Arial" w:hAnsi="Arial"/>
          <w:sz w:val="18"/>
          <w:szCs w:val="18"/>
          <w:color w:val="auto"/>
        </w:rPr>
      </w:pPr>
    </w:p>
    <w:p>
      <w:pPr>
        <w:ind w:left="400" w:hanging="392"/>
        <w:spacing w:after="0"/>
        <w:tabs>
          <w:tab w:leader="none" w:pos="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See footnotes for Row 8) above.</w:t>
      </w:r>
    </w:p>
    <w:p>
      <w:pPr>
        <w:spacing w:after="0" w:line="252"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180"/>
          </w:cols>
          <w:pgMar w:left="240" w:top="796" w:right="479" w:bottom="1440" w:gutter="0" w:footer="0" w:header="0"/>
        </w:sectPr>
      </w:pPr>
    </w:p>
    <w:bookmarkStart w:id="6" w:name="page7"/>
    <w:bookmarkEnd w:id="6"/>
    <w:p>
      <w:pPr>
        <w:spacing w:after="0" w:line="5"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13, 2019</w:t>
      </w:r>
    </w:p>
    <w:p>
      <w:pPr>
        <w:spacing w:after="0" w:line="225"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WHITETAIL ROCK CAPITAL MANAGEMENT, LLC</w:t>
      </w:r>
    </w:p>
    <w:p>
      <w:pPr>
        <w:spacing w:after="0" w:line="200" w:lineRule="exact"/>
        <w:rPr>
          <w:sz w:val="20"/>
          <w:szCs w:val="20"/>
          <w:color w:val="auto"/>
        </w:rPr>
      </w:pPr>
    </w:p>
    <w:p>
      <w:pPr>
        <w:spacing w:after="0" w:line="241"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u w:val="single" w:color="auto"/>
          <w:color w:val="auto"/>
        </w:rPr>
        <w:t>/s/ Audra Hoffschneider</w:t>
      </w:r>
    </w:p>
    <w:p>
      <w:pPr>
        <w:spacing w:after="0" w:line="2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Name: Audra Hoffschneider</w:t>
      </w:r>
    </w:p>
    <w:p>
      <w:pPr>
        <w:spacing w:after="0" w:line="9"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Title: Attorney-in-Fact*</w:t>
      </w:r>
    </w:p>
    <w:p>
      <w:pPr>
        <w:spacing w:after="0" w:line="200" w:lineRule="exact"/>
        <w:rPr>
          <w:sz w:val="20"/>
          <w:szCs w:val="20"/>
          <w:color w:val="auto"/>
        </w:rPr>
      </w:pPr>
    </w:p>
    <w:p>
      <w:pPr>
        <w:spacing w:after="0" w:line="227" w:lineRule="exact"/>
        <w:rPr>
          <w:sz w:val="20"/>
          <w:szCs w:val="20"/>
          <w:color w:val="auto"/>
        </w:rPr>
      </w:pPr>
    </w:p>
    <w:p>
      <w:pPr>
        <w:ind w:left="5800" w:right="220" w:hanging="5792"/>
        <w:spacing w:after="0" w:line="810" w:lineRule="auto"/>
        <w:tabs>
          <w:tab w:leader="none" w:pos="137" w:val="left"/>
        </w:tabs>
        <w:numPr>
          <w:ilvl w:val="0"/>
          <w:numId w:val="17"/>
        </w:numPr>
        <w:rPr>
          <w:rFonts w:ascii="Arial" w:cs="Arial" w:eastAsia="Arial" w:hAnsi="Arial"/>
          <w:sz w:val="18"/>
          <w:szCs w:val="18"/>
          <w:color w:val="auto"/>
        </w:rPr>
      </w:pPr>
      <w:r>
        <w:rPr>
          <w:rFonts w:ascii="Arial" w:cs="Arial" w:eastAsia="Arial" w:hAnsi="Arial"/>
          <w:sz w:val="18"/>
          <w:szCs w:val="18"/>
          <w:color w:val="auto"/>
        </w:rPr>
        <w:t>Pursuant to the power of attorney filed on February 12, 2018 as an exhibit to amendment no. 7 to this statement and incorporated herein by reference. 7</w:t>
      </w:r>
    </w:p>
    <w:sectPr>
      <w:pgSz w:w="11900" w:h="16838" w:orient="portrait"/>
      <w:cols w:equalWidth="0" w:num="1">
        <w:col w:w="11120"/>
      </w:cols>
      <w:pgMar w:left="240" w:top="1440" w:right="5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BD062C2"/>
    <w:multiLevelType w:val="hybridMultilevel"/>
    <w:lvl w:ilvl="0">
      <w:lvlJc w:val="left"/>
      <w:lvlText w:val="["/>
      <w:numFmt w:val="bullet"/>
      <w:start w:val="1"/>
    </w:lvl>
  </w:abstractNum>
  <w:abstractNum w:abstractNumId="1">
    <w:nsid w:val="12200854"/>
    <w:multiLevelType w:val="hybridMultilevel"/>
    <w:lvl w:ilvl="0">
      <w:lvlJc w:val="left"/>
      <w:lvlText w:val="*"/>
      <w:numFmt w:val="bullet"/>
      <w:start w:val="1"/>
    </w:lvl>
  </w:abstractNum>
  <w:abstractNum w:abstractNumId="2">
    <w:nsid w:val="4DB127F8"/>
    <w:multiLevelType w:val="hybridMultilevel"/>
    <w:lvl w:ilvl="0">
      <w:lvlJc w:val="left"/>
      <w:lvlText w:val="%1)"/>
      <w:numFmt w:val="decimal"/>
      <w:start w:val="1"/>
    </w:lvl>
    <w:lvl w:ilvl="1">
      <w:lvlJc w:val="left"/>
      <w:lvlText w:val="(%2)"/>
      <w:numFmt w:val="lowerLetter"/>
      <w:start w:val="1"/>
    </w:lvl>
  </w:abstractNum>
  <w:abstractNum w:abstractNumId="3">
    <w:nsid w:val="216231B"/>
    <w:multiLevelType w:val="hybridMultilevel"/>
    <w:lvl w:ilvl="0">
      <w:lvlJc w:val="left"/>
      <w:lvlText w:val="%1)"/>
      <w:numFmt w:val="decimal"/>
      <w:start w:val="10"/>
    </w:lvl>
  </w:abstractNum>
  <w:abstractNum w:abstractNumId="4">
    <w:nsid w:val="1F16E9E8"/>
    <w:multiLevelType w:val="hybridMultilevel"/>
    <w:lvl w:ilvl="0">
      <w:lvlJc w:val="left"/>
      <w:lvlText w:val="(%1)"/>
      <w:numFmt w:val="decimal"/>
      <w:start w:val="1"/>
    </w:lvl>
  </w:abstractNum>
  <w:abstractNum w:abstractNumId="5">
    <w:nsid w:val="1190CDE7"/>
    <w:multiLevelType w:val="hybridMultilevel"/>
    <w:lvl w:ilvl="0">
      <w:lvlJc w:val="left"/>
      <w:lvlText w:val="(%1)"/>
      <w:numFmt w:val="decimal"/>
      <w:start w:val="3"/>
    </w:lvl>
  </w:abstractNum>
  <w:abstractNum w:abstractNumId="6">
    <w:nsid w:val="66EF438D"/>
    <w:multiLevelType w:val="hybridMultilevel"/>
    <w:lvl w:ilvl="0">
      <w:lvlJc w:val="left"/>
      <w:lvlText w:val="(%1)"/>
      <w:numFmt w:val="lowerLetter"/>
      <w:start w:val="1"/>
    </w:lvl>
  </w:abstractNum>
  <w:abstractNum w:abstractNumId="7">
    <w:nsid w:val="140E0F76"/>
    <w:multiLevelType w:val="hybridMultilevel"/>
    <w:lvl w:ilvl="0">
      <w:lvlJc w:val="left"/>
      <w:lvlText w:val="(%1)"/>
      <w:numFmt w:val="lowerLetter"/>
      <w:start w:val="2"/>
    </w:lvl>
  </w:abstractNum>
  <w:abstractNum w:abstractNumId="8">
    <w:nsid w:val="3352255A"/>
    <w:multiLevelType w:val="hybridMultilevel"/>
    <w:lvl w:ilvl="0">
      <w:lvlJc w:val="left"/>
      <w:lvlText w:val="(%1)"/>
      <w:numFmt w:val="lowerLetter"/>
      <w:start w:val="4"/>
    </w:lvl>
  </w:abstractNum>
  <w:abstractNum w:abstractNumId="9">
    <w:nsid w:val="109CF92E"/>
    <w:multiLevelType w:val="hybridMultilevel"/>
    <w:lvl w:ilvl="0">
      <w:lvlJc w:val="left"/>
      <w:lvlText w:val="(%1)"/>
      <w:numFmt w:val="lowerLetter"/>
      <w:start w:val="1"/>
    </w:lvl>
  </w:abstractNum>
  <w:abstractNum w:abstractNumId="10">
    <w:nsid w:val="DED7263"/>
    <w:multiLevelType w:val="hybridMultilevel"/>
    <w:lvl w:ilvl="0">
      <w:lvlJc w:val="left"/>
      <w:lvlText w:val="(%1)"/>
      <w:numFmt w:val="lowerLetter"/>
      <w:start w:val="5"/>
    </w:lvl>
  </w:abstractNum>
  <w:abstractNum w:abstractNumId="11">
    <w:nsid w:val="7FDCC233"/>
    <w:multiLevelType w:val="hybridMultilevel"/>
    <w:lvl w:ilvl="0">
      <w:lvlJc w:val="left"/>
      <w:lvlText w:val="(%1)"/>
      <w:numFmt w:val="lowerLetter"/>
      <w:start w:val="7"/>
    </w:lvl>
  </w:abstractNum>
  <w:abstractNum w:abstractNumId="12">
    <w:nsid w:val="1BEFD79F"/>
    <w:multiLevelType w:val="hybridMultilevel"/>
    <w:lvl w:ilvl="0">
      <w:lvlJc w:val="left"/>
      <w:lvlText w:val="(%1)"/>
      <w:numFmt w:val="lowerLetter"/>
      <w:start w:val="10"/>
    </w:lvl>
  </w:abstractNum>
  <w:abstractNum w:abstractNumId="13">
    <w:nsid w:val="41A7C4C9"/>
    <w:multiLevelType w:val="hybridMultilevel"/>
    <w:lvl w:ilvl="0">
      <w:lvlJc w:val="left"/>
      <w:lvlText w:val="(%1)"/>
      <w:numFmt w:val="lowerLetter"/>
      <w:start w:val="1"/>
    </w:lvl>
  </w:abstractNum>
  <w:abstractNum w:abstractNumId="14">
    <w:nsid w:val="6B68079A"/>
    <w:multiLevelType w:val="hybridMultilevel"/>
    <w:lvl w:ilvl="0">
      <w:lvlJc w:val="left"/>
      <w:lvlText w:val="(%1)"/>
      <w:numFmt w:val="lowerLetter"/>
      <w:start w:val="3"/>
    </w:lvl>
    <w:lvl w:ilvl="1">
      <w:lvlJc w:val="left"/>
      <w:lvlText w:val="(%2)"/>
      <w:numFmt w:val="lowerRoman"/>
      <w:start w:val="1"/>
    </w:lvl>
  </w:abstractNum>
  <w:abstractNum w:abstractNumId="15">
    <w:nsid w:val="4E6AFB66"/>
    <w:multiLevelType w:val="hybridMultilevel"/>
    <w:lvl w:ilvl="0">
      <w:lvlJc w:val="left"/>
      <w:lvlText w:val="(%1)"/>
      <w:numFmt w:val="decimal"/>
      <w:start w:val="1"/>
    </w:lvl>
  </w:abstractNum>
  <w:abstractNum w:abstractNumId="16">
    <w:nsid w:val="25E45D32"/>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2020-01-09T20:25:21Z</dcterms:created>
  <dcterms:modified xsi:type="dcterms:W3CDTF">2020-01-09T20:25:21Z</dcterms:modified>
</cp:coreProperties>
</file>