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SCHEDULE 13G</w:t>
      </w:r>
    </w:p>
    <w:p>
      <w:pPr>
        <w:spacing w:after="0" w:line="21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(Amendment No. 1)*</w:t>
      </w:r>
    </w:p>
    <w:p>
      <w:pPr>
        <w:spacing w:after="0" w:line="200" w:lineRule="exact"/>
        <w:rPr>
          <w:sz w:val="24"/>
          <w:szCs w:val="24"/>
          <w:color w:val="auto"/>
        </w:rPr>
      </w:pPr>
    </w:p>
    <w:p>
      <w:pPr>
        <w:spacing w:after="0" w:line="245" w:lineRule="exact"/>
        <w:rPr>
          <w:sz w:val="24"/>
          <w:szCs w:val="24"/>
          <w:color w:val="auto"/>
        </w:rPr>
      </w:pPr>
    </w:p>
    <w:p>
      <w:pPr>
        <w:jc w:val="center"/>
        <w:ind w:right="-119"/>
        <w:spacing w:after="0"/>
        <w:rPr>
          <w:sz w:val="20"/>
          <w:szCs w:val="20"/>
          <w:color w:val="auto"/>
        </w:rPr>
      </w:pPr>
      <w:r>
        <w:rPr>
          <w:rFonts w:ascii="Arial" w:cs="Arial" w:eastAsia="Arial" w:hAnsi="Arial"/>
          <w:sz w:val="18"/>
          <w:szCs w:val="18"/>
          <w:u w:val="single" w:color="auto"/>
          <w:color w:val="auto"/>
        </w:rPr>
        <w:t>Nelnet, Inc.</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(Name of Issuer)</w:t>
      </w:r>
    </w:p>
    <w:p>
      <w:pPr>
        <w:spacing w:after="0" w:line="200" w:lineRule="exact"/>
        <w:rPr>
          <w:sz w:val="24"/>
          <w:szCs w:val="24"/>
          <w:color w:val="auto"/>
        </w:rPr>
      </w:pPr>
    </w:p>
    <w:p>
      <w:pPr>
        <w:spacing w:after="0" w:line="227" w:lineRule="exact"/>
        <w:rPr>
          <w:sz w:val="24"/>
          <w:szCs w:val="24"/>
          <w:color w:val="auto"/>
        </w:rPr>
      </w:pPr>
    </w:p>
    <w:p>
      <w:pPr>
        <w:jc w:val="center"/>
        <w:ind w:right="-119"/>
        <w:spacing w:after="0"/>
        <w:rPr>
          <w:sz w:val="20"/>
          <w:szCs w:val="20"/>
          <w:color w:val="auto"/>
        </w:rPr>
      </w:pPr>
      <w:r>
        <w:rPr>
          <w:rFonts w:ascii="Arial" w:cs="Arial" w:eastAsia="Arial" w:hAnsi="Arial"/>
          <w:sz w:val="18"/>
          <w:szCs w:val="18"/>
          <w:u w:val="single" w:color="auto"/>
          <w:color w:val="auto"/>
        </w:rPr>
        <w:t>Class A Common Stock</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(Title of Class of Securities)</w:t>
      </w:r>
    </w:p>
    <w:p>
      <w:pPr>
        <w:spacing w:after="0" w:line="200" w:lineRule="exact"/>
        <w:rPr>
          <w:sz w:val="24"/>
          <w:szCs w:val="24"/>
          <w:color w:val="auto"/>
        </w:rPr>
      </w:pPr>
    </w:p>
    <w:p>
      <w:pPr>
        <w:spacing w:after="0" w:line="227" w:lineRule="exact"/>
        <w:rPr>
          <w:sz w:val="24"/>
          <w:szCs w:val="24"/>
          <w:color w:val="auto"/>
        </w:rPr>
      </w:pPr>
    </w:p>
    <w:p>
      <w:pPr>
        <w:jc w:val="center"/>
        <w:ind w:right="-119"/>
        <w:spacing w:after="0"/>
        <w:rPr>
          <w:sz w:val="20"/>
          <w:szCs w:val="20"/>
          <w:color w:val="auto"/>
        </w:rPr>
      </w:pPr>
      <w:r>
        <w:rPr>
          <w:rFonts w:ascii="Arial" w:cs="Arial" w:eastAsia="Arial" w:hAnsi="Arial"/>
          <w:sz w:val="18"/>
          <w:szCs w:val="18"/>
          <w:u w:val="single" w:color="auto"/>
          <w:color w:val="auto"/>
        </w:rPr>
        <w:t>64031N 10 8</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(CUSIP Number)</w:t>
      </w:r>
    </w:p>
    <w:p>
      <w:pPr>
        <w:spacing w:after="0" w:line="200" w:lineRule="exact"/>
        <w:rPr>
          <w:sz w:val="24"/>
          <w:szCs w:val="24"/>
          <w:color w:val="auto"/>
        </w:rPr>
      </w:pPr>
    </w:p>
    <w:p>
      <w:pPr>
        <w:spacing w:after="0" w:line="227" w:lineRule="exact"/>
        <w:rPr>
          <w:sz w:val="24"/>
          <w:szCs w:val="24"/>
          <w:color w:val="auto"/>
        </w:rPr>
      </w:pPr>
    </w:p>
    <w:p>
      <w:pPr>
        <w:jc w:val="center"/>
        <w:ind w:right="-119"/>
        <w:spacing w:after="0"/>
        <w:rPr>
          <w:sz w:val="20"/>
          <w:szCs w:val="20"/>
          <w:color w:val="auto"/>
        </w:rPr>
      </w:pPr>
      <w:r>
        <w:rPr>
          <w:rFonts w:ascii="Arial" w:cs="Arial" w:eastAsia="Arial" w:hAnsi="Arial"/>
          <w:sz w:val="18"/>
          <w:szCs w:val="18"/>
          <w:u w:val="single" w:color="auto"/>
          <w:color w:val="auto"/>
        </w:rPr>
        <w:t>12/31/2013</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(Date of Event Which Requires Filing of this Statement)</w:t>
      </w: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ind w:left="660"/>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ind w:left="760" w:hanging="104"/>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Rule 13d-1(b)</w:t>
      </w:r>
    </w:p>
    <w:p>
      <w:pPr>
        <w:spacing w:after="0" w:line="23" w:lineRule="exact"/>
        <w:rPr>
          <w:rFonts w:ascii="Arial" w:cs="Arial" w:eastAsia="Arial" w:hAnsi="Arial"/>
          <w:sz w:val="18"/>
          <w:szCs w:val="18"/>
          <w:color w:val="auto"/>
        </w:rPr>
      </w:pPr>
    </w:p>
    <w:p>
      <w:pPr>
        <w:ind w:left="760" w:hanging="104"/>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Rule 13d-1(c)</w:t>
      </w:r>
    </w:p>
    <w:p>
      <w:pPr>
        <w:spacing w:after="0" w:line="9" w:lineRule="exact"/>
        <w:rPr>
          <w:rFonts w:ascii="Arial" w:cs="Arial" w:eastAsia="Arial" w:hAnsi="Arial"/>
          <w:sz w:val="18"/>
          <w:szCs w:val="18"/>
          <w:color w:val="auto"/>
        </w:rPr>
      </w:pPr>
    </w:p>
    <w:p>
      <w:pPr>
        <w:ind w:left="760" w:hanging="104"/>
        <w:spacing w:after="0"/>
        <w:tabs>
          <w:tab w:leader="none" w:pos="760" w:val="left"/>
        </w:tabs>
        <w:numPr>
          <w:ilvl w:val="0"/>
          <w:numId w:val="1"/>
        </w:numPr>
        <w:rPr>
          <w:rFonts w:ascii="Arial" w:cs="Arial" w:eastAsia="Arial" w:hAnsi="Arial"/>
          <w:sz w:val="18"/>
          <w:szCs w:val="18"/>
          <w:color w:val="auto"/>
        </w:rPr>
      </w:pPr>
      <w:r>
        <w:rPr>
          <w:rFonts w:ascii="Arial" w:cs="Arial" w:eastAsia="Arial" w:hAnsi="Arial"/>
          <w:sz w:val="18"/>
          <w:szCs w:val="18"/>
          <w:color w:val="auto"/>
        </w:rPr>
        <w:t>X ]  Rule 13d-1(d)</w:t>
      </w:r>
    </w:p>
    <w:p>
      <w:pPr>
        <w:spacing w:after="0" w:line="211" w:lineRule="exact"/>
        <w:rPr>
          <w:sz w:val="24"/>
          <w:szCs w:val="24"/>
          <w:color w:val="auto"/>
        </w:rPr>
      </w:pPr>
    </w:p>
    <w:p>
      <w:pPr>
        <w:ind w:firstLine="656"/>
        <w:spacing w:after="0" w:line="277" w:lineRule="auto"/>
        <w:tabs>
          <w:tab w:leader="none" w:pos="783"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ind w:right="40" w:firstLine="648"/>
        <w:spacing w:after="0" w:line="256" w:lineRule="auto"/>
        <w:rPr>
          <w:sz w:val="20"/>
          <w:szCs w:val="20"/>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rPr>
          <w:sz w:val="20"/>
          <w:szCs w:val="20"/>
          <w:color w:val="auto"/>
        </w:rPr>
      </w:pPr>
      <w:r>
        <w:rPr>
          <w:rFonts w:ascii="Arial" w:cs="Arial" w:eastAsia="Arial" w:hAnsi="Arial"/>
          <w:sz w:val="18"/>
          <w:szCs w:val="18"/>
          <w:color w:val="auto"/>
        </w:rPr>
        <w:t>CUSIP No. 64031N 10 8</w:t>
      </w:r>
    </w:p>
    <w:p>
      <w:pPr>
        <w:sectPr>
          <w:pgSz w:w="11900" w:h="16838" w:orient="portrait"/>
          <w:cols w:equalWidth="0" w:num="1">
            <w:col w:w="11320"/>
          </w:cols>
          <w:pgMar w:left="240" w:top="1440" w:right="339" w:bottom="1440" w:gutter="0" w:footer="0" w:header="0"/>
        </w:sectPr>
      </w:pPr>
    </w:p>
    <w:bookmarkStart w:id="1" w:name="page2"/>
    <w:bookmarkEnd w:id="1"/>
    <w:p>
      <w:pPr>
        <w:ind w:left="660" w:right="8620" w:hanging="652"/>
        <w:spacing w:after="0" w:line="624" w:lineRule="auto"/>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Names of Reporting Persons. Muhleisen, Angela L.</w:t>
      </w:r>
    </w:p>
    <w:p>
      <w:pPr>
        <w:spacing w:after="0" w:line="123" w:lineRule="exact"/>
        <w:rPr>
          <w:rFonts w:ascii="Arial" w:cs="Arial" w:eastAsia="Arial" w:hAnsi="Arial"/>
          <w:sz w:val="16"/>
          <w:szCs w:val="16"/>
          <w:color w:val="auto"/>
        </w:rPr>
      </w:pPr>
    </w:p>
    <w:p>
      <w:pPr>
        <w:ind w:left="660" w:hanging="652"/>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Check the Appropriate Box if a Member of a Group (See Instructions)</w:t>
      </w:r>
    </w:p>
    <w:p>
      <w:pPr>
        <w:spacing w:after="0" w:line="225" w:lineRule="exact"/>
        <w:rPr>
          <w:rFonts w:ascii="Arial" w:cs="Arial" w:eastAsia="Arial" w:hAnsi="Arial"/>
          <w:sz w:val="18"/>
          <w:szCs w:val="18"/>
          <w:color w:val="auto"/>
        </w:rPr>
      </w:pPr>
    </w:p>
    <w:p>
      <w:pPr>
        <w:ind w:left="1040" w:hanging="384"/>
        <w:spacing w:after="0"/>
        <w:tabs>
          <w:tab w:leader="none" w:pos="1040" w:val="left"/>
        </w:tabs>
        <w:numPr>
          <w:ilvl w:val="1"/>
          <w:numId w:val="3"/>
        </w:numPr>
        <w:rPr>
          <w:rFonts w:ascii="Arial" w:cs="Arial" w:eastAsia="Arial" w:hAnsi="Arial"/>
          <w:sz w:val="18"/>
          <w:szCs w:val="18"/>
          <w:color w:val="auto"/>
        </w:rPr>
      </w:pPr>
      <w:r>
        <w:rPr>
          <w:rFonts w:ascii="Arial" w:cs="Arial" w:eastAsia="Arial" w:hAnsi="Arial"/>
          <w:sz w:val="18"/>
          <w:szCs w:val="18"/>
          <w:color w:val="auto"/>
        </w:rPr>
        <w:t>[ ]</w:t>
      </w:r>
    </w:p>
    <w:p>
      <w:pPr>
        <w:spacing w:after="0" w:line="23" w:lineRule="exact"/>
        <w:rPr>
          <w:rFonts w:ascii="Arial" w:cs="Arial" w:eastAsia="Arial" w:hAnsi="Arial"/>
          <w:sz w:val="18"/>
          <w:szCs w:val="18"/>
          <w:color w:val="auto"/>
        </w:rPr>
      </w:pPr>
    </w:p>
    <w:p>
      <w:pPr>
        <w:ind w:left="1040" w:hanging="384"/>
        <w:spacing w:after="0"/>
        <w:tabs>
          <w:tab w:leader="none" w:pos="1040" w:val="left"/>
        </w:tabs>
        <w:numPr>
          <w:ilvl w:val="1"/>
          <w:numId w:val="3"/>
        </w:numPr>
        <w:rPr>
          <w:rFonts w:ascii="Arial" w:cs="Arial" w:eastAsia="Arial" w:hAnsi="Arial"/>
          <w:sz w:val="18"/>
          <w:szCs w:val="18"/>
          <w:color w:val="auto"/>
        </w:rPr>
      </w:pPr>
      <w:r>
        <w:rPr>
          <w:rFonts w:ascii="Arial" w:cs="Arial" w:eastAsia="Arial" w:hAnsi="Arial"/>
          <w:sz w:val="18"/>
          <w:szCs w:val="18"/>
          <w:color w:val="auto"/>
        </w:rPr>
        <w:t>[ ]</w:t>
      </w:r>
    </w:p>
    <w:p>
      <w:pPr>
        <w:spacing w:after="0" w:line="200" w:lineRule="exact"/>
        <w:rPr>
          <w:rFonts w:ascii="Arial" w:cs="Arial" w:eastAsia="Arial" w:hAnsi="Arial"/>
          <w:sz w:val="18"/>
          <w:szCs w:val="18"/>
          <w:color w:val="auto"/>
        </w:rPr>
      </w:pPr>
    </w:p>
    <w:p>
      <w:pPr>
        <w:spacing w:after="0" w:line="226" w:lineRule="exact"/>
        <w:rPr>
          <w:rFonts w:ascii="Arial" w:cs="Arial" w:eastAsia="Arial" w:hAnsi="Arial"/>
          <w:sz w:val="18"/>
          <w:szCs w:val="18"/>
          <w:color w:val="auto"/>
        </w:rPr>
      </w:pPr>
    </w:p>
    <w:p>
      <w:pPr>
        <w:ind w:left="340" w:hanging="332"/>
        <w:spacing w:after="0"/>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0" w:lineRule="exact"/>
        <w:rPr>
          <w:rFonts w:ascii="Arial" w:cs="Arial" w:eastAsia="Arial" w:hAnsi="Arial"/>
          <w:sz w:val="18"/>
          <w:szCs w:val="18"/>
          <w:color w:val="auto"/>
        </w:rPr>
      </w:pPr>
    </w:p>
    <w:p>
      <w:pPr>
        <w:spacing w:after="0" w:line="241" w:lineRule="exact"/>
        <w:rPr>
          <w:rFonts w:ascii="Arial" w:cs="Arial" w:eastAsia="Arial" w:hAnsi="Arial"/>
          <w:sz w:val="18"/>
          <w:szCs w:val="18"/>
          <w:color w:val="auto"/>
        </w:rPr>
      </w:pPr>
    </w:p>
    <w:p>
      <w:pPr>
        <w:ind w:left="660" w:hanging="652"/>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20" w:type="dxa"/>
            <w:vAlign w:val="bottom"/>
          </w:tcPr>
          <w:p>
            <w:pPr>
              <w:spacing w:after="0"/>
              <w:rPr>
                <w:sz w:val="20"/>
                <w:szCs w:val="20"/>
                <w:color w:val="auto"/>
              </w:rPr>
            </w:pPr>
          </w:p>
        </w:tc>
        <w:tc>
          <w:tcPr>
            <w:tcW w:w="1980" w:type="dxa"/>
            <w:vAlign w:val="bottom"/>
          </w:tcPr>
          <w:p>
            <w:pPr>
              <w:ind w:left="480"/>
              <w:spacing w:after="0"/>
              <w:rPr>
                <w:sz w:val="20"/>
                <w:szCs w:val="20"/>
                <w:color w:val="auto"/>
              </w:rPr>
            </w:pPr>
            <w:r>
              <w:rPr>
                <w:rFonts w:ascii="Arial" w:cs="Arial" w:eastAsia="Arial" w:hAnsi="Arial"/>
                <w:sz w:val="18"/>
                <w:szCs w:val="18"/>
                <w:color w:val="auto"/>
              </w:rPr>
              <w:t>United States</w:t>
            </w:r>
          </w:p>
        </w:tc>
        <w:tc>
          <w:tcPr>
            <w:tcW w:w="620" w:type="dxa"/>
            <w:vAlign w:val="bottom"/>
          </w:tcPr>
          <w:p>
            <w:pPr>
              <w:spacing w:after="0"/>
              <w:rPr>
                <w:sz w:val="20"/>
                <w:szCs w:val="20"/>
                <w:color w:val="auto"/>
              </w:rPr>
            </w:pPr>
          </w:p>
        </w:tc>
        <w:tc>
          <w:tcPr>
            <w:tcW w:w="1360" w:type="dxa"/>
            <w:vAlign w:val="bottom"/>
          </w:tcPr>
          <w:p>
            <w:pPr>
              <w:spacing w:after="0"/>
              <w:rPr>
                <w:sz w:val="20"/>
                <w:szCs w:val="20"/>
                <w:color w:val="auto"/>
              </w:rPr>
            </w:pPr>
          </w:p>
        </w:tc>
      </w:tr>
      <w:tr>
        <w:trPr>
          <w:trHeight w:val="634"/>
        </w:trPr>
        <w:tc>
          <w:tcPr>
            <w:tcW w:w="820" w:type="dxa"/>
            <w:vAlign w:val="bottom"/>
          </w:tcPr>
          <w:p>
            <w:pPr>
              <w:spacing w:after="0"/>
              <w:rPr>
                <w:sz w:val="20"/>
                <w:szCs w:val="20"/>
                <w:color w:val="auto"/>
              </w:rPr>
            </w:pPr>
            <w:r>
              <w:rPr>
                <w:rFonts w:ascii="Arial" w:cs="Arial" w:eastAsia="Arial" w:hAnsi="Arial"/>
                <w:sz w:val="18"/>
                <w:szCs w:val="18"/>
                <w:color w:val="auto"/>
                <w:w w:val="95"/>
              </w:rPr>
              <w:t>Number of</w:t>
            </w:r>
          </w:p>
        </w:tc>
        <w:tc>
          <w:tcPr>
            <w:tcW w:w="1980" w:type="dxa"/>
            <w:vAlign w:val="bottom"/>
          </w:tcPr>
          <w:p>
            <w:pPr>
              <w:jc w:val="center"/>
              <w:ind w:right="30"/>
              <w:spacing w:after="0"/>
              <w:rPr>
                <w:sz w:val="20"/>
                <w:szCs w:val="20"/>
                <w:color w:val="auto"/>
              </w:rPr>
            </w:pPr>
            <w:r>
              <w:rPr>
                <w:rFonts w:ascii="Arial" w:cs="Arial" w:eastAsia="Arial" w:hAnsi="Arial"/>
                <w:sz w:val="18"/>
                <w:szCs w:val="18"/>
                <w:color w:val="auto"/>
                <w:w w:val="91"/>
              </w:rPr>
              <w:t>5) Sole Voting Power</w:t>
            </w:r>
          </w:p>
        </w:tc>
        <w:tc>
          <w:tcPr>
            <w:tcW w:w="1980" w:type="dxa"/>
            <w:vAlign w:val="bottom"/>
            <w:gridSpan w:val="2"/>
          </w:tcPr>
          <w:p>
            <w:pPr>
              <w:jc w:val="right"/>
              <w:ind w:right="590"/>
              <w:spacing w:after="0"/>
              <w:rPr>
                <w:sz w:val="20"/>
                <w:szCs w:val="20"/>
                <w:color w:val="auto"/>
              </w:rPr>
            </w:pPr>
            <w:r>
              <w:rPr>
                <w:rFonts w:ascii="Arial" w:cs="Arial" w:eastAsia="Arial" w:hAnsi="Arial"/>
                <w:sz w:val="18"/>
                <w:szCs w:val="18"/>
                <w:color w:val="auto"/>
                <w:w w:val="95"/>
              </w:rPr>
              <w:t>2,538,084 (1) (3)</w:t>
            </w:r>
          </w:p>
        </w:tc>
      </w:tr>
      <w:tr>
        <w:trPr>
          <w:trHeight w:val="216"/>
        </w:trPr>
        <w:tc>
          <w:tcPr>
            <w:tcW w:w="820" w:type="dxa"/>
            <w:vAlign w:val="bottom"/>
          </w:tcPr>
          <w:p>
            <w:pPr>
              <w:spacing w:after="0"/>
              <w:rPr>
                <w:sz w:val="20"/>
                <w:szCs w:val="20"/>
                <w:color w:val="auto"/>
              </w:rPr>
            </w:pPr>
            <w:r>
              <w:rPr>
                <w:rFonts w:ascii="Arial" w:cs="Arial" w:eastAsia="Arial" w:hAnsi="Arial"/>
                <w:sz w:val="18"/>
                <w:szCs w:val="18"/>
                <w:color w:val="auto"/>
              </w:rPr>
              <w:t>Shares</w:t>
            </w:r>
          </w:p>
        </w:tc>
        <w:tc>
          <w:tcPr>
            <w:tcW w:w="1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16"/>
        </w:trPr>
        <w:tc>
          <w:tcPr>
            <w:tcW w:w="2800" w:type="dxa"/>
            <w:vAlign w:val="bottom"/>
            <w:gridSpan w:val="2"/>
          </w:tcPr>
          <w:p>
            <w:pPr>
              <w:spacing w:after="0"/>
              <w:rPr>
                <w:sz w:val="20"/>
                <w:szCs w:val="20"/>
                <w:color w:val="auto"/>
              </w:rPr>
            </w:pPr>
            <w:r>
              <w:rPr>
                <w:rFonts w:ascii="Arial" w:cs="Arial" w:eastAsia="Arial" w:hAnsi="Arial"/>
                <w:sz w:val="18"/>
                <w:szCs w:val="18"/>
                <w:color w:val="auto"/>
              </w:rPr>
              <w:t>Beneficially</w:t>
            </w:r>
          </w:p>
        </w:tc>
        <w:tc>
          <w:tcPr>
            <w:tcW w:w="62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Arial" w:cs="Arial" w:eastAsia="Arial" w:hAnsi="Arial"/>
                <w:sz w:val="18"/>
                <w:szCs w:val="18"/>
                <w:color w:val="auto"/>
              </w:rPr>
              <w:t>Owned</w:t>
            </w:r>
          </w:p>
        </w:tc>
        <w:tc>
          <w:tcPr>
            <w:tcW w:w="1980" w:type="dxa"/>
            <w:vAlign w:val="bottom"/>
          </w:tcPr>
          <w:p>
            <w:pPr>
              <w:jc w:val="center"/>
              <w:ind w:right="50"/>
              <w:spacing w:after="0"/>
              <w:rPr>
                <w:sz w:val="20"/>
                <w:szCs w:val="20"/>
                <w:color w:val="auto"/>
              </w:rPr>
            </w:pPr>
            <w:r>
              <w:rPr>
                <w:rFonts w:ascii="Arial" w:cs="Arial" w:eastAsia="Arial" w:hAnsi="Arial"/>
                <w:sz w:val="18"/>
                <w:szCs w:val="18"/>
                <w:color w:val="auto"/>
                <w:w w:val="89"/>
              </w:rPr>
              <w:t>6) Shared Voting Power</w:t>
            </w:r>
          </w:p>
        </w:tc>
        <w:tc>
          <w:tcPr>
            <w:tcW w:w="1980" w:type="dxa"/>
            <w:vAlign w:val="bottom"/>
            <w:gridSpan w:val="2"/>
          </w:tcPr>
          <w:p>
            <w:pPr>
              <w:jc w:val="right"/>
              <w:ind w:right="490"/>
              <w:spacing w:after="0"/>
              <w:rPr>
                <w:sz w:val="20"/>
                <w:szCs w:val="20"/>
                <w:color w:val="auto"/>
              </w:rPr>
            </w:pPr>
            <w:r>
              <w:rPr>
                <w:rFonts w:ascii="Arial" w:cs="Arial" w:eastAsia="Arial" w:hAnsi="Arial"/>
                <w:sz w:val="18"/>
                <w:szCs w:val="18"/>
                <w:color w:val="auto"/>
              </w:rPr>
              <w:t>5,372,966 (2) (3)</w:t>
            </w:r>
          </w:p>
        </w:tc>
      </w:tr>
      <w:tr>
        <w:trPr>
          <w:trHeight w:val="216"/>
        </w:trPr>
        <w:tc>
          <w:tcPr>
            <w:tcW w:w="820" w:type="dxa"/>
            <w:vAlign w:val="bottom"/>
          </w:tcPr>
          <w:p>
            <w:pPr>
              <w:spacing w:after="0"/>
              <w:rPr>
                <w:sz w:val="20"/>
                <w:szCs w:val="20"/>
                <w:color w:val="auto"/>
              </w:rPr>
            </w:pPr>
            <w:r>
              <w:rPr>
                <w:rFonts w:ascii="Arial" w:cs="Arial" w:eastAsia="Arial" w:hAnsi="Arial"/>
                <w:sz w:val="18"/>
                <w:szCs w:val="18"/>
                <w:color w:val="auto"/>
              </w:rPr>
              <w:t>by Each</w:t>
            </w:r>
          </w:p>
        </w:tc>
        <w:tc>
          <w:tcPr>
            <w:tcW w:w="1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Arial" w:cs="Arial" w:eastAsia="Arial" w:hAnsi="Arial"/>
                <w:sz w:val="18"/>
                <w:szCs w:val="18"/>
                <w:color w:val="auto"/>
              </w:rPr>
              <w:t>Reporting</w:t>
            </w:r>
          </w:p>
        </w:tc>
        <w:tc>
          <w:tcPr>
            <w:tcW w:w="1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Arial" w:cs="Arial" w:eastAsia="Arial" w:hAnsi="Arial"/>
                <w:sz w:val="18"/>
                <w:szCs w:val="18"/>
                <w:color w:val="auto"/>
              </w:rPr>
              <w:t>Person</w:t>
            </w:r>
          </w:p>
        </w:tc>
        <w:tc>
          <w:tcPr>
            <w:tcW w:w="1980" w:type="dxa"/>
            <w:vAlign w:val="bottom"/>
          </w:tcPr>
          <w:p>
            <w:pPr>
              <w:ind w:left="40"/>
              <w:spacing w:after="0"/>
              <w:rPr>
                <w:sz w:val="20"/>
                <w:szCs w:val="20"/>
                <w:color w:val="auto"/>
              </w:rPr>
            </w:pPr>
            <w:r>
              <w:rPr>
                <w:rFonts w:ascii="Arial" w:cs="Arial" w:eastAsia="Arial" w:hAnsi="Arial"/>
                <w:sz w:val="18"/>
                <w:szCs w:val="18"/>
                <w:color w:val="auto"/>
                <w:w w:val="93"/>
              </w:rPr>
              <w:t>7) Sole Dispositive Power</w:t>
            </w:r>
          </w:p>
        </w:tc>
        <w:tc>
          <w:tcPr>
            <w:tcW w:w="1980" w:type="dxa"/>
            <w:vAlign w:val="bottom"/>
            <w:gridSpan w:val="2"/>
          </w:tcPr>
          <w:p>
            <w:pPr>
              <w:jc w:val="right"/>
              <w:ind w:right="350"/>
              <w:spacing w:after="0"/>
              <w:rPr>
                <w:sz w:val="20"/>
                <w:szCs w:val="20"/>
                <w:color w:val="auto"/>
              </w:rPr>
            </w:pPr>
            <w:r>
              <w:rPr>
                <w:rFonts w:ascii="Arial" w:cs="Arial" w:eastAsia="Arial" w:hAnsi="Arial"/>
                <w:sz w:val="18"/>
                <w:szCs w:val="18"/>
                <w:color w:val="auto"/>
              </w:rPr>
              <w:t>2,538,084 (1) (3)</w:t>
            </w:r>
          </w:p>
        </w:tc>
      </w:tr>
      <w:tr>
        <w:trPr>
          <w:trHeight w:val="230"/>
        </w:trPr>
        <w:tc>
          <w:tcPr>
            <w:tcW w:w="820" w:type="dxa"/>
            <w:vAlign w:val="bottom"/>
          </w:tcPr>
          <w:p>
            <w:pPr>
              <w:spacing w:after="0"/>
              <w:rPr>
                <w:sz w:val="20"/>
                <w:szCs w:val="20"/>
                <w:color w:val="auto"/>
              </w:rPr>
            </w:pPr>
            <w:r>
              <w:rPr>
                <w:rFonts w:ascii="Arial" w:cs="Arial" w:eastAsia="Arial" w:hAnsi="Arial"/>
                <w:sz w:val="18"/>
                <w:szCs w:val="18"/>
                <w:color w:val="auto"/>
              </w:rPr>
              <w:t>With:</w:t>
            </w:r>
          </w:p>
        </w:tc>
        <w:tc>
          <w:tcPr>
            <w:tcW w:w="19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360" w:type="dxa"/>
            <w:vAlign w:val="bottom"/>
          </w:tcPr>
          <w:p>
            <w:pPr>
              <w:spacing w:after="0"/>
              <w:rPr>
                <w:sz w:val="20"/>
                <w:szCs w:val="20"/>
                <w:color w:val="auto"/>
              </w:rPr>
            </w:pPr>
          </w:p>
        </w:tc>
      </w:tr>
      <w:tr>
        <w:trPr>
          <w:trHeight w:val="432"/>
        </w:trPr>
        <w:tc>
          <w:tcPr>
            <w:tcW w:w="820" w:type="dxa"/>
            <w:vAlign w:val="bottom"/>
          </w:tcPr>
          <w:p>
            <w:pPr>
              <w:spacing w:after="0"/>
              <w:rPr>
                <w:sz w:val="24"/>
                <w:szCs w:val="24"/>
                <w:color w:val="auto"/>
              </w:rPr>
            </w:pPr>
          </w:p>
        </w:tc>
        <w:tc>
          <w:tcPr>
            <w:tcW w:w="2600" w:type="dxa"/>
            <w:vAlign w:val="bottom"/>
            <w:gridSpan w:val="2"/>
          </w:tcPr>
          <w:p>
            <w:pPr>
              <w:ind w:left="480"/>
              <w:spacing w:after="0"/>
              <w:rPr>
                <w:sz w:val="20"/>
                <w:szCs w:val="20"/>
                <w:color w:val="auto"/>
              </w:rPr>
            </w:pPr>
            <w:r>
              <w:rPr>
                <w:rFonts w:ascii="Arial" w:cs="Arial" w:eastAsia="Arial" w:hAnsi="Arial"/>
                <w:sz w:val="18"/>
                <w:szCs w:val="18"/>
                <w:color w:val="auto"/>
                <w:w w:val="92"/>
              </w:rPr>
              <w:t>8) Shared Dispositive Power</w:t>
            </w:r>
          </w:p>
        </w:tc>
        <w:tc>
          <w:tcPr>
            <w:tcW w:w="1360" w:type="dxa"/>
            <w:vAlign w:val="bottom"/>
          </w:tcPr>
          <w:p>
            <w:pPr>
              <w:jc w:val="right"/>
              <w:spacing w:after="0"/>
              <w:rPr>
                <w:sz w:val="20"/>
                <w:szCs w:val="20"/>
                <w:color w:val="auto"/>
              </w:rPr>
            </w:pPr>
            <w:r>
              <w:rPr>
                <w:rFonts w:ascii="Arial" w:cs="Arial" w:eastAsia="Arial" w:hAnsi="Arial"/>
                <w:sz w:val="18"/>
                <w:szCs w:val="18"/>
                <w:color w:val="auto"/>
                <w:w w:val="99"/>
              </w:rPr>
              <w:t>5,372,966 (2) (3)</w:t>
            </w:r>
          </w:p>
        </w:tc>
      </w:tr>
      <w:tr>
        <w:trPr>
          <w:trHeight w:val="634"/>
        </w:trPr>
        <w:tc>
          <w:tcPr>
            <w:tcW w:w="2800" w:type="dxa"/>
            <w:vAlign w:val="bottom"/>
            <w:gridSpan w:val="2"/>
          </w:tcPr>
          <w:p>
            <w:pPr>
              <w:spacing w:after="0"/>
              <w:rPr>
                <w:sz w:val="20"/>
                <w:szCs w:val="20"/>
                <w:color w:val="auto"/>
              </w:rPr>
            </w:pPr>
            <w:r>
              <w:rPr>
                <w:rFonts w:ascii="Arial" w:cs="Arial" w:eastAsia="Arial" w:hAnsi="Arial"/>
                <w:sz w:val="18"/>
                <w:szCs w:val="18"/>
                <w:color w:val="auto"/>
              </w:rPr>
              <w:t>9)  Aggregate Amount Beneficially</w:t>
            </w:r>
          </w:p>
        </w:tc>
        <w:tc>
          <w:tcPr>
            <w:tcW w:w="62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230"/>
        </w:trPr>
        <w:tc>
          <w:tcPr>
            <w:tcW w:w="3420" w:type="dxa"/>
            <w:vAlign w:val="bottom"/>
            <w:gridSpan w:val="3"/>
          </w:tcPr>
          <w:p>
            <w:pPr>
              <w:ind w:left="660"/>
              <w:spacing w:after="0"/>
              <w:rPr>
                <w:sz w:val="20"/>
                <w:szCs w:val="20"/>
                <w:color w:val="auto"/>
              </w:rPr>
            </w:pPr>
            <w:r>
              <w:rPr>
                <w:rFonts w:ascii="Arial" w:cs="Arial" w:eastAsia="Arial" w:hAnsi="Arial"/>
                <w:sz w:val="18"/>
                <w:szCs w:val="18"/>
                <w:color w:val="auto"/>
              </w:rPr>
              <w:t>Owned by Each Reporting Person</w:t>
            </w:r>
          </w:p>
        </w:tc>
        <w:tc>
          <w:tcPr>
            <w:tcW w:w="1360" w:type="dxa"/>
            <w:vAlign w:val="bottom"/>
          </w:tcPr>
          <w:p>
            <w:pPr>
              <w:jc w:val="right"/>
              <w:ind w:right="250"/>
              <w:spacing w:after="0"/>
              <w:rPr>
                <w:sz w:val="20"/>
                <w:szCs w:val="20"/>
                <w:color w:val="auto"/>
              </w:rPr>
            </w:pPr>
            <w:r>
              <w:rPr>
                <w:rFonts w:ascii="Arial" w:cs="Arial" w:eastAsia="Arial" w:hAnsi="Arial"/>
                <w:sz w:val="18"/>
                <w:szCs w:val="18"/>
                <w:color w:val="auto"/>
                <w:w w:val="93"/>
              </w:rPr>
              <w:t>7,911,050 (3)</w:t>
            </w:r>
          </w:p>
        </w:tc>
      </w:tr>
    </w:tbl>
    <w:p>
      <w:pPr>
        <w:spacing w:after="0" w:line="200" w:lineRule="exact"/>
        <w:rPr>
          <w:sz w:val="20"/>
          <w:szCs w:val="20"/>
          <w:color w:val="auto"/>
        </w:rPr>
      </w:pPr>
    </w:p>
    <w:p>
      <w:pPr>
        <w:spacing w:after="0" w:line="218" w:lineRule="exact"/>
        <w:rPr>
          <w:sz w:val="20"/>
          <w:szCs w:val="20"/>
          <w:color w:val="auto"/>
        </w:rPr>
      </w:pPr>
    </w:p>
    <w:p>
      <w:pPr>
        <w:ind w:left="660" w:hanging="652"/>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Check if the Aggregate Amount in Row (9)</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0" w:type="dxa"/>
            <w:vAlign w:val="bottom"/>
          </w:tcPr>
          <w:p>
            <w:pPr>
              <w:spacing w:after="0"/>
              <w:rPr>
                <w:sz w:val="20"/>
                <w:szCs w:val="20"/>
                <w:color w:val="auto"/>
              </w:rPr>
            </w:pPr>
          </w:p>
        </w:tc>
        <w:tc>
          <w:tcPr>
            <w:tcW w:w="3620" w:type="dxa"/>
            <w:vAlign w:val="bottom"/>
          </w:tcPr>
          <w:p>
            <w:pPr>
              <w:ind w:left="320"/>
              <w:spacing w:after="0"/>
              <w:rPr>
                <w:sz w:val="20"/>
                <w:szCs w:val="20"/>
                <w:color w:val="auto"/>
              </w:rPr>
            </w:pPr>
            <w:r>
              <w:rPr>
                <w:rFonts w:ascii="Arial" w:cs="Arial" w:eastAsia="Arial" w:hAnsi="Arial"/>
                <w:sz w:val="18"/>
                <w:szCs w:val="18"/>
                <w:color w:val="auto"/>
                <w:w w:val="95"/>
              </w:rPr>
              <w:t>Excludes Certain Shares (See Instructions)</w:t>
            </w:r>
          </w:p>
        </w:tc>
        <w:tc>
          <w:tcPr>
            <w:tcW w:w="1160" w:type="dxa"/>
            <w:vAlign w:val="bottom"/>
          </w:tcPr>
          <w:p>
            <w:pPr>
              <w:jc w:val="center"/>
              <w:ind w:right="450"/>
              <w:spacing w:after="0"/>
              <w:rPr>
                <w:sz w:val="20"/>
                <w:szCs w:val="20"/>
                <w:color w:val="auto"/>
              </w:rPr>
            </w:pPr>
            <w:r>
              <w:rPr>
                <w:rFonts w:ascii="Arial" w:cs="Arial" w:eastAsia="Arial" w:hAnsi="Arial"/>
                <w:sz w:val="18"/>
                <w:szCs w:val="18"/>
                <w:color w:val="auto"/>
              </w:rPr>
              <w:t>[ X ]</w:t>
            </w:r>
          </w:p>
        </w:tc>
      </w:tr>
      <w:tr>
        <w:trPr>
          <w:trHeight w:val="634"/>
        </w:trPr>
        <w:tc>
          <w:tcPr>
            <w:tcW w:w="340" w:type="dxa"/>
            <w:vAlign w:val="bottom"/>
          </w:tcPr>
          <w:p>
            <w:pPr>
              <w:jc w:val="right"/>
              <w:ind w:right="10"/>
              <w:spacing w:after="0"/>
              <w:rPr>
                <w:sz w:val="20"/>
                <w:szCs w:val="20"/>
                <w:color w:val="auto"/>
              </w:rPr>
            </w:pPr>
            <w:r>
              <w:rPr>
                <w:rFonts w:ascii="Arial" w:cs="Arial" w:eastAsia="Arial" w:hAnsi="Arial"/>
                <w:sz w:val="18"/>
                <w:szCs w:val="18"/>
                <w:color w:val="auto"/>
                <w:w w:val="84"/>
              </w:rPr>
              <w:t>11)</w:t>
            </w:r>
          </w:p>
        </w:tc>
        <w:tc>
          <w:tcPr>
            <w:tcW w:w="4780" w:type="dxa"/>
            <w:vAlign w:val="bottom"/>
            <w:gridSpan w:val="2"/>
          </w:tcPr>
          <w:p>
            <w:pPr>
              <w:ind w:left="80"/>
              <w:spacing w:after="0"/>
              <w:rPr>
                <w:sz w:val="20"/>
                <w:szCs w:val="20"/>
                <w:color w:val="auto"/>
              </w:rPr>
            </w:pPr>
            <w:r>
              <w:rPr>
                <w:rFonts w:ascii="Arial" w:cs="Arial" w:eastAsia="Arial" w:hAnsi="Arial"/>
                <w:sz w:val="18"/>
                <w:szCs w:val="18"/>
                <w:color w:val="auto"/>
                <w:w w:val="92"/>
              </w:rPr>
              <w:t>Percent of Class Represented by Amount in Row (9)  21.9% (4)</w:t>
            </w:r>
          </w:p>
        </w:tc>
      </w:tr>
      <w:tr>
        <w:trPr>
          <w:trHeight w:val="648"/>
        </w:trPr>
        <w:tc>
          <w:tcPr>
            <w:tcW w:w="340" w:type="dxa"/>
            <w:vAlign w:val="bottom"/>
          </w:tcPr>
          <w:p>
            <w:pPr>
              <w:jc w:val="right"/>
              <w:ind w:right="10"/>
              <w:spacing w:after="0"/>
              <w:rPr>
                <w:sz w:val="20"/>
                <w:szCs w:val="20"/>
                <w:color w:val="auto"/>
              </w:rPr>
            </w:pPr>
            <w:r>
              <w:rPr>
                <w:rFonts w:ascii="Arial" w:cs="Arial" w:eastAsia="Arial" w:hAnsi="Arial"/>
                <w:sz w:val="18"/>
                <w:szCs w:val="18"/>
                <w:color w:val="auto"/>
                <w:w w:val="84"/>
              </w:rPr>
              <w:t>12)</w:t>
            </w:r>
          </w:p>
        </w:tc>
        <w:tc>
          <w:tcPr>
            <w:tcW w:w="3620" w:type="dxa"/>
            <w:vAlign w:val="bottom"/>
          </w:tcPr>
          <w:p>
            <w:pPr>
              <w:ind w:left="320"/>
              <w:spacing w:after="0"/>
              <w:rPr>
                <w:sz w:val="20"/>
                <w:szCs w:val="20"/>
                <w:color w:val="auto"/>
              </w:rPr>
            </w:pPr>
            <w:r>
              <w:rPr>
                <w:rFonts w:ascii="Arial" w:cs="Arial" w:eastAsia="Arial" w:hAnsi="Arial"/>
                <w:sz w:val="18"/>
                <w:szCs w:val="18"/>
                <w:color w:val="auto"/>
                <w:w w:val="93"/>
              </w:rPr>
              <w:t>Type of Reporting Person (See Instructions)</w:t>
            </w:r>
          </w:p>
        </w:tc>
        <w:tc>
          <w:tcPr>
            <w:tcW w:w="1160" w:type="dxa"/>
            <w:vAlign w:val="bottom"/>
          </w:tcPr>
          <w:p>
            <w:pPr>
              <w:jc w:val="center"/>
              <w:ind w:right="430"/>
              <w:spacing w:after="0"/>
              <w:rPr>
                <w:sz w:val="20"/>
                <w:szCs w:val="20"/>
                <w:color w:val="auto"/>
              </w:rPr>
            </w:pPr>
            <w:r>
              <w:rPr>
                <w:rFonts w:ascii="Arial" w:cs="Arial" w:eastAsia="Arial" w:hAnsi="Arial"/>
                <w:sz w:val="18"/>
                <w:szCs w:val="18"/>
                <w:color w:val="auto"/>
              </w:rPr>
              <w:t>IN</w:t>
            </w:r>
          </w:p>
        </w:tc>
      </w:tr>
    </w:tbl>
    <w:p>
      <w:pPr>
        <w:spacing w:after="0" w:line="200" w:lineRule="exact"/>
        <w:rPr>
          <w:sz w:val="20"/>
          <w:szCs w:val="20"/>
          <w:color w:val="auto"/>
        </w:rPr>
      </w:pPr>
    </w:p>
    <w:p>
      <w:pPr>
        <w:spacing w:after="0" w:line="218" w:lineRule="exact"/>
        <w:rPr>
          <w:sz w:val="20"/>
          <w:szCs w:val="20"/>
          <w:color w:val="auto"/>
        </w:rPr>
      </w:pPr>
    </w:p>
    <w:p>
      <w:pPr>
        <w:ind w:left="500" w:right="220" w:hanging="492"/>
        <w:spacing w:after="0" w:line="277" w:lineRule="auto"/>
        <w:tabs>
          <w:tab w:leader="none" w:pos="50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Reflects a distribution during 2013 from the grantor retained annuity trust (“GRAT”) established by the reporting person in 2003, which distribution occurred before its annuity term expired in 2013.</w:t>
      </w:r>
    </w:p>
    <w:p>
      <w:pPr>
        <w:spacing w:after="0" w:line="170" w:lineRule="exact"/>
        <w:rPr>
          <w:rFonts w:ascii="Arial" w:cs="Arial" w:eastAsia="Arial" w:hAnsi="Arial"/>
          <w:sz w:val="18"/>
          <w:szCs w:val="18"/>
          <w:color w:val="auto"/>
        </w:rPr>
      </w:pPr>
    </w:p>
    <w:p>
      <w:pPr>
        <w:ind w:left="500" w:hanging="492"/>
        <w:spacing w:after="0" w:line="289" w:lineRule="auto"/>
        <w:tabs>
          <w:tab w:leader="none" w:pos="500" w:val="left"/>
        </w:tabs>
        <w:numPr>
          <w:ilvl w:val="0"/>
          <w:numId w:val="5"/>
        </w:numPr>
        <w:rPr>
          <w:rFonts w:ascii="Arial" w:cs="Arial" w:eastAsia="Arial" w:hAnsi="Arial"/>
          <w:sz w:val="16"/>
          <w:szCs w:val="16"/>
          <w:color w:val="auto"/>
        </w:rPr>
      </w:pPr>
      <w:r>
        <w:rPr>
          <w:rFonts w:ascii="Arial" w:cs="Arial" w:eastAsia="Arial" w:hAnsi="Arial"/>
          <w:sz w:val="16"/>
          <w:szCs w:val="16"/>
          <w:color w:val="auto"/>
        </w:rPr>
        <w:t>Includes (i) 105,327 shares of Class A common stock jointly owned by the reporting person and her spouse; (ii) 720,658 shares of Class A common stock owned by the reporting person's spouse, which amount reflects a disposition by gift of shares of Class A common stock and a distribution during 2013 from the GRAT established by her spouse in 2003, which distribution occurred before its annuity term expired in 2013; (iii) 527,708 shares of Class A common stock owned by the reporting person’s adult son; (iv) 529,165 shares of Class A common stock owned by the reporting person’s adult daughter; (v) 350,000 shares of Class A common stock held in two separate irrevocable trusts established by the reporting person in 2012; (vi) 349,860 shares of Class A common stock held in two separate irrevocable trusts, which amount reflects transfers from the GRATs established by the reporting person and her spouse in 2003, upon the expiration of their annuity terms in 2013; (vii) 349,860 shares of Class A common stock held in two separate post-annuity trusts, which amount reflects transfers from the GRATs established by the reporting person and her spouse in 2003, upon the expiration of their annuity terms in 2013; and also includes shares that are owned by entities that the</w:t>
      </w:r>
    </w:p>
    <w:p>
      <w:pPr>
        <w:sectPr>
          <w:pgSz w:w="11900" w:h="16838" w:orient="portrait"/>
          <w:cols w:equalWidth="0" w:num="1">
            <w:col w:w="11380"/>
          </w:cols>
          <w:pgMar w:left="240" w:top="584" w:right="279" w:bottom="1440" w:gutter="0" w:footer="0" w:header="0"/>
        </w:sectPr>
      </w:pPr>
    </w:p>
    <w:bookmarkStart w:id="2" w:name="page3"/>
    <w:bookmarkEnd w:id="2"/>
    <w:p>
      <w:pPr>
        <w:ind w:left="500"/>
        <w:spacing w:after="0" w:line="334" w:lineRule="auto"/>
        <w:rPr>
          <w:sz w:val="20"/>
          <w:szCs w:val="20"/>
          <w:color w:val="auto"/>
        </w:rPr>
      </w:pPr>
      <w:r>
        <w:rPr>
          <w:rFonts w:ascii="Arial" w:cs="Arial" w:eastAsia="Arial" w:hAnsi="Arial"/>
          <w:sz w:val="16"/>
          <w:szCs w:val="16"/>
          <w:color w:val="auto"/>
        </w:rPr>
        <w:t>reporting person may be deemed to control, consisting of: (a) 147,752 shares of Class A common stock and 1,234,385 shares of Class B common stock (which shares are convertible into the same number of shares of Class A common stock at the option of the holder at any time, with each share of Class A common stock having one vote and each share of Class B common stock having ten votes on all matters to be voted upon by the issuer's shareholders) held by Union Bank and Trust Company (“Union Bank”), of which the reporting person is a director, chairperson, president, chief executive officer, and a significant shareholder through Farmers &amp; Merchants Investment Inc., of which the reporting person is a director and co-president and owns or controls approximately 38.6% of the outstanding capital stock, as trustee under several GRATs, irrevocable trusts, and charitable remainder unitrusts (“CRUTs”), which amounts reflect distributions during 2013 from the GRATs and CRUTs to the grantors and trusts for the beneficiaries under such GRATs and CRUTs of shares of Class A common stock and Class B common stock; (b) 110,000 shares of Class A common stock held by Union Bank for a charitable foundation; (c) 30,000 shares of Class A common stock held by Union Bank for its profit sharing plan; and</w:t>
      </w:r>
    </w:p>
    <w:p>
      <w:pPr>
        <w:spacing w:after="0" w:line="5" w:lineRule="exact"/>
        <w:rPr>
          <w:sz w:val="20"/>
          <w:szCs w:val="20"/>
          <w:color w:val="auto"/>
        </w:rPr>
      </w:pPr>
    </w:p>
    <w:p>
      <w:pPr>
        <w:ind w:left="500" w:right="140"/>
        <w:spacing w:after="0" w:line="346" w:lineRule="auto"/>
        <w:rPr>
          <w:sz w:val="20"/>
          <w:szCs w:val="20"/>
          <w:color w:val="auto"/>
        </w:rPr>
      </w:pPr>
      <w:r>
        <w:rPr>
          <w:rFonts w:ascii="Arial" w:cs="Arial" w:eastAsia="Arial" w:hAnsi="Arial"/>
          <w:sz w:val="16"/>
          <w:szCs w:val="16"/>
          <w:color w:val="auto"/>
        </w:rPr>
        <w:t>(d) 918,251 shares of Class A common stock held for the accounts of miscellaneous trusts, IRAs, and investment accounts at Union Bank, which is a commercial bank. Excludes a total of 3,086,300 shares of Class B common stock held by Union Bank as trustee for certain GRATs and other irrevocable trusts for which a majority owned subsidiary of the issuer has been designated to serve as investment advisor with investment power with respect to the assets held by the trusts and voting power with respect to shares of stock held by the trusts. The reporting person disclaims beneficial ownership of the shares discussed above except to the extent that the reporting person actually has or shares voting power or investment power with respect to such shares, and the reporting thereof shall not be construed as an admission that the reporting person is a beneficial owner of such shares.</w:t>
      </w:r>
    </w:p>
    <w:p>
      <w:pPr>
        <w:spacing w:after="0" w:line="137" w:lineRule="exact"/>
        <w:rPr>
          <w:sz w:val="20"/>
          <w:szCs w:val="20"/>
          <w:color w:val="auto"/>
        </w:rPr>
      </w:pPr>
    </w:p>
    <w:p>
      <w:pPr>
        <w:ind w:left="380" w:hanging="372"/>
        <w:spacing w:after="0"/>
        <w:tabs>
          <w:tab w:leader="none" w:pos="3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All amounts in Items 5-9 are as of December 31, 2013.</w:t>
      </w:r>
    </w:p>
    <w:p>
      <w:pPr>
        <w:spacing w:after="0" w:line="225" w:lineRule="exact"/>
        <w:rPr>
          <w:rFonts w:ascii="Arial" w:cs="Arial" w:eastAsia="Arial" w:hAnsi="Arial"/>
          <w:sz w:val="18"/>
          <w:szCs w:val="18"/>
          <w:color w:val="auto"/>
        </w:rPr>
      </w:pPr>
    </w:p>
    <w:p>
      <w:pPr>
        <w:ind w:left="500" w:right="320" w:hanging="492"/>
        <w:spacing w:after="0" w:line="277" w:lineRule="auto"/>
        <w:tabs>
          <w:tab w:leader="none" w:pos="5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This percentage reflects issuer repurchases of shares of Class A common stock during 2013, and a resulting reduction in the number of outstanding shares of Class A common stock.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w:t>
      </w:r>
    </w:p>
    <w:p>
      <w:pPr>
        <w:spacing w:after="0" w:line="229" w:lineRule="exact"/>
        <w:rPr>
          <w:sz w:val="20"/>
          <w:szCs w:val="20"/>
          <w:color w:val="auto"/>
        </w:rPr>
      </w:pPr>
    </w:p>
    <w:p>
      <w:pPr>
        <w:jc w:val="right"/>
        <w:ind w:left="1300" w:right="9220" w:hanging="644"/>
        <w:spacing w:after="0" w:line="563" w:lineRule="auto"/>
        <w:tabs>
          <w:tab w:leader="none" w:pos="1031" w:val="left"/>
        </w:tabs>
        <w:numPr>
          <w:ilvl w:val="0"/>
          <w:numId w:val="7"/>
        </w:numPr>
        <w:rPr>
          <w:rFonts w:ascii="Arial" w:cs="Arial" w:eastAsia="Arial" w:hAnsi="Arial"/>
          <w:sz w:val="16"/>
          <w:szCs w:val="16"/>
          <w:color w:val="auto"/>
        </w:rPr>
      </w:pPr>
      <w:r>
        <w:rPr>
          <w:rFonts w:ascii="Arial" w:cs="Arial" w:eastAsia="Arial" w:hAnsi="Arial"/>
          <w:sz w:val="16"/>
          <w:szCs w:val="16"/>
          <w:color w:val="auto"/>
        </w:rPr>
        <w:t>Name of Issuer: Nelnet, Inc.</w:t>
      </w:r>
    </w:p>
    <w:p>
      <w:pPr>
        <w:spacing w:after="0" w:line="1" w:lineRule="exact"/>
        <w:rPr>
          <w:rFonts w:ascii="Arial" w:cs="Arial" w:eastAsia="Arial" w:hAnsi="Arial"/>
          <w:sz w:val="16"/>
          <w:szCs w:val="16"/>
          <w:color w:val="auto"/>
        </w:rPr>
      </w:pPr>
    </w:p>
    <w:p>
      <w:pPr>
        <w:ind w:left="1040" w:hanging="384"/>
        <w:spacing w:after="0"/>
        <w:tabs>
          <w:tab w:leader="none" w:pos="10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Address of Issuer’s Principal Executive Offices: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121 South 13th Street</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Suite 201</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Lincoln, Nebraska 68508</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w:t>
      </w:r>
    </w:p>
    <w:p>
      <w:pPr>
        <w:spacing w:after="0" w:line="229" w:lineRule="exact"/>
        <w:rPr>
          <w:sz w:val="20"/>
          <w:szCs w:val="20"/>
          <w:color w:val="auto"/>
        </w:rPr>
      </w:pPr>
    </w:p>
    <w:p>
      <w:pPr>
        <w:ind w:left="1300" w:right="8520" w:hanging="644"/>
        <w:spacing w:after="0" w:line="563" w:lineRule="auto"/>
        <w:tabs>
          <w:tab w:leader="none" w:pos="1031" w:val="left"/>
        </w:tabs>
        <w:numPr>
          <w:ilvl w:val="0"/>
          <w:numId w:val="8"/>
        </w:numPr>
        <w:rPr>
          <w:rFonts w:ascii="Arial" w:cs="Arial" w:eastAsia="Arial" w:hAnsi="Arial"/>
          <w:sz w:val="16"/>
          <w:szCs w:val="16"/>
          <w:color w:val="auto"/>
        </w:rPr>
      </w:pPr>
      <w:r>
        <w:rPr>
          <w:rFonts w:ascii="Arial" w:cs="Arial" w:eastAsia="Arial" w:hAnsi="Arial"/>
          <w:sz w:val="16"/>
          <w:szCs w:val="16"/>
          <w:color w:val="auto"/>
        </w:rPr>
        <w:t>Name of Person Filing: Muhleisen, Angela L.</w:t>
      </w:r>
    </w:p>
    <w:p>
      <w:pPr>
        <w:spacing w:after="0" w:line="1" w:lineRule="exact"/>
        <w:rPr>
          <w:rFonts w:ascii="Arial" w:cs="Arial" w:eastAsia="Arial" w:hAnsi="Arial"/>
          <w:sz w:val="16"/>
          <w:szCs w:val="16"/>
          <w:color w:val="auto"/>
        </w:rPr>
      </w:pPr>
    </w:p>
    <w:p>
      <w:pPr>
        <w:ind w:left="1300" w:hanging="644"/>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w:t>
      </w:r>
    </w:p>
    <w:p>
      <w:pPr>
        <w:spacing w:after="0" w:line="225" w:lineRule="exact"/>
        <w:rPr>
          <w:rFonts w:ascii="Arial" w:cs="Arial" w:eastAsia="Arial" w:hAnsi="Arial"/>
          <w:sz w:val="18"/>
          <w:szCs w:val="18"/>
          <w:color w:val="auto"/>
        </w:rPr>
      </w:pPr>
    </w:p>
    <w:p>
      <w:pPr>
        <w:ind w:left="1300" w:right="7080"/>
        <w:spacing w:after="0" w:line="258" w:lineRule="auto"/>
        <w:rPr>
          <w:rFonts w:ascii="Arial" w:cs="Arial" w:eastAsia="Arial" w:hAnsi="Arial"/>
          <w:sz w:val="18"/>
          <w:szCs w:val="18"/>
          <w:color w:val="auto"/>
        </w:rPr>
      </w:pPr>
      <w:r>
        <w:rPr>
          <w:rFonts w:ascii="Arial" w:cs="Arial" w:eastAsia="Arial" w:hAnsi="Arial"/>
          <w:sz w:val="18"/>
          <w:szCs w:val="18"/>
          <w:color w:val="auto"/>
        </w:rPr>
        <w:t>c/o Farmers &amp; Merchants Investment Inc. 6801 South 27th Street</w:t>
      </w:r>
    </w:p>
    <w:p>
      <w:pPr>
        <w:spacing w:after="0" w:line="1"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Lincoln, Nebraska 68512</w:t>
      </w:r>
    </w:p>
    <w:p>
      <w:pPr>
        <w:spacing w:after="0" w:line="210" w:lineRule="exact"/>
        <w:rPr>
          <w:rFonts w:ascii="Arial" w:cs="Arial" w:eastAsia="Arial" w:hAnsi="Arial"/>
          <w:sz w:val="18"/>
          <w:szCs w:val="18"/>
          <w:color w:val="auto"/>
        </w:rPr>
      </w:pPr>
    </w:p>
    <w:p>
      <w:pPr>
        <w:ind w:left="1300" w:hanging="644"/>
        <w:spacing w:after="0"/>
        <w:tabs>
          <w:tab w:leader="none" w:pos="1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225"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United States</w:t>
      </w:r>
    </w:p>
    <w:p>
      <w:pPr>
        <w:spacing w:after="0" w:line="225" w:lineRule="exact"/>
        <w:rPr>
          <w:sz w:val="20"/>
          <w:szCs w:val="20"/>
          <w:color w:val="auto"/>
        </w:rPr>
      </w:pPr>
    </w:p>
    <w:p>
      <w:pPr>
        <w:ind w:left="1960" w:right="7720" w:hanging="1304"/>
        <w:spacing w:after="0" w:line="563" w:lineRule="auto"/>
        <w:tabs>
          <w:tab w:leader="none" w:pos="1312" w:val="left"/>
        </w:tabs>
        <w:numPr>
          <w:ilvl w:val="0"/>
          <w:numId w:val="9"/>
        </w:numPr>
        <w:rPr>
          <w:rFonts w:ascii="Arial" w:cs="Arial" w:eastAsia="Arial" w:hAnsi="Arial"/>
          <w:sz w:val="16"/>
          <w:szCs w:val="16"/>
          <w:color w:val="auto"/>
        </w:rPr>
      </w:pPr>
      <w:r>
        <w:rPr>
          <w:rFonts w:ascii="Arial" w:cs="Arial" w:eastAsia="Arial" w:hAnsi="Arial"/>
          <w:sz w:val="16"/>
          <w:szCs w:val="16"/>
          <w:color w:val="auto"/>
        </w:rPr>
        <w:t>Title of Class of Securities: Class A Common Stock</w:t>
      </w:r>
    </w:p>
    <w:p>
      <w:pPr>
        <w:spacing w:after="0" w:line="1" w:lineRule="exact"/>
        <w:rPr>
          <w:rFonts w:ascii="Arial" w:cs="Arial" w:eastAsia="Arial" w:hAnsi="Arial"/>
          <w:sz w:val="16"/>
          <w:szCs w:val="16"/>
          <w:color w:val="auto"/>
        </w:rPr>
      </w:pPr>
    </w:p>
    <w:p>
      <w:pPr>
        <w:ind w:left="1300" w:hanging="644"/>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CUSIP Number:</w:t>
      </w:r>
    </w:p>
    <w:p>
      <w:pPr>
        <w:sectPr>
          <w:pgSz w:w="11900" w:h="16838" w:orient="portrait"/>
          <w:cols w:equalWidth="0" w:num="1">
            <w:col w:w="11400"/>
          </w:cols>
          <w:pgMar w:left="240" w:top="611" w:right="259" w:bottom="1440" w:gutter="0" w:footer="0" w:header="0"/>
        </w:sectPr>
      </w:pPr>
    </w:p>
    <w:bookmarkStart w:id="3" w:name="page4"/>
    <w:bookmarkEnd w:id="3"/>
    <w:p>
      <w:pPr>
        <w:ind w:left="1960"/>
        <w:spacing w:after="0"/>
        <w:rPr>
          <w:sz w:val="20"/>
          <w:szCs w:val="20"/>
          <w:color w:val="auto"/>
        </w:rPr>
      </w:pPr>
      <w:r>
        <w:rPr>
          <w:rFonts w:ascii="Arial" w:cs="Arial" w:eastAsia="Arial" w:hAnsi="Arial"/>
          <w:sz w:val="18"/>
          <w:szCs w:val="18"/>
          <w:color w:val="auto"/>
        </w:rPr>
        <w:t>64031N 10 8</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If this statement is filed pursuant to §§ 240.13d-1(b) or 240.13d-2(b) or (c), check whether the person filing is a:</w:t>
      </w:r>
    </w:p>
    <w:p>
      <w:pPr>
        <w:spacing w:after="0" w:line="229" w:lineRule="exact"/>
        <w:rPr>
          <w:sz w:val="20"/>
          <w:szCs w:val="20"/>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Broker or dealer registered under section 15 of the Act (15 U.S.C. 78o);</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Bank as defined in section 3(a)(6) of the Act (15 U.S.C. 78c);</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Insurance company as defined in section 3(a)(19) of the Act (15 U.S.C. 78c);</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Investment company registered under section 8 of the Investment Company Act of 1940 (15 U.S.C. 80a-8);</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An investment adviser in accordance with §240.13d-1(b)(1)(ii)(E);</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An employee benefit plan or endowment fund in accordance with § 240.13d-1(b)(1)(ii)(F);</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A parent holding company or control person in accordance with § 240.13d-1(b)(1)(ii)(G);</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A savings associations as defined in Section 3(b) of the Federal Deposit Insurance Act (12 U.S.C. 1813);</w:t>
      </w:r>
    </w:p>
    <w:p>
      <w:pPr>
        <w:spacing w:after="0" w:line="225"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A church plan that is excluded from the definition of an investment company under section 3(c)(14) of the Investment Company Act of 1940 (15 U.S.C. 80a-3);</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A non-U.S. institution in accordance with §240.13d-1(b)(1)(ii)(J);</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  Group, in accordance with §240.13d-1(b)(1)(ii)(K).</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If filing as a non-U.S. institution in accordance with §240.13d-1(b)(1)(ii)(J), please specify the type of institution: Not applicable.</w:t>
      </w:r>
    </w:p>
    <w:p>
      <w:pPr>
        <w:spacing w:after="0" w:line="200" w:lineRule="exact"/>
        <w:rPr>
          <w:sz w:val="20"/>
          <w:szCs w:val="20"/>
          <w:color w:val="auto"/>
        </w:rPr>
      </w:pPr>
    </w:p>
    <w:p>
      <w:pPr>
        <w:spacing w:after="0" w:line="237"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Ownership.</w:t>
      </w:r>
    </w:p>
    <w:p>
      <w:pPr>
        <w:spacing w:after="0" w:line="229" w:lineRule="exact"/>
        <w:rPr>
          <w:sz w:val="20"/>
          <w:szCs w:val="20"/>
          <w:color w:val="auto"/>
        </w:rPr>
      </w:pPr>
    </w:p>
    <w:p>
      <w:pPr>
        <w:ind w:left="660" w:right="8940" w:hanging="652"/>
        <w:spacing w:after="0" w:line="277" w:lineRule="auto"/>
        <w:tabs>
          <w:tab w:leader="none" w:pos="382" w:val="left"/>
        </w:tabs>
        <w:numPr>
          <w:ilvl w:val="0"/>
          <w:numId w:val="11"/>
        </w:numPr>
        <w:rPr>
          <w:rFonts w:ascii="Arial" w:cs="Arial" w:eastAsia="Arial" w:hAnsi="Arial"/>
          <w:sz w:val="18"/>
          <w:szCs w:val="18"/>
          <w:color w:val="auto"/>
        </w:rPr>
      </w:pPr>
      <w:r>
        <w:rPr>
          <w:rFonts w:ascii="Arial" w:cs="Arial" w:eastAsia="Arial" w:hAnsi="Arial"/>
          <w:sz w:val="18"/>
          <w:szCs w:val="18"/>
          <w:color w:val="auto"/>
        </w:rPr>
        <w:t>Amount beneficially owned: 7,911,050</w:t>
      </w:r>
    </w:p>
    <w:p>
      <w:pPr>
        <w:spacing w:after="0" w:line="170" w:lineRule="exact"/>
        <w:rPr>
          <w:rFonts w:ascii="Arial" w:cs="Arial" w:eastAsia="Arial" w:hAnsi="Arial"/>
          <w:sz w:val="18"/>
          <w:szCs w:val="18"/>
          <w:color w:val="auto"/>
        </w:rPr>
      </w:pPr>
    </w:p>
    <w:p>
      <w:pPr>
        <w:ind w:left="400" w:hanging="392"/>
        <w:spacing w:after="0"/>
        <w:tabs>
          <w:tab w:leader="none" w:pos="4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21.9%</w:t>
      </w:r>
    </w:p>
    <w:p>
      <w:pPr>
        <w:spacing w:after="0" w:line="211" w:lineRule="exact"/>
        <w:rPr>
          <w:sz w:val="20"/>
          <w:szCs w:val="20"/>
          <w:color w:val="auto"/>
        </w:rPr>
      </w:pPr>
    </w:p>
    <w:p>
      <w:pPr>
        <w:ind w:left="380" w:hanging="372"/>
        <w:spacing w:after="0"/>
        <w:tabs>
          <w:tab w:leader="none" w:pos="3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225" w:lineRule="exact"/>
        <w:rPr>
          <w:rFonts w:ascii="Arial" w:cs="Arial" w:eastAsia="Arial" w:hAnsi="Arial"/>
          <w:sz w:val="18"/>
          <w:szCs w:val="18"/>
          <w:color w:val="auto"/>
        </w:rPr>
      </w:pPr>
    </w:p>
    <w:p>
      <w:pPr>
        <w:ind w:left="1300" w:right="7520" w:hanging="644"/>
        <w:spacing w:after="0" w:line="277" w:lineRule="auto"/>
        <w:tabs>
          <w:tab w:leader="none" w:pos="1002" w:val="left"/>
        </w:tabs>
        <w:numPr>
          <w:ilvl w:val="1"/>
          <w:numId w:val="12"/>
        </w:numPr>
        <w:rPr>
          <w:rFonts w:ascii="Arial" w:cs="Arial" w:eastAsia="Arial" w:hAnsi="Arial"/>
          <w:sz w:val="18"/>
          <w:szCs w:val="18"/>
          <w:color w:val="auto"/>
        </w:rPr>
      </w:pPr>
      <w:r>
        <w:rPr>
          <w:rFonts w:ascii="Arial" w:cs="Arial" w:eastAsia="Arial" w:hAnsi="Arial"/>
          <w:sz w:val="18"/>
          <w:szCs w:val="18"/>
          <w:color w:val="auto"/>
        </w:rPr>
        <w:t>Sole power to vote or to direct the vote: 2,538,084 (1)</w:t>
      </w:r>
    </w:p>
    <w:p>
      <w:pPr>
        <w:spacing w:after="0" w:line="170" w:lineRule="exact"/>
        <w:rPr>
          <w:rFonts w:ascii="Arial" w:cs="Arial" w:eastAsia="Arial" w:hAnsi="Arial"/>
          <w:sz w:val="18"/>
          <w:szCs w:val="18"/>
          <w:color w:val="auto"/>
        </w:rPr>
      </w:pPr>
    </w:p>
    <w:p>
      <w:pPr>
        <w:ind w:left="1300" w:right="7280" w:hanging="644"/>
        <w:spacing w:after="0" w:line="277" w:lineRule="auto"/>
        <w:tabs>
          <w:tab w:leader="none" w:pos="1052" w:val="left"/>
        </w:tabs>
        <w:numPr>
          <w:ilvl w:val="1"/>
          <w:numId w:val="12"/>
        </w:numPr>
        <w:rPr>
          <w:rFonts w:ascii="Arial" w:cs="Arial" w:eastAsia="Arial" w:hAnsi="Arial"/>
          <w:sz w:val="18"/>
          <w:szCs w:val="18"/>
          <w:color w:val="auto"/>
        </w:rPr>
      </w:pPr>
      <w:r>
        <w:rPr>
          <w:rFonts w:ascii="Arial" w:cs="Arial" w:eastAsia="Arial" w:hAnsi="Arial"/>
          <w:sz w:val="18"/>
          <w:szCs w:val="18"/>
          <w:color w:val="auto"/>
        </w:rPr>
        <w:t>Shared power to vote or to direct the vote: 5,372,966 (2)</w:t>
      </w:r>
    </w:p>
    <w:p>
      <w:pPr>
        <w:spacing w:after="0" w:line="170" w:lineRule="exact"/>
        <w:rPr>
          <w:rFonts w:ascii="Arial" w:cs="Arial" w:eastAsia="Arial" w:hAnsi="Arial"/>
          <w:sz w:val="18"/>
          <w:szCs w:val="18"/>
          <w:color w:val="auto"/>
        </w:rPr>
      </w:pPr>
    </w:p>
    <w:p>
      <w:pPr>
        <w:ind w:left="1300" w:right="6500" w:hanging="644"/>
        <w:spacing w:after="0" w:line="277" w:lineRule="auto"/>
        <w:tabs>
          <w:tab w:leader="none" w:pos="1102" w:val="left"/>
        </w:tabs>
        <w:numPr>
          <w:ilvl w:val="1"/>
          <w:numId w:val="12"/>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2,538,084 (3)</w:t>
      </w:r>
    </w:p>
    <w:p>
      <w:pPr>
        <w:spacing w:after="0" w:line="170" w:lineRule="exact"/>
        <w:rPr>
          <w:rFonts w:ascii="Arial" w:cs="Arial" w:eastAsia="Arial" w:hAnsi="Arial"/>
          <w:sz w:val="18"/>
          <w:szCs w:val="18"/>
          <w:color w:val="auto"/>
        </w:rPr>
      </w:pPr>
    </w:p>
    <w:p>
      <w:pPr>
        <w:ind w:left="1300" w:right="6340" w:hanging="644"/>
        <w:spacing w:after="0" w:line="277" w:lineRule="auto"/>
        <w:tabs>
          <w:tab w:leader="none" w:pos="1092" w:val="left"/>
        </w:tabs>
        <w:numPr>
          <w:ilvl w:val="1"/>
          <w:numId w:val="12"/>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5,372,966 (4)</w:t>
      </w:r>
    </w:p>
    <w:p>
      <w:pPr>
        <w:sectPr>
          <w:pgSz w:w="11900" w:h="16838" w:orient="portrait"/>
          <w:cols w:equalWidth="0" w:num="1">
            <w:col w:w="11380"/>
          </w:cols>
          <w:pgMar w:left="240" w:top="800" w:right="279" w:bottom="1440" w:gutter="0" w:footer="0" w:header="0"/>
        </w:sectPr>
      </w:pPr>
    </w:p>
    <w:bookmarkStart w:id="4" w:name="page5"/>
    <w:bookmarkEnd w:id="4"/>
    <w:p>
      <w:pPr>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383"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229" w:lineRule="exact"/>
        <w:rPr>
          <w:sz w:val="20"/>
          <w:szCs w:val="20"/>
          <w:color w:val="auto"/>
        </w:rPr>
      </w:pPr>
    </w:p>
    <w:p>
      <w:pPr>
        <w:ind w:right="80" w:firstLine="648"/>
        <w:spacing w:after="0" w:line="308" w:lineRule="auto"/>
        <w:rPr>
          <w:sz w:val="20"/>
          <w:szCs w:val="20"/>
          <w:color w:val="auto"/>
        </w:rPr>
      </w:pPr>
      <w:r>
        <w:rPr>
          <w:rFonts w:ascii="Arial" w:cs="Arial" w:eastAsia="Arial" w:hAnsi="Arial"/>
          <w:sz w:val="17"/>
          <w:szCs w:val="17"/>
          <w:color w:val="auto"/>
        </w:rPr>
        <w:t>As discussed in footnote (2) for Items 6) and 8) above, certain securities reported in this Schedule are held by or on behalf of persons other than the reporting person, which other persons have the right to receive dividends from, and the proceeds from the sale of, such securities.</w:t>
      </w:r>
    </w:p>
    <w:p>
      <w:pPr>
        <w:spacing w:after="0" w:line="359" w:lineRule="exact"/>
        <w:rPr>
          <w:sz w:val="20"/>
          <w:szCs w:val="20"/>
          <w:color w:val="auto"/>
        </w:rPr>
      </w:pPr>
    </w:p>
    <w:p>
      <w:pPr>
        <w:ind w:left="660" w:right="340" w:hanging="647"/>
        <w:spacing w:after="0" w:line="282" w:lineRule="auto"/>
        <w:rPr>
          <w:sz w:val="20"/>
          <w:szCs w:val="20"/>
          <w:color w:val="auto"/>
        </w:rPr>
      </w:pPr>
      <w:r>
        <w:rPr>
          <w:rFonts w:ascii="Arial" w:cs="Arial" w:eastAsia="Arial" w:hAnsi="Arial"/>
          <w:sz w:val="18"/>
          <w:szCs w:val="18"/>
          <w:b w:val="1"/>
          <w:bCs w:val="1"/>
          <w:color w:val="auto"/>
        </w:rPr>
        <w:t>Item 7. Identification and Classification of the Subsidiary Which Acquired the Security Being Reported on By the Parent Holding Company or Control Person</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37"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Notice of Dissolution of Group</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Certifications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00" w:hanging="392"/>
        <w:spacing w:after="0"/>
        <w:tabs>
          <w:tab w:leader="none" w:pos="4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 footnotes for Item 5) above.</w:t>
      </w:r>
    </w:p>
    <w:p>
      <w:pPr>
        <w:spacing w:after="0" w:line="225" w:lineRule="exact"/>
        <w:rPr>
          <w:rFonts w:ascii="Arial" w:cs="Arial" w:eastAsia="Arial" w:hAnsi="Arial"/>
          <w:sz w:val="18"/>
          <w:szCs w:val="18"/>
          <w:color w:val="auto"/>
        </w:rPr>
      </w:pPr>
    </w:p>
    <w:p>
      <w:pPr>
        <w:ind w:left="400" w:hanging="392"/>
        <w:spacing w:after="0"/>
        <w:tabs>
          <w:tab w:leader="none" w:pos="4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 footnotes for Item 6) above.</w:t>
      </w:r>
    </w:p>
    <w:p>
      <w:pPr>
        <w:spacing w:after="0" w:line="225" w:lineRule="exact"/>
        <w:rPr>
          <w:rFonts w:ascii="Arial" w:cs="Arial" w:eastAsia="Arial" w:hAnsi="Arial"/>
          <w:sz w:val="18"/>
          <w:szCs w:val="18"/>
          <w:color w:val="auto"/>
        </w:rPr>
      </w:pPr>
    </w:p>
    <w:p>
      <w:pPr>
        <w:ind w:left="400" w:hanging="392"/>
        <w:spacing w:after="0"/>
        <w:tabs>
          <w:tab w:leader="none" w:pos="4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 footnotes for Item 7) above.</w:t>
      </w:r>
    </w:p>
    <w:p>
      <w:pPr>
        <w:spacing w:after="0" w:line="225" w:lineRule="exact"/>
        <w:rPr>
          <w:rFonts w:ascii="Arial" w:cs="Arial" w:eastAsia="Arial" w:hAnsi="Arial"/>
          <w:sz w:val="18"/>
          <w:szCs w:val="18"/>
          <w:color w:val="auto"/>
        </w:rPr>
      </w:pPr>
    </w:p>
    <w:p>
      <w:pPr>
        <w:ind w:left="400" w:hanging="392"/>
        <w:spacing w:after="0"/>
        <w:tabs>
          <w:tab w:leader="none" w:pos="4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 footnotes for Item 8) above.</w:t>
      </w:r>
    </w:p>
    <w:p>
      <w:pPr>
        <w:sectPr>
          <w:pgSz w:w="11900" w:h="16838" w:orient="portrait"/>
          <w:cols w:equalWidth="0" w:num="1">
            <w:col w:w="11360"/>
          </w:cols>
          <w:pgMar w:left="240" w:top="580" w:right="299" w:bottom="1440" w:gutter="0" w:footer="0" w:header="0"/>
        </w:sectPr>
      </w:pPr>
    </w:p>
    <w:bookmarkStart w:id="5" w:name="page6"/>
    <w:bookmarkEnd w:id="5"/>
    <w:p>
      <w:pPr>
        <w:jc w:val="center"/>
        <w:ind w:right="-3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14, 2014</w:t>
      </w:r>
    </w:p>
    <w:p>
      <w:pPr>
        <w:spacing w:after="0" w:line="225"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Angela L. Muhleisen</w:t>
      </w:r>
    </w:p>
    <w:p>
      <w:pPr>
        <w:spacing w:after="0" w:line="200" w:lineRule="exact"/>
        <w:rPr>
          <w:sz w:val="20"/>
          <w:szCs w:val="20"/>
          <w:color w:val="auto"/>
        </w:rPr>
      </w:pPr>
    </w:p>
    <w:p>
      <w:pPr>
        <w:spacing w:after="0" w:line="241"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/s/ William J. Munn</w:t>
      </w:r>
    </w:p>
    <w:p>
      <w:pPr>
        <w:spacing w:after="0" w:line="23"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Name: William J. Munn</w:t>
      </w:r>
    </w:p>
    <w:p>
      <w:pPr>
        <w:spacing w:after="0" w:line="9"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Title: Attorney-in-Fact*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 Pursuant to the power of attorney filed on September 6, 2005 as an exhibit to this statement and incorporated herein by reference.</w:t>
      </w:r>
    </w:p>
    <w:sectPr>
      <w:pgSz w:w="11900" w:h="16838" w:orient="portrait"/>
      <w:cols w:equalWidth="0" w:num="1">
        <w:col w:w="11120"/>
      </w:cols>
      <w:pgMar w:left="240" w:top="580" w:right="5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
      <w:numFmt w:val="bullet"/>
      <w:start w:val="1"/>
    </w:lvl>
  </w:abstractNum>
  <w:abstractNum w:abstractNumId="2">
    <w:nsid w:val="7545E146"/>
    <w:multiLevelType w:val="hybridMultilevel"/>
    <w:lvl w:ilvl="0">
      <w:lvlJc w:val="left"/>
      <w:lvlText w:val="%1)"/>
      <w:numFmt w:val="decimal"/>
      <w:start w:val="1"/>
    </w:lvl>
    <w:lvl w:ilvl="1">
      <w:lvlJc w:val="left"/>
      <w:lvlText w:val="(%2)"/>
      <w:numFmt w:val="lowerLetter"/>
      <w:start w:val="1"/>
    </w:lvl>
  </w:abstractNum>
  <w:abstractNum w:abstractNumId="3">
    <w:nsid w:val="515F007C"/>
    <w:multiLevelType w:val="hybridMultilevel"/>
    <w:lvl w:ilvl="0">
      <w:lvlJc w:val="left"/>
      <w:lvlText w:val="%1)"/>
      <w:numFmt w:val="decimal"/>
      <w:start w:val="10"/>
    </w:lvl>
  </w:abstractNum>
  <w:abstractNum w:abstractNumId="4">
    <w:nsid w:val="5BD062C2"/>
    <w:multiLevelType w:val="hybridMultilevel"/>
    <w:lvl w:ilvl="0">
      <w:lvlJc w:val="left"/>
      <w:lvlText w:val="(%1)"/>
      <w:numFmt w:val="decimal"/>
      <w:start w:val="1"/>
    </w:lvl>
  </w:abstractNum>
  <w:abstractNum w:abstractNumId="5">
    <w:nsid w:val="12200854"/>
    <w:multiLevelType w:val="hybridMultilevel"/>
    <w:lvl w:ilvl="0">
      <w:lvlJc w:val="left"/>
      <w:lvlText w:val="(%1)"/>
      <w:numFmt w:val="decimal"/>
      <w:start w:val="3"/>
    </w:lvl>
  </w:abstractNum>
  <w:abstractNum w:abstractNumId="6">
    <w:nsid w:val="4DB127F8"/>
    <w:multiLevelType w:val="hybridMultilevel"/>
    <w:lvl w:ilvl="0">
      <w:lvlJc w:val="left"/>
      <w:lvlText w:val="(%1)"/>
      <w:numFmt w:val="lowerLetter"/>
      <w:start w:val="1"/>
    </w:lvl>
  </w:abstractNum>
  <w:abstractNum w:abstractNumId="7">
    <w:nsid w:val="216231B"/>
    <w:multiLevelType w:val="hybridMultilevel"/>
    <w:lvl w:ilvl="0">
      <w:lvlJc w:val="left"/>
      <w:lvlText w:val="(%1)"/>
      <w:numFmt w:val="lowerLetter"/>
      <w:start w:val="1"/>
    </w:lvl>
  </w:abstractNum>
  <w:abstractNum w:abstractNumId="8">
    <w:nsid w:val="1F16E9E8"/>
    <w:multiLevelType w:val="hybridMultilevel"/>
    <w:lvl w:ilvl="0">
      <w:lvlJc w:val="left"/>
      <w:lvlText w:val="(%1)"/>
      <w:numFmt w:val="lowerLetter"/>
      <w:start w:val="4"/>
    </w:lvl>
  </w:abstractNum>
  <w:abstractNum w:abstractNumId="9">
    <w:nsid w:val="1190CDE7"/>
    <w:multiLevelType w:val="hybridMultilevel"/>
    <w:lvl w:ilvl="0">
      <w:lvlJc w:val="left"/>
      <w:lvlText w:val="(%1)"/>
      <w:numFmt w:val="lowerLetter"/>
      <w:start w:val="1"/>
    </w:lvl>
  </w:abstractNum>
  <w:abstractNum w:abstractNumId="10">
    <w:nsid w:val="66EF438D"/>
    <w:multiLevelType w:val="hybridMultilevel"/>
    <w:lvl w:ilvl="0">
      <w:lvlJc w:val="left"/>
      <w:lvlText w:val="(%1)"/>
      <w:numFmt w:val="lowerLetter"/>
      <w:start w:val="1"/>
    </w:lvl>
  </w:abstractNum>
  <w:abstractNum w:abstractNumId="11">
    <w:nsid w:val="140E0F76"/>
    <w:multiLevelType w:val="hybridMultilevel"/>
    <w:lvl w:ilvl="0">
      <w:lvlJc w:val="left"/>
      <w:lvlText w:val="(%1)"/>
      <w:numFmt w:val="lowerLetter"/>
      <w:start w:val="3"/>
    </w:lvl>
    <w:lvl w:ilvl="1">
      <w:lvlJc w:val="left"/>
      <w:lvlText w:val="(%2)"/>
      <w:numFmt w:val="lowerRoman"/>
      <w:start w:val="1"/>
    </w:lvl>
  </w:abstractNum>
  <w:abstractNum w:abstractNumId="12">
    <w:nsid w:val="3352255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2020-01-26T02:42:37Z</dcterms:created>
  <dcterms:modified xsi:type="dcterms:W3CDTF">2020-01-26T02:42:37Z</dcterms:modified>
</cp:coreProperties>
</file>