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7"/>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REARDON MICHAEL D</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220" w:type="dxa"/>
            <w:vAlign w:val="bottom"/>
            <w:gridSpan w:val="5"/>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NELNET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NNI</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60" w:type="dxa"/>
            <w:vAlign w:val="bottom"/>
          </w:tcPr>
          <w:p>
            <w:pPr>
              <w:spacing w:after="0"/>
              <w:rPr>
                <w:sz w:val="9"/>
                <w:szCs w:val="9"/>
                <w:color w:val="auto"/>
              </w:rPr>
            </w:pPr>
          </w:p>
        </w:tc>
        <w:tc>
          <w:tcPr>
            <w:tcW w:w="500" w:type="dxa"/>
            <w:vAlign w:val="bottom"/>
          </w:tcPr>
          <w:p>
            <w:pPr>
              <w:spacing w:after="0"/>
              <w:rPr>
                <w:sz w:val="9"/>
                <w:szCs w:val="9"/>
                <w:color w:val="auto"/>
              </w:rPr>
            </w:pPr>
          </w:p>
        </w:tc>
        <w:tc>
          <w:tcPr>
            <w:tcW w:w="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4"/>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40" w:type="dxa"/>
            <w:vAlign w:val="bottom"/>
          </w:tcPr>
          <w:p>
            <w:pPr>
              <w:spacing w:after="0"/>
              <w:rPr>
                <w:sz w:val="4"/>
                <w:szCs w:val="4"/>
                <w:color w:val="auto"/>
              </w:rPr>
            </w:pPr>
          </w:p>
        </w:tc>
        <w:tc>
          <w:tcPr>
            <w:tcW w:w="440" w:type="dxa"/>
            <w:vAlign w:val="bottom"/>
          </w:tcPr>
          <w:p>
            <w:pPr>
              <w:spacing w:after="0"/>
              <w:rPr>
                <w:sz w:val="4"/>
                <w:szCs w:val="4"/>
                <w:color w:val="auto"/>
              </w:rPr>
            </w:pPr>
          </w:p>
        </w:tc>
        <w:tc>
          <w:tcPr>
            <w:tcW w:w="580" w:type="dxa"/>
            <w:vAlign w:val="bottom"/>
          </w:tcPr>
          <w:p>
            <w:pPr>
              <w:spacing w:after="0"/>
              <w:rPr>
                <w:sz w:val="4"/>
                <w:szCs w:val="4"/>
                <w:color w:val="auto"/>
              </w:rPr>
            </w:pPr>
          </w:p>
        </w:tc>
        <w:tc>
          <w:tcPr>
            <w:tcW w:w="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500" w:type="dxa"/>
            <w:vAlign w:val="bottom"/>
          </w:tcPr>
          <w:p>
            <w:pPr>
              <w:spacing w:after="0"/>
              <w:rPr>
                <w:sz w:val="4"/>
                <w:szCs w:val="4"/>
                <w:color w:val="auto"/>
              </w:rPr>
            </w:pPr>
          </w:p>
        </w:tc>
        <w:tc>
          <w:tcPr>
            <w:tcW w:w="42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40" w:type="dxa"/>
            <w:vAlign w:val="bottom"/>
          </w:tcPr>
          <w:p>
            <w:pPr>
              <w:spacing w:after="0"/>
              <w:rPr>
                <w:sz w:val="2"/>
                <w:szCs w:val="2"/>
                <w:color w:val="auto"/>
              </w:rPr>
            </w:pPr>
          </w:p>
        </w:tc>
        <w:tc>
          <w:tcPr>
            <w:tcW w:w="820" w:type="dxa"/>
            <w:vAlign w:val="bottom"/>
          </w:tcPr>
          <w:p>
            <w:pPr>
              <w:spacing w:after="0"/>
              <w:rPr>
                <w:sz w:val="2"/>
                <w:szCs w:val="2"/>
                <w:color w:val="auto"/>
              </w:rPr>
            </w:pPr>
          </w:p>
        </w:tc>
        <w:tc>
          <w:tcPr>
            <w:tcW w:w="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tcPr>
          <w:p>
            <w:pPr>
              <w:spacing w:after="0"/>
              <w:rPr>
                <w:sz w:val="5"/>
                <w:szCs w:val="5"/>
                <w:color w:val="auto"/>
              </w:rPr>
            </w:pPr>
          </w:p>
        </w:tc>
        <w:tc>
          <w:tcPr>
            <w:tcW w:w="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tcPr>
          <w:p>
            <w:pPr>
              <w:spacing w:after="0"/>
              <w:rPr>
                <w:sz w:val="5"/>
                <w:szCs w:val="5"/>
                <w:color w:val="auto"/>
              </w:rPr>
            </w:pPr>
          </w:p>
        </w:tc>
        <w:tc>
          <w:tcPr>
            <w:tcW w:w="4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280" w:type="dxa"/>
            <w:vAlign w:val="bottom"/>
            <w:tcBorders>
              <w:top w:val="single" w:sz="8" w:color="0000EE"/>
            </w:tcBorders>
          </w:tcPr>
          <w:p>
            <w:pPr>
              <w:spacing w:after="0"/>
              <w:rPr>
                <w:sz w:val="8"/>
                <w:szCs w:val="8"/>
                <w:color w:val="auto"/>
              </w:rPr>
            </w:pPr>
          </w:p>
        </w:tc>
        <w:tc>
          <w:tcPr>
            <w:tcW w:w="780" w:type="dxa"/>
            <w:vAlign w:val="bottom"/>
            <w:tcBorders>
              <w:top w:val="single" w:sz="8" w:color="0000EE"/>
            </w:tcBorders>
          </w:tcPr>
          <w:p>
            <w:pPr>
              <w:spacing w:after="0"/>
              <w:rPr>
                <w:sz w:val="8"/>
                <w:szCs w:val="8"/>
                <w:color w:val="auto"/>
              </w:rPr>
            </w:pPr>
          </w:p>
        </w:tc>
        <w:tc>
          <w:tcPr>
            <w:tcW w:w="2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tcPr>
          <w:p>
            <w:pPr>
              <w:spacing w:after="0"/>
              <w:rPr>
                <w:sz w:val="8"/>
                <w:szCs w:val="8"/>
                <w:color w:val="auto"/>
              </w:rPr>
            </w:pPr>
          </w:p>
        </w:tc>
        <w:tc>
          <w:tcPr>
            <w:tcW w:w="760" w:type="dxa"/>
            <w:vAlign w:val="bottom"/>
          </w:tcPr>
          <w:p>
            <w:pPr>
              <w:spacing w:after="0"/>
              <w:rPr>
                <w:sz w:val="8"/>
                <w:szCs w:val="8"/>
                <w:color w:val="auto"/>
              </w:rPr>
            </w:pPr>
          </w:p>
        </w:tc>
        <w:tc>
          <w:tcPr>
            <w:tcW w:w="50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vMerge w:val="continue"/>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280" w:type="dxa"/>
            <w:vAlign w:val="bottom"/>
            <w:tcBorders>
              <w:bottom w:val="single" w:sz="8" w:color="9A9A9A"/>
            </w:tcBorders>
          </w:tcPr>
          <w:p>
            <w:pPr>
              <w:spacing w:after="0"/>
              <w:rPr>
                <w:sz w:val="7"/>
                <w:szCs w:val="7"/>
                <w:color w:val="auto"/>
              </w:rPr>
            </w:pPr>
          </w:p>
        </w:tc>
        <w:tc>
          <w:tcPr>
            <w:tcW w:w="78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80" w:type="dxa"/>
            <w:vAlign w:val="bottom"/>
          </w:tcPr>
          <w:p>
            <w:pPr>
              <w:spacing w:after="0"/>
              <w:rPr>
                <w:sz w:val="7"/>
                <w:szCs w:val="7"/>
                <w:color w:val="auto"/>
              </w:rPr>
            </w:pPr>
          </w:p>
        </w:tc>
        <w:tc>
          <w:tcPr>
            <w:tcW w:w="140" w:type="dxa"/>
            <w:vAlign w:val="bottom"/>
          </w:tcPr>
          <w:p>
            <w:pPr>
              <w:spacing w:after="0"/>
              <w:rPr>
                <w:sz w:val="7"/>
                <w:szCs w:val="7"/>
                <w:color w:val="auto"/>
              </w:rPr>
            </w:pPr>
          </w:p>
        </w:tc>
        <w:tc>
          <w:tcPr>
            <w:tcW w:w="82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2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28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7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00" w:type="dxa"/>
            <w:vAlign w:val="bottom"/>
          </w:tcPr>
          <w:p>
            <w:pPr>
              <w:spacing w:after="0"/>
              <w:rPr>
                <w:sz w:val="4"/>
                <w:szCs w:val="4"/>
                <w:color w:val="auto"/>
              </w:rPr>
            </w:pPr>
          </w:p>
        </w:tc>
        <w:tc>
          <w:tcPr>
            <w:tcW w:w="42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6"/>
            <w:vMerge w:val="continue"/>
          </w:tcPr>
          <w:p>
            <w:pPr>
              <w:spacing w:after="0"/>
              <w:rPr>
                <w:sz w:val="14"/>
                <w:szCs w:val="14"/>
                <w:color w:val="auto"/>
              </w:rPr>
            </w:pPr>
          </w:p>
        </w:tc>
        <w:tc>
          <w:tcPr>
            <w:tcW w:w="5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20" w:type="dxa"/>
            <w:vAlign w:val="bottom"/>
            <w:gridSpan w:val="2"/>
          </w:tcPr>
          <w:p>
            <w:pPr>
              <w:ind w:left="12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121 SOUTH 13TH STREET</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20" w:type="dxa"/>
            <w:vAlign w:val="bottom"/>
            <w:gridSpan w:val="5"/>
          </w:tcPr>
          <w:p>
            <w:pPr>
              <w:ind w:left="160"/>
              <w:spacing w:after="0"/>
              <w:rPr>
                <w:sz w:val="20"/>
                <w:szCs w:val="20"/>
                <w:color w:val="auto"/>
              </w:rPr>
            </w:pPr>
            <w:r>
              <w:rPr>
                <w:rFonts w:ascii="Arial" w:cs="Arial" w:eastAsia="Arial" w:hAnsi="Arial"/>
                <w:sz w:val="18"/>
                <w:szCs w:val="18"/>
                <w:color w:val="0000FF"/>
              </w:rPr>
              <w:t>06/03/2014</w:t>
            </w:r>
          </w:p>
        </w:tc>
        <w:tc>
          <w:tcPr>
            <w:tcW w:w="1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tcPr>
          <w:p>
            <w:pPr>
              <w:spacing w:after="0"/>
              <w:rPr>
                <w:sz w:val="8"/>
                <w:szCs w:val="8"/>
                <w:color w:val="auto"/>
              </w:rPr>
            </w:pPr>
          </w:p>
        </w:tc>
        <w:tc>
          <w:tcPr>
            <w:tcW w:w="760" w:type="dxa"/>
            <w:vAlign w:val="bottom"/>
          </w:tcPr>
          <w:p>
            <w:pPr>
              <w:spacing w:after="0"/>
              <w:rPr>
                <w:sz w:val="8"/>
                <w:szCs w:val="8"/>
                <w:color w:val="auto"/>
              </w:rPr>
            </w:pPr>
          </w:p>
        </w:tc>
        <w:tc>
          <w:tcPr>
            <w:tcW w:w="50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SUITE 201</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80" w:type="dxa"/>
            <w:vAlign w:val="bottom"/>
            <w:gridSpan w:val="7"/>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42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7"/>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7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480" w:type="dxa"/>
            <w:vAlign w:val="bottom"/>
            <w:gridSpan w:val="7"/>
            <w:vMerge w:val="continue"/>
          </w:tcPr>
          <w:p>
            <w:pPr>
              <w:spacing w:after="0"/>
              <w:rPr>
                <w:sz w:val="8"/>
                <w:szCs w:val="8"/>
                <w:color w:val="auto"/>
              </w:rPr>
            </w:pPr>
          </w:p>
        </w:tc>
        <w:tc>
          <w:tcPr>
            <w:tcW w:w="42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80" w:type="dxa"/>
            <w:vAlign w:val="bottom"/>
            <w:tcBorders>
              <w:bottom w:val="single" w:sz="8" w:color="9A9A9A"/>
            </w:tcBorders>
          </w:tcPr>
          <w:p>
            <w:pPr>
              <w:spacing w:after="0"/>
              <w:rPr>
                <w:sz w:val="5"/>
                <w:szCs w:val="5"/>
                <w:color w:val="auto"/>
              </w:rPr>
            </w:pPr>
          </w:p>
        </w:tc>
        <w:tc>
          <w:tcPr>
            <w:tcW w:w="78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tcPr>
          <w:p>
            <w:pPr>
              <w:spacing w:after="0"/>
              <w:rPr>
                <w:sz w:val="5"/>
                <w:szCs w:val="5"/>
                <w:color w:val="auto"/>
              </w:rPr>
            </w:pPr>
          </w:p>
        </w:tc>
        <w:tc>
          <w:tcPr>
            <w:tcW w:w="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tcPr>
          <w:p>
            <w:pPr>
              <w:spacing w:after="0"/>
              <w:rPr>
                <w:sz w:val="5"/>
                <w:szCs w:val="5"/>
                <w:color w:val="auto"/>
              </w:rPr>
            </w:pPr>
          </w:p>
        </w:tc>
        <w:tc>
          <w:tcPr>
            <w:tcW w:w="42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gridSpan w:val="2"/>
            <w:vMerge w:val="restart"/>
          </w:tcPr>
          <w:p>
            <w:pPr>
              <w:spacing w:after="0"/>
              <w:rPr>
                <w:sz w:val="20"/>
                <w:szCs w:val="20"/>
                <w:color w:val="auto"/>
              </w:rPr>
            </w:pPr>
            <w:r>
              <w:rPr>
                <w:rFonts w:ascii="Arial" w:cs="Arial" w:eastAsia="Arial" w:hAnsi="Arial"/>
                <w:sz w:val="14"/>
                <w:szCs w:val="14"/>
                <w:color w:val="auto"/>
              </w:rPr>
              <w:t>Line)</w:t>
            </w:r>
          </w:p>
        </w:tc>
        <w:tc>
          <w:tcPr>
            <w:tcW w:w="440" w:type="dxa"/>
            <w:vAlign w:val="bottom"/>
          </w:tcPr>
          <w:p>
            <w:pPr>
              <w:spacing w:after="0"/>
              <w:rPr>
                <w:sz w:val="5"/>
                <w:szCs w:val="5"/>
                <w:color w:val="auto"/>
              </w:rPr>
            </w:pPr>
          </w:p>
        </w:tc>
        <w:tc>
          <w:tcPr>
            <w:tcW w:w="78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7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80" w:type="dxa"/>
            <w:vAlign w:val="bottom"/>
          </w:tcPr>
          <w:p>
            <w:pPr>
              <w:spacing w:after="0"/>
              <w:rPr>
                <w:sz w:val="7"/>
                <w:szCs w:val="7"/>
                <w:color w:val="auto"/>
              </w:rPr>
            </w:pPr>
          </w:p>
        </w:tc>
        <w:tc>
          <w:tcPr>
            <w:tcW w:w="140" w:type="dxa"/>
            <w:vAlign w:val="bottom"/>
          </w:tcPr>
          <w:p>
            <w:pPr>
              <w:spacing w:after="0"/>
              <w:rPr>
                <w:sz w:val="7"/>
                <w:szCs w:val="7"/>
                <w:color w:val="auto"/>
              </w:rPr>
            </w:pPr>
          </w:p>
        </w:tc>
        <w:tc>
          <w:tcPr>
            <w:tcW w:w="82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2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440" w:type="dxa"/>
            <w:vAlign w:val="bottom"/>
          </w:tcPr>
          <w:p>
            <w:pPr>
              <w:spacing w:after="0"/>
              <w:rPr>
                <w:sz w:val="7"/>
                <w:szCs w:val="7"/>
                <w:color w:val="auto"/>
              </w:rPr>
            </w:pPr>
          </w:p>
        </w:tc>
        <w:tc>
          <w:tcPr>
            <w:tcW w:w="7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LINCOLN</w:t>
            </w:r>
          </w:p>
        </w:tc>
        <w:tc>
          <w:tcPr>
            <w:tcW w:w="280" w:type="dxa"/>
            <w:vAlign w:val="bottom"/>
          </w:tcPr>
          <w:p>
            <w:pPr>
              <w:ind w:left="40"/>
              <w:spacing w:after="0"/>
              <w:rPr>
                <w:sz w:val="20"/>
                <w:szCs w:val="20"/>
                <w:color w:val="auto"/>
              </w:rPr>
            </w:pPr>
            <w:r>
              <w:rPr>
                <w:rFonts w:ascii="Arial" w:cs="Arial" w:eastAsia="Arial" w:hAnsi="Arial"/>
                <w:sz w:val="18"/>
                <w:szCs w:val="18"/>
                <w:color w:val="0000FF"/>
                <w:w w:val="87"/>
              </w:rPr>
              <w:t>NE</w:t>
            </w:r>
          </w:p>
        </w:tc>
        <w:tc>
          <w:tcPr>
            <w:tcW w:w="7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68508</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940" w:type="dxa"/>
            <w:vAlign w:val="bottom"/>
            <w:gridSpan w:val="5"/>
          </w:tcPr>
          <w:p>
            <w:pPr>
              <w:ind w:left="14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280" w:type="dxa"/>
            <w:vAlign w:val="bottom"/>
            <w:tcBorders>
              <w:bottom w:val="single" w:sz="8" w:color="9A9A9A"/>
            </w:tcBorders>
          </w:tcPr>
          <w:p>
            <w:pPr>
              <w:spacing w:after="0"/>
              <w:rPr>
                <w:sz w:val="12"/>
                <w:szCs w:val="12"/>
                <w:color w:val="auto"/>
              </w:rPr>
            </w:pPr>
          </w:p>
        </w:tc>
        <w:tc>
          <w:tcPr>
            <w:tcW w:w="780" w:type="dxa"/>
            <w:vAlign w:val="bottom"/>
            <w:tcBorders>
              <w:bottom w:val="single" w:sz="8" w:color="9A9A9A"/>
            </w:tcBorders>
          </w:tcPr>
          <w:p>
            <w:pPr>
              <w:spacing w:after="0"/>
              <w:rPr>
                <w:sz w:val="12"/>
                <w:szCs w:val="12"/>
                <w:color w:val="auto"/>
              </w:rPr>
            </w:pPr>
          </w:p>
        </w:tc>
        <w:tc>
          <w:tcPr>
            <w:tcW w:w="2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20" w:type="dxa"/>
            <w:vAlign w:val="bottom"/>
            <w:gridSpan w:val="2"/>
          </w:tcPr>
          <w:p>
            <w:pPr>
              <w:ind w:left="14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260" w:type="dxa"/>
            <w:vAlign w:val="bottom"/>
            <w:tcBorders>
              <w:bottom w:val="single" w:sz="8" w:color="2C2C2C"/>
            </w:tcBorders>
            <w:gridSpan w:val="3"/>
          </w:tcPr>
          <w:p>
            <w:pPr>
              <w:spacing w:after="0"/>
              <w:rPr>
                <w:sz w:val="11"/>
                <w:szCs w:val="11"/>
                <w:color w:val="auto"/>
              </w:rPr>
            </w:pPr>
          </w:p>
        </w:tc>
        <w:tc>
          <w:tcPr>
            <w:tcW w:w="264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9"/>
          </w:tcPr>
          <w:p>
            <w:pPr>
              <w:jc w:val="center"/>
              <w:ind w:left="12"/>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00" w:type="dxa"/>
            <w:vAlign w:val="bottom"/>
            <w:tcBorders>
              <w:bottom w:val="single" w:sz="8" w:color="2C2C2C"/>
            </w:tcBorders>
            <w:gridSpan w:val="4"/>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4"/>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60" w:type="dxa"/>
            <w:vAlign w:val="bottom"/>
            <w:gridSpan w:val="5"/>
          </w:tcPr>
          <w:p>
            <w:pPr>
              <w:ind w:left="6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3"/>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8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60" w:type="dxa"/>
            <w:vAlign w:val="bottom"/>
            <w:gridSpan w:val="5"/>
          </w:tcPr>
          <w:p>
            <w:pPr>
              <w:ind w:left="62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if any</w:t>
            </w: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78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40" w:type="dxa"/>
            <w:vAlign w:val="bottom"/>
          </w:tcPr>
          <w:p>
            <w:pPr>
              <w:spacing w:after="0"/>
              <w:rPr>
                <w:sz w:val="6"/>
                <w:szCs w:val="6"/>
                <w:color w:val="auto"/>
              </w:rPr>
            </w:pPr>
          </w:p>
        </w:tc>
        <w:tc>
          <w:tcPr>
            <w:tcW w:w="4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8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4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(A) or</w:t>
            </w:r>
          </w:p>
        </w:tc>
        <w:tc>
          <w:tcPr>
            <w:tcW w:w="5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7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50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7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tcPr>
          <w:p>
            <w:pPr>
              <w:spacing w:after="0"/>
              <w:rPr>
                <w:sz w:val="5"/>
                <w:szCs w:val="5"/>
                <w:color w:val="auto"/>
              </w:rPr>
            </w:pPr>
          </w:p>
        </w:tc>
        <w:tc>
          <w:tcPr>
            <w:tcW w:w="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00" w:type="dxa"/>
            <w:vAlign w:val="bottom"/>
            <w:tcBorders>
              <w:bottom w:val="single" w:sz="8" w:color="2C2C2C"/>
            </w:tcBorders>
            <w:gridSpan w:val="4"/>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660" w:type="dxa"/>
            <w:vAlign w:val="bottom"/>
            <w:tcBorders>
              <w:bottom w:val="single" w:sz="8" w:color="2C2C2C"/>
            </w:tcBorders>
            <w:gridSpan w:val="5"/>
          </w:tcPr>
          <w:p>
            <w:pPr>
              <w:ind w:left="720"/>
              <w:spacing w:after="0"/>
              <w:rPr>
                <w:sz w:val="20"/>
                <w:szCs w:val="20"/>
                <w:color w:val="auto"/>
              </w:rPr>
            </w:pPr>
            <w:r>
              <w:rPr>
                <w:rFonts w:ascii="Arial" w:cs="Arial" w:eastAsia="Arial" w:hAnsi="Arial"/>
                <w:sz w:val="18"/>
                <w:szCs w:val="18"/>
                <w:color w:val="0000FF"/>
              </w:rPr>
              <w:t>06/03/2014</w:t>
            </w:r>
          </w:p>
        </w:tc>
        <w:tc>
          <w:tcPr>
            <w:tcW w:w="44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(1)(2)</w:t>
            </w:r>
          </w:p>
        </w:tc>
        <w:tc>
          <w:tcPr>
            <w:tcW w:w="76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8,000</w:t>
            </w:r>
          </w:p>
        </w:tc>
        <w:tc>
          <w:tcPr>
            <w:tcW w:w="50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rPr>
              <w:t>D</w:t>
            </w:r>
          </w:p>
        </w:tc>
        <w:tc>
          <w:tcPr>
            <w:tcW w:w="920" w:type="dxa"/>
            <w:vAlign w:val="bottom"/>
            <w:tcBorders>
              <w:bottom w:val="single" w:sz="8" w:color="2C2C2C"/>
            </w:tcBorders>
            <w:gridSpan w:val="4"/>
          </w:tcPr>
          <w:p>
            <w:pPr>
              <w:ind w:left="14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color w:val="0000FF"/>
                <w:w w:val="91"/>
              </w:rPr>
              <w:t>40.438</w:t>
            </w:r>
            <w:r>
              <w:rPr>
                <w:rFonts w:ascii="Arial" w:cs="Arial" w:eastAsia="Arial" w:hAnsi="Arial"/>
                <w:sz w:val="22"/>
                <w:szCs w:val="22"/>
                <w:color w:val="008000"/>
                <w:w w:val="91"/>
                <w:vertAlign w:val="superscript"/>
              </w:rPr>
              <w:t>(3)</w:t>
            </w:r>
          </w:p>
        </w:tc>
        <w:tc>
          <w:tcPr>
            <w:tcW w:w="1220" w:type="dxa"/>
            <w:vAlign w:val="bottom"/>
            <w:tcBorders>
              <w:bottom w:val="single" w:sz="8" w:color="2C2C2C"/>
            </w:tcBorders>
            <w:gridSpan w:val="2"/>
          </w:tcPr>
          <w:p>
            <w:pPr>
              <w:ind w:left="280"/>
              <w:spacing w:after="0"/>
              <w:rPr>
                <w:sz w:val="20"/>
                <w:szCs w:val="20"/>
                <w:color w:val="auto"/>
              </w:rPr>
            </w:pPr>
            <w:r>
              <w:rPr>
                <w:rFonts w:ascii="Arial" w:cs="Arial" w:eastAsia="Arial" w:hAnsi="Arial"/>
                <w:sz w:val="18"/>
                <w:szCs w:val="18"/>
                <w:color w:val="0000FF"/>
              </w:rPr>
              <w:t>20,748</w:t>
            </w:r>
            <w:r>
              <w:rPr>
                <w:rFonts w:ascii="Arial" w:cs="Arial" w:eastAsia="Arial" w:hAnsi="Arial"/>
                <w:sz w:val="22"/>
                <w:szCs w:val="22"/>
                <w:color w:val="008000"/>
                <w:vertAlign w:val="superscript"/>
              </w:rPr>
              <w:t>(4)</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6500" w:type="dxa"/>
            <w:vAlign w:val="bottom"/>
            <w:tcBorders>
              <w:top w:val="single" w:sz="8" w:color="2C2C2C"/>
            </w:tcBorders>
            <w:gridSpan w:val="17"/>
          </w:tcPr>
          <w:p>
            <w:pPr>
              <w:jc w:val="center"/>
              <w:ind w:left="12"/>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20" w:type="dxa"/>
            <w:vAlign w:val="bottom"/>
            <w:gridSpan w:val="15"/>
          </w:tcPr>
          <w:p>
            <w:pPr>
              <w:ind w:left="6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10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10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2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7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5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These shares were sold by Michael D. Reardon pursuant to a Rule 10b5-1 Sales Plan (the "Plan") entered into on March 5, 2014, which provided for the sale of shares of the issuer's Class A Common Stock. With the sales of the shares reported herein, the Plan has been completed and no future sales may occur pursuant to the Plan.</w:t>
      </w:r>
    </w:p>
    <w:p>
      <w:pPr>
        <w:spacing w:after="0" w:line="30" w:lineRule="exact"/>
        <w:rPr>
          <w:rFonts w:ascii="Arial" w:cs="Arial" w:eastAsia="Arial" w:hAnsi="Arial"/>
          <w:sz w:val="14"/>
          <w:szCs w:val="14"/>
          <w:color w:val="008000"/>
        </w:rPr>
      </w:pPr>
    </w:p>
    <w:p>
      <w:pPr>
        <w:ind w:left="40" w:right="12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Rule 10b5-1, promulgated under the Securities Exchange Act of 1934, allows directors of a company who are not in possession of material non-public information to establish pre-arranged plans to buy or sell a specified number of shares of such company's stock. Once a plan is established, the director does not retain or exercise any discretion over sales of stock under the plan and the pre-planned trades may be executed at later dates as set forth in the plan.</w:t>
      </w:r>
    </w:p>
    <w:p>
      <w:pPr>
        <w:spacing w:after="0" w:line="30" w:lineRule="exact"/>
        <w:rPr>
          <w:rFonts w:ascii="Arial" w:cs="Arial" w:eastAsia="Arial" w:hAnsi="Arial"/>
          <w:sz w:val="14"/>
          <w:szCs w:val="14"/>
          <w:color w:val="008000"/>
        </w:rPr>
      </w:pPr>
    </w:p>
    <w:p>
      <w:pPr>
        <w:ind w:left="40" w:right="160" w:firstLine="9"/>
        <w:spacing w:after="0" w:line="305"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price reported in Column 4 is a weighted average price. These shares were sold in multiple transactions at prices ranging from $40.18 to $40.70 inclusive. The reporting person undertakes to provide to the issuer, any security holder of the issuer, or the staff of the SEC, upon request, full information regarding the number of shares sold at each separate price within such range.</w:t>
      </w: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15,672 shares held jointly with Michael D. Reardon's spouse.</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4"/>
          <w:szCs w:val="14"/>
          <w:color w:val="008000"/>
        </w:rPr>
        <w:t>Exhibit List Exhibit 24 - Power of Attorney</w:t>
      </w:r>
    </w:p>
    <w:p>
      <w:pPr>
        <w:spacing w:after="0" w:line="17"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8"/>
          <w:szCs w:val="18"/>
          <w:color w:val="0000FF"/>
        </w:rPr>
        <w:t>/s/ Philip J. Morgan, Attorney-</w:t>
      </w:r>
      <w:r>
        <w:rPr>
          <w:sz w:val="20"/>
          <w:szCs w:val="20"/>
          <w:color w:val="auto"/>
        </w:rPr>
        <w:tab/>
      </w:r>
      <w:r>
        <w:rPr>
          <w:rFonts w:ascii="Arial" w:cs="Arial" w:eastAsia="Arial" w:hAnsi="Arial"/>
          <w:sz w:val="23"/>
          <w:szCs w:val="23"/>
          <w:color w:val="0000FF"/>
          <w:vertAlign w:val="subscript"/>
        </w:rPr>
        <w:t>06/04/2014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-16510</wp:posOffset>
            </wp:positionV>
            <wp:extent cx="13665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6652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in-Fact for Michael D. Reardon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4084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408430"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right"/>
        <w:spacing w:after="0"/>
        <w:rPr>
          <w:sz w:val="20"/>
          <w:szCs w:val="20"/>
          <w:color w:val="auto"/>
        </w:rPr>
      </w:pPr>
      <w:r>
        <w:rPr>
          <w:rFonts w:ascii="Arial" w:cs="Arial" w:eastAsia="Arial" w:hAnsi="Arial"/>
          <w:sz w:val="18"/>
          <w:szCs w:val="18"/>
          <w:b w:val="1"/>
          <w:bCs w:val="1"/>
          <w:u w:val="single" w:color="auto"/>
          <w:color w:val="auto"/>
        </w:rPr>
        <w:t>Exhibit 24</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Know all by these presents, that the undersigned hereby constitutes and appoints each of William J. Munn, Daniel F. Kaplan, Philip J. Morgan, and</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Kirsten Hoppe, or any of them signing or otherwise acting singly, and with full power of substitution, the undersigned's true and lawful attorney-in-fact to:</w:t>
      </w:r>
    </w:p>
    <w:p>
      <w:pPr>
        <w:spacing w:after="0" w:line="222" w:lineRule="exact"/>
        <w:rPr>
          <w:sz w:val="20"/>
          <w:szCs w:val="20"/>
          <w:color w:val="auto"/>
        </w:rPr>
      </w:pPr>
    </w:p>
    <w:p>
      <w:pPr>
        <w:jc w:val="both"/>
        <w:ind w:left="1300" w:hanging="644"/>
        <w:spacing w:after="0" w:line="259" w:lineRule="auto"/>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passwords, and passphrases enabling the undersigned to make electronic filings with the SEC of reports required by Section 16(a) of the Securities Exchange Act of 1934 or any rule or regulation of the SEC;</w:t>
      </w:r>
    </w:p>
    <w:p>
      <w:pPr>
        <w:spacing w:after="0" w:line="186" w:lineRule="exact"/>
        <w:rPr>
          <w:rFonts w:ascii="Arial" w:cs="Arial" w:eastAsia="Arial" w:hAnsi="Arial"/>
          <w:sz w:val="18"/>
          <w:szCs w:val="18"/>
          <w:color w:val="auto"/>
        </w:rPr>
      </w:pPr>
    </w:p>
    <w:p>
      <w:pPr>
        <w:ind w:left="1300" w:hanging="644"/>
        <w:spacing w:after="0" w:line="308" w:lineRule="auto"/>
        <w:tabs>
          <w:tab w:leader="none" w:pos="1300" w:val="left"/>
        </w:tabs>
        <w:numPr>
          <w:ilvl w:val="0"/>
          <w:numId w:val="3"/>
        </w:numPr>
        <w:rPr>
          <w:rFonts w:ascii="Arial" w:cs="Arial" w:eastAsia="Arial" w:hAnsi="Arial"/>
          <w:sz w:val="17"/>
          <w:szCs w:val="17"/>
          <w:color w:val="auto"/>
        </w:rPr>
      </w:pPr>
      <w:r>
        <w:rPr>
          <w:rFonts w:ascii="Arial" w:cs="Arial" w:eastAsia="Arial" w:hAnsi="Arial"/>
          <w:sz w:val="17"/>
          <w:szCs w:val="17"/>
          <w:color w:val="auto"/>
        </w:rPr>
        <w:t>execute for and on behalf of the undersigned, in the undersigned's capacity as an officer and/or director of Nelnet, Inc. (the “Company”), Forms 3, 4, and 5 in accordance with Section 16(a) of the Securities Exchange Act of 1934 and the rules thereunder;</w:t>
      </w:r>
    </w:p>
    <w:p>
      <w:pPr>
        <w:spacing w:after="0" w:line="146" w:lineRule="exact"/>
        <w:rPr>
          <w:rFonts w:ascii="Arial" w:cs="Arial" w:eastAsia="Arial" w:hAnsi="Arial"/>
          <w:sz w:val="17"/>
          <w:szCs w:val="17"/>
          <w:color w:val="auto"/>
        </w:rPr>
      </w:pPr>
    </w:p>
    <w:p>
      <w:pPr>
        <w:jc w:val="both"/>
        <w:ind w:left="1300" w:hanging="644"/>
        <w:spacing w:after="0" w:line="264" w:lineRule="auto"/>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execute for and on behalf of the undersigned, in connection with proposed sales by the undersigned pursuant to Rule 144 under the Securities Act of 1933 of securities issued by the Company, notices on Form 144 in accordance with Rule 144 under the Securities Act of 1933;</w:t>
      </w:r>
    </w:p>
    <w:p>
      <w:pPr>
        <w:spacing w:after="0" w:line="181" w:lineRule="exact"/>
        <w:rPr>
          <w:rFonts w:ascii="Arial" w:cs="Arial" w:eastAsia="Arial" w:hAnsi="Arial"/>
          <w:sz w:val="18"/>
          <w:szCs w:val="18"/>
          <w:color w:val="auto"/>
        </w:rPr>
      </w:pPr>
    </w:p>
    <w:p>
      <w:pPr>
        <w:jc w:val="both"/>
        <w:ind w:left="1300" w:right="20" w:hanging="644"/>
        <w:spacing w:after="0" w:line="264" w:lineRule="auto"/>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do and perform any and all acts for and on behalf of the undersigned which may be necessary or desirable to complete and execute any such Form 3, 4, 5 or Form 144, complete and execute any amendment or amendments thereto, and timely file such form with the SEC and any securities exchange or similar authority; and</w:t>
      </w:r>
    </w:p>
    <w:p>
      <w:pPr>
        <w:spacing w:after="0" w:line="181" w:lineRule="exact"/>
        <w:rPr>
          <w:rFonts w:ascii="Arial" w:cs="Arial" w:eastAsia="Arial" w:hAnsi="Arial"/>
          <w:sz w:val="18"/>
          <w:szCs w:val="18"/>
          <w:color w:val="auto"/>
        </w:rPr>
      </w:pPr>
    </w:p>
    <w:p>
      <w:pPr>
        <w:jc w:val="both"/>
        <w:ind w:left="1300" w:hanging="644"/>
        <w:spacing w:after="0" w:line="259" w:lineRule="auto"/>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 or Rule 144 under the Securities Act of 1933.</w:t>
      </w:r>
    </w:p>
    <w:p>
      <w:pPr>
        <w:spacing w:after="0" w:line="189"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This Power of Attorney shall remain in full force and effect until the undersigned is no longer required to file Forms 3, 4, 5 and Form 144 with respect to the undersigned's holdings of and transactions in securities issued by the Company, unless earlier revoked by the undersigned in a signed writing delivered to the foregoing attorneys-in-fact.</w:t>
      </w:r>
    </w:p>
    <w:p>
      <w:pPr>
        <w:spacing w:after="0" w:line="23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All powers of attorney previously executed by the undersigned in connection with the filing of Forms 3, 4, 5 and/or Form 144 with respect to the undersigned’s holdings of and transactions in securities issued by the Company required by Section 16(a) of the Securities Exchange Act of 1934 or Rule 144 under the Securities Act of 1933 are hereby revoked and superseded by this Power of Attorney.</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WITNESS WHEREOF, the undersigned has caused this Power of Attorney to be executed as of this 30th day of July, 2012.</w:t>
      </w:r>
    </w:p>
    <w:p>
      <w:pPr>
        <w:spacing w:after="0" w:line="200" w:lineRule="exact"/>
        <w:rPr>
          <w:sz w:val="20"/>
          <w:szCs w:val="20"/>
          <w:color w:val="auto"/>
        </w:rPr>
      </w:pPr>
    </w:p>
    <w:p>
      <w:pPr>
        <w:spacing w:after="0" w:line="295"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/s/ Michael D. Reardon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4104640</wp:posOffset>
            </wp:positionH>
            <wp:positionV relativeFrom="paragraph">
              <wp:posOffset>-10160</wp:posOffset>
            </wp:positionV>
            <wp:extent cx="135191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51915" cy="8890"/>
                    </a:xfrm>
                    <a:prstGeom prst="rect">
                      <a:avLst/>
                    </a:prstGeom>
                    <a:noFill/>
                  </pic:spPr>
                </pic:pic>
              </a:graphicData>
            </a:graphic>
          </wp:anchor>
        </w:drawing>
      </w:r>
    </w:p>
    <w:p>
      <w:pPr>
        <w:spacing w:after="0" w:line="3"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Michael D. Reardon</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276321" TargetMode="External"/><Relationship Id="rId13" Type="http://schemas.openxmlformats.org/officeDocument/2006/relationships/hyperlink" Target="http://www.sec.gov/cgi-bin/browse-edgar?action=getcompany&amp;CIK=000125860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2020-01-27T16:19:55Z</dcterms:created>
  <dcterms:modified xsi:type="dcterms:W3CDTF">2020-01-27T16:19:55Z</dcterms:modified>
</cp:coreProperties>
</file>