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04"/>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1004"/>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ind w:left="4404"/>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1004"/>
        <w:spacing w:after="0"/>
        <w:rPr>
          <w:sz w:val="20"/>
          <w:szCs w:val="20"/>
          <w:color w:val="auto"/>
        </w:rPr>
      </w:pPr>
      <w:r>
        <w:rPr>
          <w:rFonts w:ascii="Times New Roman" w:cs="Times New Roman" w:eastAsia="Times New Roman" w:hAnsi="Times New Roman"/>
          <w:sz w:val="32"/>
          <w:szCs w:val="32"/>
          <w:b w:val="1"/>
          <w:bCs w:val="1"/>
          <w:color w:val="auto"/>
        </w:rPr>
        <w:t>SCHEDULE 14A</w:t>
      </w:r>
    </w:p>
    <w:p>
      <w:pPr>
        <w:spacing w:after="0" w:line="30" w:lineRule="exact"/>
        <w:rPr>
          <w:sz w:val="24"/>
          <w:szCs w:val="24"/>
          <w:color w:val="auto"/>
        </w:rPr>
      </w:pPr>
    </w:p>
    <w:p>
      <w:pPr>
        <w:jc w:val="center"/>
        <w:ind w:right="-1004"/>
        <w:spacing w:after="0"/>
        <w:rPr>
          <w:sz w:val="20"/>
          <w:szCs w:val="20"/>
          <w:color w:val="auto"/>
        </w:rPr>
      </w:pPr>
      <w:r>
        <w:rPr>
          <w:rFonts w:ascii="Times New Roman" w:cs="Times New Roman" w:eastAsia="Times New Roman" w:hAnsi="Times New Roman"/>
          <w:sz w:val="22"/>
          <w:szCs w:val="22"/>
          <w:b w:val="1"/>
          <w:bCs w:val="1"/>
          <w:color w:val="auto"/>
        </w:rPr>
        <w:t>Proxy Statement Pursuant to Section 14(a) of the</w:t>
      </w:r>
    </w:p>
    <w:p>
      <w:pPr>
        <w:jc w:val="center"/>
        <w:ind w:right="-1004"/>
        <w:spacing w:after="0" w:line="230" w:lineRule="auto"/>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1" w:lineRule="exact"/>
        <w:rPr>
          <w:sz w:val="24"/>
          <w:szCs w:val="24"/>
          <w:color w:val="auto"/>
        </w:rPr>
      </w:pPr>
    </w:p>
    <w:p>
      <w:pPr>
        <w:jc w:val="center"/>
        <w:ind w:right="-984"/>
        <w:spacing w:after="0"/>
        <w:tabs>
          <w:tab w:leader="none" w:pos="180" w:val="left"/>
        </w:tabs>
        <w:rPr>
          <w:sz w:val="20"/>
          <w:szCs w:val="20"/>
          <w:color w:val="auto"/>
        </w:rPr>
      </w:pPr>
      <w:r>
        <w:rPr>
          <w:rFonts w:ascii="Times New Roman" w:cs="Times New Roman" w:eastAsia="Times New Roman" w:hAnsi="Times New Roman"/>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ind w:left="4"/>
        <w:spacing w:after="0" w:line="207" w:lineRule="exact"/>
        <w:rPr>
          <w:sz w:val="20"/>
          <w:szCs w:val="20"/>
          <w:color w:val="auto"/>
        </w:rPr>
      </w:pPr>
      <w:r>
        <w:rPr>
          <w:rFonts w:ascii="Times New Roman" w:cs="Times New Roman" w:eastAsia="Times New Roman" w:hAnsi="Times New Roman"/>
          <w:sz w:val="18"/>
          <w:szCs w:val="18"/>
          <w:color w:val="auto"/>
        </w:rPr>
        <w:t xml:space="preserve">Filed by the Registrant </w:t>
      </w:r>
      <w:r>
        <w:rPr>
          <w:rFonts w:ascii="MS PGothic" w:cs="MS PGothic" w:eastAsia="MS PGothic" w:hAnsi="MS PGothic"/>
          <w:sz w:val="18"/>
          <w:szCs w:val="18"/>
          <w:color w:val="auto"/>
        </w:rPr>
        <w:t>☒</w:t>
      </w:r>
    </w:p>
    <w:p>
      <w:pPr>
        <w:spacing w:after="0" w:line="225" w:lineRule="exact"/>
        <w:rPr>
          <w:sz w:val="24"/>
          <w:szCs w:val="24"/>
          <w:color w:val="auto"/>
        </w:rPr>
      </w:pPr>
    </w:p>
    <w:p>
      <w:pPr>
        <w:ind w:left="4"/>
        <w:spacing w:after="0" w:line="207" w:lineRule="exact"/>
        <w:rPr>
          <w:sz w:val="20"/>
          <w:szCs w:val="20"/>
          <w:color w:val="auto"/>
        </w:rPr>
      </w:pPr>
      <w:r>
        <w:rPr>
          <w:rFonts w:ascii="Times New Roman" w:cs="Times New Roman" w:eastAsia="Times New Roman" w:hAnsi="Times New Roman"/>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200" w:lineRule="exact"/>
        <w:rPr>
          <w:sz w:val="24"/>
          <w:szCs w:val="24"/>
          <w:color w:val="auto"/>
        </w:rPr>
      </w:pPr>
    </w:p>
    <w:p>
      <w:pPr>
        <w:spacing w:after="0" w:line="270"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Check the appropriate box:</w:t>
      </w:r>
    </w:p>
    <w:p>
      <w:pPr>
        <w:spacing w:after="0" w:line="252"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Preliminary Proxy Statement</w:t>
      </w:r>
    </w:p>
    <w:p>
      <w:pPr>
        <w:spacing w:after="0" w:line="248"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Confidential, for Use of the Commission Only (as permitted by Rule 14a-6(e)(2))</w:t>
      </w:r>
    </w:p>
    <w:p>
      <w:pPr>
        <w:spacing w:after="0" w:line="256"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Definitive Proxy Statement</w:t>
      </w:r>
    </w:p>
    <w:p>
      <w:pPr>
        <w:spacing w:after="0" w:line="252"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Definitive Additional Materials</w:t>
      </w:r>
    </w:p>
    <w:p>
      <w:pPr>
        <w:spacing w:after="0" w:line="252" w:lineRule="exact"/>
        <w:rPr>
          <w:sz w:val="24"/>
          <w:szCs w:val="24"/>
          <w:color w:val="auto"/>
        </w:rPr>
      </w:pPr>
    </w:p>
    <w:p>
      <w:pPr>
        <w:ind w:left="424" w:hanging="424"/>
        <w:spacing w:after="0"/>
        <w:tabs>
          <w:tab w:leader="none" w:pos="424" w:val="left"/>
        </w:tabs>
        <w:numPr>
          <w:ilvl w:val="0"/>
          <w:numId w:val="3"/>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§240.14a-12</w:t>
      </w:r>
    </w:p>
    <w:p>
      <w:pPr>
        <w:spacing w:after="0" w:line="196" w:lineRule="exact"/>
        <w:rPr>
          <w:sz w:val="24"/>
          <w:szCs w:val="24"/>
          <w:color w:val="auto"/>
        </w:rPr>
      </w:pPr>
    </w:p>
    <w:p>
      <w:pPr>
        <w:ind w:left="3664"/>
        <w:spacing w:after="0"/>
        <w:rPr>
          <w:sz w:val="20"/>
          <w:szCs w:val="20"/>
          <w:color w:val="auto"/>
        </w:rPr>
      </w:pPr>
      <w:r>
        <w:rPr>
          <w:rFonts w:ascii="Times New Roman" w:cs="Times New Roman" w:eastAsia="Times New Roman" w:hAnsi="Times New Roman"/>
          <w:sz w:val="32"/>
          <w:szCs w:val="32"/>
          <w:b w:val="1"/>
          <w:bCs w:val="1"/>
          <w:color w:val="auto"/>
        </w:rPr>
        <w:t>TD SYNNEX Corporation</w:t>
      </w:r>
    </w:p>
    <w:p>
      <w:pPr>
        <w:spacing w:after="0" w:line="45" w:lineRule="exact"/>
        <w:rPr>
          <w:sz w:val="24"/>
          <w:szCs w:val="24"/>
          <w:color w:val="auto"/>
        </w:rPr>
      </w:pPr>
    </w:p>
    <w:p>
      <w:pPr>
        <w:jc w:val="center"/>
        <w:ind w:right="-1004"/>
        <w:spacing w:after="0"/>
        <w:rPr>
          <w:sz w:val="20"/>
          <w:szCs w:val="20"/>
          <w:color w:val="auto"/>
        </w:rPr>
      </w:pPr>
      <w:r>
        <w:rPr>
          <w:rFonts w:ascii="Times New Roman" w:cs="Times New Roman" w:eastAsia="Times New Roman" w:hAnsi="Times New Roman"/>
          <w:sz w:val="18"/>
          <w:szCs w:val="18"/>
          <w:b w:val="1"/>
          <w:bCs w:val="1"/>
          <w:color w:val="auto"/>
        </w:rPr>
        <w:t>(Name of Registrant as Specified in Its Charter)</w:t>
      </w:r>
    </w:p>
    <w:p>
      <w:pPr>
        <w:spacing w:after="0" w:line="201" w:lineRule="exact"/>
        <w:rPr>
          <w:sz w:val="24"/>
          <w:szCs w:val="24"/>
          <w:color w:val="auto"/>
        </w:rPr>
      </w:pPr>
    </w:p>
    <w:p>
      <w:pPr>
        <w:ind w:left="2744"/>
        <w:spacing w:after="0"/>
        <w:rPr>
          <w:sz w:val="20"/>
          <w:szCs w:val="20"/>
          <w:color w:val="auto"/>
        </w:rPr>
      </w:pPr>
      <w:r>
        <w:rPr>
          <w:rFonts w:ascii="Times New Roman" w:cs="Times New Roman" w:eastAsia="Times New Roman" w:hAnsi="Times New Roman"/>
          <w:sz w:val="18"/>
          <w:szCs w:val="18"/>
          <w:b w:val="1"/>
          <w:bCs w:val="1"/>
          <w:color w:val="auto"/>
        </w:rPr>
        <w:t>(Name of Person(s) Filing Proxy Statement, if other than the Registrant)</w:t>
      </w:r>
    </w:p>
    <w:p>
      <w:pPr>
        <w:spacing w:after="0" w:line="229"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Payment of Filing Fee (Check the appropriate box):</w:t>
      </w:r>
    </w:p>
    <w:p>
      <w:pPr>
        <w:spacing w:after="0" w:line="252" w:lineRule="exact"/>
        <w:rPr>
          <w:sz w:val="24"/>
          <w:szCs w:val="24"/>
          <w:color w:val="auto"/>
        </w:rPr>
      </w:pPr>
    </w:p>
    <w:p>
      <w:pPr>
        <w:ind w:left="424" w:hanging="424"/>
        <w:spacing w:after="0"/>
        <w:tabs>
          <w:tab w:leader="none" w:pos="424" w:val="left"/>
        </w:tabs>
        <w:numPr>
          <w:ilvl w:val="0"/>
          <w:numId w:val="4"/>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No fee required.</w:t>
      </w:r>
    </w:p>
    <w:p>
      <w:pPr>
        <w:spacing w:after="0" w:line="252" w:lineRule="exact"/>
        <w:rPr>
          <w:sz w:val="24"/>
          <w:szCs w:val="24"/>
          <w:color w:val="auto"/>
        </w:rPr>
      </w:pPr>
    </w:p>
    <w:p>
      <w:pPr>
        <w:ind w:left="424" w:hanging="424"/>
        <w:spacing w:after="0"/>
        <w:tabs>
          <w:tab w:leader="none" w:pos="424" w:val="left"/>
        </w:tabs>
        <w:numPr>
          <w:ilvl w:val="0"/>
          <w:numId w:val="5"/>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Fee paid previously with preliminary materials.</w:t>
      </w:r>
    </w:p>
    <w:p>
      <w:pPr>
        <w:spacing w:after="0" w:line="252" w:lineRule="exact"/>
        <w:rPr>
          <w:rFonts w:ascii="MS PGothic" w:cs="MS PGothic" w:eastAsia="MS PGothic" w:hAnsi="MS PGothic"/>
          <w:sz w:val="18"/>
          <w:szCs w:val="18"/>
          <w:color w:val="auto"/>
        </w:rPr>
      </w:pPr>
    </w:p>
    <w:p>
      <w:pPr>
        <w:ind w:left="424" w:hanging="424"/>
        <w:spacing w:after="0"/>
        <w:tabs>
          <w:tab w:leader="none" w:pos="424" w:val="left"/>
        </w:tabs>
        <w:numPr>
          <w:ilvl w:val="0"/>
          <w:numId w:val="5"/>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Fee computed on table in exhibit required by Item 25(b) per Exchange Act Rules 14a-6(i)(1) and 0-11.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188595</wp:posOffset>
            </wp:positionV>
            <wp:extent cx="69951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231775</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23"/>
          </w:cols>
          <w:pgMar w:left="436" w:top="376" w:right="1440" w:bottom="1440" w:gutter="0" w:footer="0" w:header="0"/>
        </w:sectPr>
      </w:pPr>
    </w:p>
    <w:bookmarkStart w:id="1" w:name="page2"/>
    <w:bookmarkEnd w:id="1"/>
    <w:p>
      <w:pPr>
        <w:jc w:val="center"/>
        <w:ind w:right="220"/>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TD SYNNEX Corporation</w:t>
      </w:r>
    </w:p>
    <w:p>
      <w:pPr>
        <w:spacing w:after="0" w:line="28" w:lineRule="exact"/>
        <w:rPr>
          <w:sz w:val="20"/>
          <w:szCs w:val="20"/>
          <w:color w:val="auto"/>
        </w:rPr>
      </w:pPr>
    </w:p>
    <w:p>
      <w:pPr>
        <w:jc w:val="center"/>
        <w:ind w:right="220"/>
        <w:spacing w:after="0" w:line="241" w:lineRule="auto"/>
        <w:rPr>
          <w:sz w:val="20"/>
          <w:szCs w:val="20"/>
          <w:color w:val="auto"/>
        </w:rPr>
      </w:pPr>
      <w:r>
        <w:rPr>
          <w:rFonts w:ascii="Arial" w:cs="Arial" w:eastAsia="Arial" w:hAnsi="Arial"/>
          <w:sz w:val="22"/>
          <w:szCs w:val="22"/>
          <w:b w:val="1"/>
          <w:bCs w:val="1"/>
          <w:color w:val="auto"/>
        </w:rPr>
        <w:t>Important Notice Regarding the Availability of Proxy Materials for the Annual Meeting of Stockholders to be held on March 21, 2023 at 1:00 PM Eastern Time 39 Pelham Ridge Drive, Greenville, SC 29615</w:t>
      </w:r>
    </w:p>
    <w:p>
      <w:pPr>
        <w:spacing w:after="0" w:line="256"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This is not a ballot. You cannot use this notice to vote your shares.</w:t>
      </w:r>
    </w:p>
    <w:p>
      <w:pPr>
        <w:spacing w:after="0" w:line="21"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This communication presents only an overview of the more complete</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proxy  materials  that  are  available  to  you  on  the  Internet.  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2978150</wp:posOffset>
            </wp:positionH>
            <wp:positionV relativeFrom="paragraph">
              <wp:posOffset>-40005</wp:posOffset>
            </wp:positionV>
            <wp:extent cx="240030" cy="2057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40030" cy="205740"/>
                    </a:xfrm>
                    <a:prstGeom prst="rect">
                      <a:avLst/>
                    </a:prstGeom>
                    <a:noFill/>
                  </pic:spPr>
                </pic:pic>
              </a:graphicData>
            </a:graphic>
          </wp:anchor>
        </w:drawing>
        <w:drawing>
          <wp:anchor simplePos="0" relativeHeight="251657728" behindDoc="1" locked="0" layoutInCell="0" allowOverlap="1">
            <wp:simplePos x="0" y="0"/>
            <wp:positionH relativeFrom="column">
              <wp:posOffset>-141605</wp:posOffset>
            </wp:positionH>
            <wp:positionV relativeFrom="paragraph">
              <wp:posOffset>-40005</wp:posOffset>
            </wp:positionV>
            <wp:extent cx="274320" cy="2057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74320" cy="205740"/>
                    </a:xfrm>
                    <a:prstGeom prst="rect">
                      <a:avLst/>
                    </a:prstGeom>
                    <a:noFill/>
                  </pic:spPr>
                </pic:pic>
              </a:graphicData>
            </a:graphic>
          </wp:anchor>
        </w:drawing>
      </w:r>
    </w:p>
    <w:p>
      <w:pPr>
        <w:ind w:left="5400"/>
        <w:spacing w:after="0"/>
        <w:rPr>
          <w:sz w:val="20"/>
          <w:szCs w:val="20"/>
          <w:color w:val="auto"/>
        </w:rPr>
      </w:pPr>
      <w:r>
        <w:rPr>
          <w:rFonts w:ascii="Arial" w:cs="Arial" w:eastAsia="Arial" w:hAnsi="Arial"/>
          <w:sz w:val="16"/>
          <w:szCs w:val="16"/>
          <w:b w:val="1"/>
          <w:bCs w:val="1"/>
          <w:color w:val="auto"/>
        </w:rPr>
        <w:t>encourage you to access and review all of the important information</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contained in the proxy materials before voting.</w:t>
      </w:r>
    </w:p>
    <w:p>
      <w:pPr>
        <w:spacing w:after="0" w:line="97"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The Proxy Statement and Annual Report to Stockholders are available</w:t>
      </w:r>
    </w:p>
    <w:p>
      <w:pPr>
        <w:spacing w:after="0" w:line="21"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 xml:space="preserve">at </w:t>
      </w:r>
      <w:r>
        <w:rPr>
          <w:rFonts w:ascii="Arial" w:cs="Arial" w:eastAsia="Arial" w:hAnsi="Arial"/>
          <w:sz w:val="16"/>
          <w:szCs w:val="16"/>
          <w:b w:val="1"/>
          <w:bCs w:val="1"/>
          <w:u w:val="single" w:color="auto"/>
          <w:color w:val="auto"/>
        </w:rPr>
        <w:t>http://www.viewproxy.com/TDSYNNEX/2023</w:t>
      </w:r>
      <w:r>
        <w:rPr>
          <w:rFonts w:ascii="Arial" w:cs="Arial" w:eastAsia="Arial" w:hAnsi="Arial"/>
          <w:sz w:val="16"/>
          <w:szCs w:val="16"/>
          <w:b w:val="1"/>
          <w:bCs w:val="1"/>
          <w:color w:val="auto"/>
        </w:rPr>
        <w:t>.</w:t>
      </w:r>
    </w:p>
    <w:p>
      <w:pPr>
        <w:spacing w:after="0" w:line="97"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If you want to receive a paper or e-mail copy of these documents, you</w:t>
      </w:r>
    </w:p>
    <w:p>
      <w:pPr>
        <w:spacing w:after="0" w:line="21"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must request one. There is no charge to you for requesting a copy.</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Please make your request for a copy as instructed below on or before</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March 13, 2023 to facilitate timely delivery.</w:t>
      </w:r>
    </w:p>
    <w:p>
      <w:pPr>
        <w:spacing w:after="0" w:line="97"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Important  information  regarding  the  Internet  availability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2978150</wp:posOffset>
            </wp:positionH>
            <wp:positionV relativeFrom="paragraph">
              <wp:posOffset>-46990</wp:posOffset>
            </wp:positionV>
            <wp:extent cx="240030" cy="2146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40030" cy="214630"/>
                    </a:xfrm>
                    <a:prstGeom prst="rect">
                      <a:avLst/>
                    </a:prstGeom>
                    <a:noFill/>
                  </pic:spPr>
                </pic:pic>
              </a:graphicData>
            </a:graphic>
          </wp:anchor>
        </w:drawing>
        <w:drawing>
          <wp:anchor simplePos="0" relativeHeight="251657728" behindDoc="1" locked="0" layoutInCell="0" allowOverlap="1">
            <wp:simplePos x="0" y="0"/>
            <wp:positionH relativeFrom="column">
              <wp:posOffset>-141605</wp:posOffset>
            </wp:positionH>
            <wp:positionV relativeFrom="paragraph">
              <wp:posOffset>-46990</wp:posOffset>
            </wp:positionV>
            <wp:extent cx="274320" cy="2146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74320" cy="214630"/>
                    </a:xfrm>
                    <a:prstGeom prst="rect">
                      <a:avLst/>
                    </a:prstGeom>
                    <a:noFill/>
                  </pic:spPr>
                </pic:pic>
              </a:graphicData>
            </a:graphic>
          </wp:anchor>
        </w:drawing>
      </w:r>
    </w:p>
    <w:p>
      <w:pPr>
        <w:spacing w:after="0" w:line="1"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Company’s proxy materials, instructions for accessing your proxy</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materials and voting online and instructions for requesting paper or</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e-mail copies of your proxy materials are provided on the reverse</w:t>
      </w:r>
    </w:p>
    <w:p>
      <w:pPr>
        <w:spacing w:after="0" w:line="5" w:lineRule="exact"/>
        <w:rPr>
          <w:sz w:val="20"/>
          <w:szCs w:val="20"/>
          <w:color w:val="auto"/>
        </w:rPr>
      </w:pPr>
    </w:p>
    <w:p>
      <w:pPr>
        <w:ind w:left="5400"/>
        <w:spacing w:after="0"/>
        <w:rPr>
          <w:sz w:val="20"/>
          <w:szCs w:val="20"/>
          <w:color w:val="auto"/>
        </w:rPr>
      </w:pPr>
      <w:r>
        <w:rPr>
          <w:rFonts w:ascii="Arial" w:cs="Arial" w:eastAsia="Arial" w:hAnsi="Arial"/>
          <w:sz w:val="16"/>
          <w:szCs w:val="16"/>
          <w:b w:val="1"/>
          <w:bCs w:val="1"/>
          <w:color w:val="auto"/>
        </w:rPr>
        <w:t>side of this Notice.</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780"/>
        <w:spacing w:after="0"/>
        <w:rPr>
          <w:sz w:val="20"/>
          <w:szCs w:val="20"/>
          <w:color w:val="auto"/>
        </w:rPr>
      </w:pPr>
      <w:r>
        <w:rPr>
          <w:rFonts w:ascii="Arial" w:cs="Arial" w:eastAsia="Arial" w:hAnsi="Arial"/>
          <w:sz w:val="18"/>
          <w:szCs w:val="18"/>
          <w:b w:val="1"/>
          <w:bCs w:val="1"/>
          <w:color w:val="auto"/>
        </w:rPr>
        <w:t>STOCKHOLDERS ARE CORDIALLY INVITED TO ATTEND THE ANNUAL MEETING AND VOTE IN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-99060</wp:posOffset>
            </wp:positionH>
            <wp:positionV relativeFrom="paragraph">
              <wp:posOffset>163195</wp:posOffset>
            </wp:positionV>
            <wp:extent cx="6926580" cy="18516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26580" cy="1851660"/>
                    </a:xfrm>
                    <a:prstGeom prst="rect">
                      <a:avLst/>
                    </a:prstGeom>
                    <a:noFill/>
                  </pic:spPr>
                </pic:pic>
              </a:graphicData>
            </a:graphic>
          </wp:anchor>
        </w:drawing>
      </w:r>
    </w:p>
    <w:p>
      <w:pPr>
        <w:spacing w:after="0" w:line="360" w:lineRule="exact"/>
        <w:rPr>
          <w:sz w:val="20"/>
          <w:szCs w:val="20"/>
          <w:color w:val="auto"/>
        </w:rPr>
      </w:pPr>
    </w:p>
    <w:p>
      <w:pPr>
        <w:spacing w:after="0"/>
        <w:rPr>
          <w:sz w:val="20"/>
          <w:szCs w:val="20"/>
          <w:color w:val="auto"/>
        </w:rPr>
      </w:pPr>
      <w:r>
        <w:rPr>
          <w:rFonts w:ascii="Arial" w:cs="Arial" w:eastAsia="Arial" w:hAnsi="Arial"/>
          <w:sz w:val="13"/>
          <w:szCs w:val="13"/>
          <w:color w:val="auto"/>
        </w:rPr>
        <w:t>To the Stockholders of TD SYNNEX Corporation</w:t>
      </w:r>
    </w:p>
    <w:p>
      <w:pPr>
        <w:spacing w:after="0" w:line="119" w:lineRule="exact"/>
        <w:rPr>
          <w:sz w:val="20"/>
          <w:szCs w:val="20"/>
          <w:color w:val="auto"/>
        </w:rPr>
      </w:pPr>
    </w:p>
    <w:p>
      <w:pPr>
        <w:ind w:right="100"/>
        <w:spacing w:after="0" w:line="297" w:lineRule="auto"/>
        <w:rPr>
          <w:sz w:val="20"/>
          <w:szCs w:val="20"/>
          <w:color w:val="auto"/>
        </w:rPr>
      </w:pPr>
      <w:r>
        <w:rPr>
          <w:rFonts w:ascii="Arial" w:cs="Arial" w:eastAsia="Arial" w:hAnsi="Arial"/>
          <w:sz w:val="13"/>
          <w:szCs w:val="13"/>
          <w:b w:val="1"/>
          <w:bCs w:val="1"/>
          <w:color w:val="auto"/>
        </w:rPr>
        <w:t>Notice is hereby given that the Annual Meeting of Stockholders of TD SYNNEX Corporation will be held on March 21, 2023 at 1:00 PM Eastern Time at 39 Pelham Ridge Drive, Greenville, SC 29615 for the following purposes:</w:t>
      </w:r>
    </w:p>
    <w:p>
      <w:pPr>
        <w:spacing w:after="0" w:line="4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Board of Directors recommends voting FOR proposal 1, FOR proposal 2, ONE YEAR on proposal 3, and FOR proposal 4.</w:t>
      </w:r>
    </w:p>
    <w:p>
      <w:pPr>
        <w:spacing w:after="0" w:line="123" w:lineRule="exact"/>
        <w:rPr>
          <w:sz w:val="20"/>
          <w:szCs w:val="20"/>
          <w:color w:val="auto"/>
        </w:rPr>
      </w:pPr>
    </w:p>
    <w:p>
      <w:pPr>
        <w:spacing w:after="0"/>
        <w:rPr>
          <w:sz w:val="20"/>
          <w:szCs w:val="20"/>
          <w:color w:val="auto"/>
        </w:rPr>
      </w:pPr>
      <w:r>
        <w:rPr>
          <w:rFonts w:ascii="Arial" w:cs="Arial" w:eastAsia="Arial" w:hAnsi="Arial"/>
          <w:sz w:val="13"/>
          <w:szCs w:val="13"/>
          <w:color w:val="auto"/>
        </w:rPr>
        <w:t>1.    Election of Directors.</w:t>
      </w:r>
    </w:p>
    <w:p>
      <w:pPr>
        <w:spacing w:after="0" w:line="11" w:lineRule="exact"/>
        <w:rPr>
          <w:sz w:val="20"/>
          <w:szCs w:val="20"/>
          <w:color w:val="auto"/>
        </w:rPr>
      </w:pPr>
    </w:p>
    <w:p>
      <w:pPr>
        <w:ind w:left="260" w:right="460" w:hanging="269"/>
        <w:spacing w:after="0" w:line="261" w:lineRule="auto"/>
        <w:rPr>
          <w:sz w:val="20"/>
          <w:szCs w:val="20"/>
          <w:color w:val="auto"/>
        </w:rPr>
      </w:pPr>
      <w:r>
        <w:rPr>
          <w:rFonts w:ascii="Arial" w:cs="Arial" w:eastAsia="Arial" w:hAnsi="Arial"/>
          <w:sz w:val="13"/>
          <w:szCs w:val="13"/>
          <w:color w:val="auto"/>
        </w:rPr>
        <w:t>      01. Dennis Polk 02. Robert Kalsow-Ramos 03. Ann Vezina 04. Richard Hume 05. Fred Breidenbach 06. Hau Lee 07. Matthew Miau 08. Nayaki Nayyar 09. Matthew Nord 10. Merline Saintil 11. Duane Zitzner</w:t>
      </w:r>
    </w:p>
    <w:p>
      <w:pPr>
        <w:spacing w:after="0" w:line="81" w:lineRule="exact"/>
        <w:rPr>
          <w:sz w:val="20"/>
          <w:szCs w:val="20"/>
          <w:color w:val="auto"/>
        </w:rPr>
      </w:pPr>
    </w:p>
    <w:p>
      <w:pPr>
        <w:spacing w:after="0"/>
        <w:rPr>
          <w:sz w:val="20"/>
          <w:szCs w:val="20"/>
          <w:color w:val="auto"/>
        </w:rPr>
      </w:pPr>
      <w:r>
        <w:rPr>
          <w:rFonts w:ascii="Arial" w:cs="Arial" w:eastAsia="Arial" w:hAnsi="Arial"/>
          <w:sz w:val="13"/>
          <w:szCs w:val="13"/>
          <w:color w:val="auto"/>
        </w:rPr>
        <w:t>2.    An advisory vote to approve our Executive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color w:val="auto"/>
        </w:rPr>
        <w:t>3.    An advisory vote on the frequency of holding an advisory vote on Executive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color w:val="auto"/>
        </w:rPr>
        <w:t>4.    Ratification of the appointment of KPMG LLP as our independent auditors for 2023</w:t>
      </w:r>
    </w:p>
    <w:p>
      <w:pPr>
        <w:spacing w:after="0" w:line="121" w:lineRule="exact"/>
        <w:rPr>
          <w:sz w:val="20"/>
          <w:szCs w:val="20"/>
          <w:color w:val="auto"/>
        </w:rPr>
      </w:pPr>
    </w:p>
    <w:p>
      <w:pPr>
        <w:ind w:left="260" w:right="100" w:hanging="269"/>
        <w:spacing w:after="0" w:line="260" w:lineRule="auto"/>
        <w:rPr>
          <w:sz w:val="20"/>
          <w:szCs w:val="20"/>
          <w:color w:val="auto"/>
        </w:rPr>
      </w:pPr>
      <w:r>
        <w:rPr>
          <w:rFonts w:ascii="Arial" w:cs="Arial" w:eastAsia="Arial" w:hAnsi="Arial"/>
          <w:sz w:val="13"/>
          <w:szCs w:val="13"/>
          <w:color w:val="auto"/>
        </w:rPr>
        <w:t>5.   In their discretion, the proxies are authorized to vote upon such other business as may properly come before the Annual Meeting and any adjournments or postponements thereof.</w:t>
      </w:r>
    </w:p>
    <w:p>
      <w:pPr>
        <w:spacing w:after="0" w:line="200" w:lineRule="exact"/>
        <w:rPr>
          <w:sz w:val="20"/>
          <w:szCs w:val="20"/>
          <w:color w:val="auto"/>
        </w:rPr>
      </w:pPr>
    </w:p>
    <w:p>
      <w:pPr>
        <w:spacing w:after="0" w:line="298" w:lineRule="exact"/>
        <w:rPr>
          <w:sz w:val="20"/>
          <w:szCs w:val="20"/>
          <w:color w:val="auto"/>
        </w:rPr>
      </w:pPr>
    </w:p>
    <w:p>
      <w:pPr>
        <w:jc w:val="center"/>
        <w:ind w:right="220"/>
        <w:spacing w:after="0"/>
        <w:rPr>
          <w:sz w:val="20"/>
          <w:szCs w:val="20"/>
          <w:color w:val="auto"/>
        </w:rPr>
      </w:pPr>
      <w:r>
        <w:rPr>
          <w:rFonts w:ascii="Arial" w:cs="Arial" w:eastAsia="Arial" w:hAnsi="Arial"/>
          <w:sz w:val="16"/>
          <w:szCs w:val="16"/>
          <w:color w:val="auto"/>
        </w:rPr>
        <w:t>The Securities and Exchange Commission rules permit us to make our proxy materials available to our stockholders via the Internet.</w:t>
      </w:r>
    </w:p>
    <w:p>
      <w:pPr>
        <w:spacing w:after="0" w:line="212" w:lineRule="exact"/>
        <w:rPr>
          <w:sz w:val="20"/>
          <w:szCs w:val="20"/>
          <w:color w:val="auto"/>
        </w:rPr>
      </w:pPr>
    </w:p>
    <w:p>
      <w:pPr>
        <w:ind w:left="360"/>
        <w:spacing w:after="0"/>
        <w:rPr>
          <w:sz w:val="20"/>
          <w:szCs w:val="20"/>
          <w:color w:val="auto"/>
        </w:rPr>
      </w:pPr>
      <w:r>
        <w:rPr>
          <w:rFonts w:ascii="Arial" w:cs="Arial" w:eastAsia="Arial" w:hAnsi="Arial"/>
          <w:sz w:val="20"/>
          <w:szCs w:val="20"/>
          <w:b w:val="1"/>
          <w:bCs w:val="1"/>
          <w:color w:val="auto"/>
        </w:rPr>
        <w:t>Material for this Annual Meeting and future meetings may be requested by one of the following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-141605</wp:posOffset>
            </wp:positionH>
            <wp:positionV relativeFrom="paragraph">
              <wp:posOffset>160655</wp:posOffset>
            </wp:positionV>
            <wp:extent cx="1774190" cy="4114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74190" cy="411480"/>
                    </a:xfrm>
                    <a:prstGeom prst="rect">
                      <a:avLst/>
                    </a:prstGeom>
                    <a:noFill/>
                  </pic:spPr>
                </pic:pic>
              </a:graphicData>
            </a:graphic>
          </wp:anchor>
        </w:drawing>
      </w:r>
    </w:p>
    <w:p>
      <w:pPr>
        <w:spacing w:after="0" w:line="367" w:lineRule="exact"/>
        <w:rPr>
          <w:sz w:val="20"/>
          <w:szCs w:val="20"/>
          <w:color w:val="auto"/>
        </w:rPr>
      </w:pPr>
    </w:p>
    <w:p>
      <w:pPr>
        <w:jc w:val="both"/>
        <w:ind w:left="3320" w:right="20"/>
        <w:spacing w:after="0" w:line="286" w:lineRule="auto"/>
        <w:rPr>
          <w:sz w:val="20"/>
          <w:szCs w:val="20"/>
          <w:color w:val="auto"/>
        </w:rPr>
      </w:pPr>
      <w:r>
        <w:rPr>
          <w:rFonts w:ascii="Arial" w:cs="Arial" w:eastAsia="Arial" w:hAnsi="Arial"/>
          <w:sz w:val="16"/>
          <w:szCs w:val="16"/>
          <w:color w:val="auto"/>
        </w:rPr>
        <w:t xml:space="preserve">To view your proxy materials online, go to </w:t>
      </w:r>
      <w:r>
        <w:rPr>
          <w:rFonts w:ascii="Arial" w:cs="Arial" w:eastAsia="Arial" w:hAnsi="Arial"/>
          <w:sz w:val="16"/>
          <w:szCs w:val="16"/>
          <w:u w:val="single" w:color="auto"/>
          <w:color w:val="auto"/>
        </w:rPr>
        <w:t>http://www.viewproxy.com/TDSYNNEX/2023</w:t>
      </w:r>
      <w:r>
        <w:rPr>
          <w:rFonts w:ascii="Arial" w:cs="Arial" w:eastAsia="Arial" w:hAnsi="Arial"/>
          <w:sz w:val="16"/>
          <w:szCs w:val="16"/>
          <w:color w:val="auto"/>
        </w:rPr>
        <w:t>. Have the 11 digit control number available when you access the website and follow the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-141605</wp:posOffset>
            </wp:positionH>
            <wp:positionV relativeFrom="paragraph">
              <wp:posOffset>73660</wp:posOffset>
            </wp:positionV>
            <wp:extent cx="1774190" cy="4114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74190" cy="411480"/>
                    </a:xfrm>
                    <a:prstGeom prst="rect">
                      <a:avLst/>
                    </a:prstGeom>
                    <a:noFill/>
                  </pic:spPr>
                </pic:pic>
              </a:graphicData>
            </a:graphic>
          </wp:anchor>
        </w:drawing>
      </w:r>
    </w:p>
    <w:p>
      <w:pPr>
        <w:spacing w:after="0" w:line="325" w:lineRule="exact"/>
        <w:rPr>
          <w:sz w:val="20"/>
          <w:szCs w:val="20"/>
          <w:color w:val="auto"/>
        </w:rPr>
      </w:pPr>
    </w:p>
    <w:p>
      <w:pPr>
        <w:ind w:left="3320"/>
        <w:spacing w:after="0"/>
        <w:tabs>
          <w:tab w:leader="none" w:pos="5320" w:val="left"/>
        </w:tabs>
        <w:rPr>
          <w:sz w:val="20"/>
          <w:szCs w:val="20"/>
          <w:color w:val="auto"/>
        </w:rPr>
      </w:pPr>
      <w:r>
        <w:rPr>
          <w:rFonts w:ascii="Arial" w:cs="Arial" w:eastAsia="Arial" w:hAnsi="Arial"/>
          <w:sz w:val="16"/>
          <w:szCs w:val="16"/>
          <w:b w:val="1"/>
          <w:bCs w:val="1"/>
          <w:color w:val="auto"/>
        </w:rPr>
        <w:t>Call 1-877-777-2857</w:t>
      </w:r>
      <w:r>
        <w:rPr>
          <w:sz w:val="20"/>
          <w:szCs w:val="20"/>
          <w:color w:val="auto"/>
        </w:rPr>
        <w:tab/>
      </w:r>
      <w:r>
        <w:rPr>
          <w:rFonts w:ascii="Arial" w:cs="Arial" w:eastAsia="Arial" w:hAnsi="Arial"/>
          <w:sz w:val="16"/>
          <w:szCs w:val="16"/>
          <w:b w:val="1"/>
          <w:bCs w:val="1"/>
          <w:color w:val="auto"/>
        </w:rPr>
        <w:t>TOLL FREE</w:t>
      </w:r>
    </w:p>
    <w:p>
      <w:pPr>
        <w:spacing w:after="0" w:line="262" w:lineRule="exact"/>
        <w:rPr>
          <w:sz w:val="20"/>
          <w:szCs w:val="20"/>
          <w:color w:val="auto"/>
        </w:rPr>
      </w:pPr>
    </w:p>
    <w:p>
      <w:pPr>
        <w:ind w:left="3320"/>
        <w:spacing w:after="0"/>
        <w:rPr>
          <w:sz w:val="20"/>
          <w:szCs w:val="20"/>
          <w:color w:val="auto"/>
        </w:rPr>
      </w:pPr>
      <w:r>
        <w:rPr>
          <w:rFonts w:ascii="Arial" w:cs="Arial" w:eastAsia="Arial" w:hAnsi="Arial"/>
          <w:sz w:val="16"/>
          <w:szCs w:val="16"/>
          <w:color w:val="auto"/>
        </w:rPr>
        <w:t xml:space="preserve">By email at: </w:t>
      </w:r>
      <w:r>
        <w:rPr>
          <w:rFonts w:ascii="Arial" w:cs="Arial" w:eastAsia="Arial" w:hAnsi="Arial"/>
          <w:sz w:val="16"/>
          <w:szCs w:val="16"/>
          <w:u w:val="single" w:color="auto"/>
          <w:color w:val="auto"/>
        </w:rPr>
        <w:t>requests@viewproxy.com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-141605</wp:posOffset>
            </wp:positionH>
            <wp:positionV relativeFrom="paragraph">
              <wp:posOffset>-29845</wp:posOffset>
            </wp:positionV>
            <wp:extent cx="1774190" cy="4114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774190" cy="411480"/>
                    </a:xfrm>
                    <a:prstGeom prst="rect">
                      <a:avLst/>
                    </a:prstGeom>
                    <a:noFill/>
                  </pic:spPr>
                </pic:pic>
              </a:graphicData>
            </a:graphic>
          </wp:anchor>
        </w:drawing>
      </w:r>
    </w:p>
    <w:p>
      <w:pPr>
        <w:spacing w:after="0" w:line="1" w:lineRule="exact"/>
        <w:rPr>
          <w:sz w:val="20"/>
          <w:szCs w:val="20"/>
          <w:color w:val="auto"/>
        </w:rPr>
      </w:pPr>
    </w:p>
    <w:p>
      <w:pPr>
        <w:jc w:val="both"/>
        <w:ind w:left="3480" w:right="20" w:hanging="161"/>
        <w:spacing w:after="0" w:line="256" w:lineRule="auto"/>
        <w:rPr>
          <w:sz w:val="20"/>
          <w:szCs w:val="20"/>
          <w:color w:val="auto"/>
        </w:rPr>
      </w:pPr>
      <w:r>
        <w:rPr>
          <w:rFonts w:ascii="Arial" w:cs="Arial" w:eastAsia="Arial" w:hAnsi="Arial"/>
          <w:sz w:val="16"/>
          <w:szCs w:val="16"/>
          <w:color w:val="auto"/>
        </w:rPr>
        <w:t>*   If requesting material by e-mail, please send a blank email with the company name and your 11 digit control number (located below) in the subject line. No other requests, instructions, or other inquiries should be included with your email requesting material.</w:t>
      </w:r>
    </w:p>
    <w:p>
      <w:pPr>
        <w:spacing w:after="0" w:line="182" w:lineRule="exact"/>
        <w:rPr>
          <w:sz w:val="20"/>
          <w:szCs w:val="20"/>
          <w:color w:val="auto"/>
        </w:rPr>
      </w:pPr>
    </w:p>
    <w:p>
      <w:pPr>
        <w:jc w:val="center"/>
        <w:ind w:right="220"/>
        <w:spacing w:after="0"/>
        <w:rPr>
          <w:sz w:val="20"/>
          <w:szCs w:val="20"/>
          <w:color w:val="auto"/>
        </w:rPr>
      </w:pPr>
      <w:r>
        <w:rPr>
          <w:rFonts w:ascii="Arial" w:cs="Arial" w:eastAsia="Arial" w:hAnsi="Arial"/>
          <w:sz w:val="20"/>
          <w:szCs w:val="20"/>
          <w:b w:val="1"/>
          <w:bCs w:val="1"/>
          <w:color w:val="auto"/>
        </w:rPr>
        <w:t>You must use the 11 digit control number located in the box below.</w:t>
      </w:r>
    </w:p>
    <w:p>
      <w:pPr>
        <w:spacing w:after="0" w:line="111" w:lineRule="exact"/>
        <w:rPr>
          <w:sz w:val="20"/>
          <w:szCs w:val="20"/>
          <w:color w:val="auto"/>
        </w:rPr>
      </w:pPr>
    </w:p>
    <w:tbl>
      <w:tblPr>
        <w:tblLayout w:type="fixed"/>
        <w:tblInd w:w="230" w:type="dxa"/>
        <w:tblCellMar>
          <w:top w:w="0" w:type="dxa"/>
          <w:left w:w="0" w:type="dxa"/>
          <w:bottom w:w="0" w:type="dxa"/>
          <w:right w:w="0" w:type="dxa"/>
        </w:tblCellMar>
      </w:tblPr>
      <w:tr>
        <w:trPr>
          <w:trHeight w:val="281"/>
        </w:trPr>
        <w:tc>
          <w:tcPr>
            <w:tcW w:w="3840" w:type="dxa"/>
            <w:vAlign w:val="bottom"/>
            <w:tcBorders>
              <w:top w:val="single" w:sz="8" w:color="auto"/>
              <w:left w:val="single" w:sz="8" w:color="auto"/>
              <w:right w:val="single" w:sz="8" w:color="auto"/>
            </w:tcBorders>
          </w:tcPr>
          <w:p>
            <w:pPr>
              <w:jc w:val="center"/>
              <w:ind w:right="1268"/>
              <w:spacing w:after="0"/>
              <w:rPr>
                <w:sz w:val="20"/>
                <w:szCs w:val="20"/>
                <w:color w:val="auto"/>
              </w:rPr>
            </w:pPr>
            <w:r>
              <w:rPr>
                <w:rFonts w:ascii="Arial" w:cs="Arial" w:eastAsia="Arial" w:hAnsi="Arial"/>
                <w:sz w:val="14"/>
                <w:szCs w:val="14"/>
                <w:b w:val="1"/>
                <w:bCs w:val="1"/>
                <w:color w:val="auto"/>
              </w:rPr>
              <w:t>SCAN TO</w:t>
            </w:r>
          </w:p>
        </w:tc>
        <w:tc>
          <w:tcPr>
            <w:tcW w:w="1100" w:type="dxa"/>
            <w:vAlign w:val="bottom"/>
            <w:tcBorders>
              <w:right w:val="single" w:sz="8" w:color="auto"/>
            </w:tcBorders>
          </w:tcPr>
          <w:p>
            <w:pPr>
              <w:spacing w:after="0"/>
              <w:rPr>
                <w:sz w:val="24"/>
                <w:szCs w:val="24"/>
                <w:color w:val="auto"/>
              </w:rPr>
            </w:pPr>
          </w:p>
        </w:tc>
        <w:tc>
          <w:tcPr>
            <w:tcW w:w="1440" w:type="dxa"/>
            <w:vAlign w:val="bottom"/>
            <w:tcBorders>
              <w:top w:val="single" w:sz="8" w:color="auto"/>
            </w:tcBorders>
          </w:tcPr>
          <w:p>
            <w:pPr>
              <w:spacing w:after="0"/>
              <w:rPr>
                <w:sz w:val="24"/>
                <w:szCs w:val="24"/>
                <w:color w:val="auto"/>
              </w:rPr>
            </w:pPr>
          </w:p>
        </w:tc>
        <w:tc>
          <w:tcPr>
            <w:tcW w:w="3760" w:type="dxa"/>
            <w:vAlign w:val="bottom"/>
            <w:tcBorders>
              <w:top w:val="single" w:sz="8" w:color="auto"/>
              <w:right w:val="single" w:sz="8" w:color="auto"/>
            </w:tcBorders>
            <w:gridSpan w:val="2"/>
          </w:tcPr>
          <w:p>
            <w:pPr>
              <w:ind w:left="1060"/>
              <w:spacing w:after="0"/>
              <w:rPr>
                <w:sz w:val="20"/>
                <w:szCs w:val="20"/>
                <w:color w:val="auto"/>
              </w:rPr>
            </w:pPr>
            <w:r>
              <w:rPr>
                <w:rFonts w:ascii="Arial" w:cs="Arial" w:eastAsia="Arial" w:hAnsi="Arial"/>
                <w:sz w:val="14"/>
                <w:szCs w:val="14"/>
                <w:b w:val="1"/>
                <w:bCs w:val="1"/>
                <w:color w:val="auto"/>
              </w:rPr>
              <w:t>CONTROL NUMBER</w:t>
            </w:r>
          </w:p>
        </w:tc>
        <w:tc>
          <w:tcPr>
            <w:tcW w:w="0" w:type="dxa"/>
            <w:vAlign w:val="bottom"/>
          </w:tcPr>
          <w:p>
            <w:pPr>
              <w:spacing w:after="0"/>
              <w:rPr>
                <w:sz w:val="1"/>
                <w:szCs w:val="1"/>
                <w:color w:val="auto"/>
              </w:rPr>
            </w:pPr>
          </w:p>
        </w:tc>
      </w:tr>
      <w:tr>
        <w:trPr>
          <w:trHeight w:val="162"/>
        </w:trPr>
        <w:tc>
          <w:tcPr>
            <w:tcW w:w="3840" w:type="dxa"/>
            <w:vAlign w:val="bottom"/>
            <w:tcBorders>
              <w:top w:val="single" w:sz="8" w:color="auto"/>
              <w:left w:val="single" w:sz="8" w:color="auto"/>
              <w:right w:val="single" w:sz="8" w:color="auto"/>
            </w:tcBorders>
          </w:tcPr>
          <w:p>
            <w:pPr>
              <w:jc w:val="center"/>
              <w:ind w:right="1268"/>
              <w:spacing w:after="0"/>
              <w:rPr>
                <w:sz w:val="20"/>
                <w:szCs w:val="20"/>
                <w:color w:val="auto"/>
              </w:rPr>
            </w:pPr>
            <w:r>
              <w:rPr>
                <w:rFonts w:ascii="Arial" w:cs="Arial" w:eastAsia="Arial" w:hAnsi="Arial"/>
                <w:sz w:val="14"/>
                <w:szCs w:val="14"/>
                <w:b w:val="1"/>
                <w:bCs w:val="1"/>
                <w:color w:val="auto"/>
              </w:rPr>
              <w:t>VIEW MATERIALS &amp;</w:t>
            </w:r>
          </w:p>
        </w:tc>
        <w:tc>
          <w:tcPr>
            <w:tcW w:w="1100" w:type="dxa"/>
            <w:vAlign w:val="bottom"/>
            <w:tcBorders>
              <w:right w:val="single" w:sz="8" w:color="auto"/>
            </w:tcBorders>
          </w:tcPr>
          <w:p>
            <w:pPr>
              <w:spacing w:after="0"/>
              <w:rPr>
                <w:sz w:val="14"/>
                <w:szCs w:val="14"/>
                <w:color w:val="auto"/>
              </w:rPr>
            </w:pPr>
          </w:p>
        </w:tc>
        <w:tc>
          <w:tcPr>
            <w:tcW w:w="1440" w:type="dxa"/>
            <w:vAlign w:val="bottom"/>
            <w:tcBorders>
              <w:right w:val="single" w:sz="8" w:color="auto"/>
            </w:tcBorders>
          </w:tcPr>
          <w:p>
            <w:pPr>
              <w:spacing w:after="0"/>
              <w:rPr>
                <w:sz w:val="14"/>
                <w:szCs w:val="14"/>
                <w:color w:val="auto"/>
              </w:rPr>
            </w:pPr>
          </w:p>
        </w:tc>
        <w:tc>
          <w:tcPr>
            <w:tcW w:w="3400" w:type="dxa"/>
            <w:vAlign w:val="bottom"/>
            <w:tcBorders>
              <w:top w:val="single" w:sz="8" w:color="auto"/>
              <w:right w:val="single" w:sz="8" w:color="auto"/>
            </w:tcBorders>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0"/>
        </w:trPr>
        <w:tc>
          <w:tcPr>
            <w:tcW w:w="3840" w:type="dxa"/>
            <w:vAlign w:val="bottom"/>
            <w:tcBorders>
              <w:left w:val="single" w:sz="8" w:color="auto"/>
              <w:right w:val="single" w:sz="8" w:color="auto"/>
            </w:tcBorders>
            <w:vMerge w:val="restart"/>
          </w:tcPr>
          <w:p>
            <w:pPr>
              <w:jc w:val="center"/>
              <w:ind w:right="1268"/>
              <w:spacing w:after="0"/>
              <w:rPr>
                <w:sz w:val="20"/>
                <w:szCs w:val="20"/>
                <w:color w:val="auto"/>
              </w:rPr>
            </w:pPr>
            <w:r>
              <w:rPr>
                <w:rFonts w:ascii="Arial" w:cs="Arial" w:eastAsia="Arial" w:hAnsi="Arial"/>
                <w:sz w:val="14"/>
                <w:szCs w:val="14"/>
                <w:b w:val="1"/>
                <w:bCs w:val="1"/>
                <w:color w:val="auto"/>
                <w:w w:val="99"/>
              </w:rPr>
              <w:t>VOTE</w:t>
            </w:r>
          </w:p>
        </w:tc>
        <w:tc>
          <w:tcPr>
            <w:tcW w:w="1100" w:type="dxa"/>
            <w:vAlign w:val="bottom"/>
            <w:tcBorders>
              <w:right w:val="single" w:sz="8" w:color="auto"/>
            </w:tcBorders>
            <w:vMerge w:val="restart"/>
          </w:tcPr>
          <w:p>
            <w:pPr>
              <w:spacing w:after="0"/>
              <w:rPr>
                <w:sz w:val="7"/>
                <w:szCs w:val="7"/>
                <w:color w:val="auto"/>
              </w:rPr>
            </w:pPr>
          </w:p>
        </w:tc>
        <w:tc>
          <w:tcPr>
            <w:tcW w:w="1440" w:type="dxa"/>
            <w:vAlign w:val="bottom"/>
            <w:tcBorders>
              <w:right w:val="single" w:sz="8" w:color="auto"/>
            </w:tcBorders>
          </w:tcPr>
          <w:p>
            <w:pPr>
              <w:spacing w:after="0"/>
              <w:rPr>
                <w:sz w:val="7"/>
                <w:szCs w:val="7"/>
                <w:color w:val="auto"/>
              </w:rPr>
            </w:pPr>
          </w:p>
        </w:tc>
        <w:tc>
          <w:tcPr>
            <w:tcW w:w="3400" w:type="dxa"/>
            <w:vAlign w:val="bottom"/>
            <w:tcBorders>
              <w:bottom w:val="single" w:sz="8" w:color="auto"/>
              <w:right w:val="single" w:sz="8" w:color="auto"/>
            </w:tcBorders>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3840" w:type="dxa"/>
            <w:vAlign w:val="bottom"/>
            <w:tcBorders>
              <w:left w:val="single" w:sz="8" w:color="auto"/>
              <w:right w:val="single" w:sz="8" w:color="auto"/>
            </w:tcBorders>
            <w:vMerge w:val="continue"/>
          </w:tcPr>
          <w:p>
            <w:pPr>
              <w:spacing w:after="0"/>
              <w:rPr>
                <w:sz w:val="7"/>
                <w:szCs w:val="7"/>
                <w:color w:val="auto"/>
              </w:rPr>
            </w:pPr>
          </w:p>
        </w:tc>
        <w:tc>
          <w:tcPr>
            <w:tcW w:w="1100" w:type="dxa"/>
            <w:vAlign w:val="bottom"/>
            <w:tcBorders>
              <w:right w:val="single" w:sz="8" w:color="auto"/>
            </w:tcBorders>
            <w:vMerge w:val="continue"/>
          </w:tcPr>
          <w:p>
            <w:pPr>
              <w:spacing w:after="0"/>
              <w:rPr>
                <w:sz w:val="7"/>
                <w:szCs w:val="7"/>
                <w:color w:val="auto"/>
              </w:rPr>
            </w:pPr>
          </w:p>
        </w:tc>
        <w:tc>
          <w:tcPr>
            <w:tcW w:w="14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3840" w:type="dxa"/>
            <w:vAlign w:val="bottom"/>
            <w:tcBorders>
              <w:left w:val="single" w:sz="8" w:color="auto"/>
              <w:bottom w:val="single" w:sz="8" w:color="auto"/>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3400" w:type="dxa"/>
            <w:vAlign w:val="bottom"/>
            <w:tcBorders>
              <w:bottom w:val="single" w:sz="8" w:color="auto"/>
            </w:tcBorders>
          </w:tcPr>
          <w:p>
            <w:pPr>
              <w:spacing w:after="0"/>
              <w:rPr>
                <w:sz w:val="10"/>
                <w:szCs w:val="10"/>
                <w:color w:val="auto"/>
              </w:rPr>
            </w:pPr>
          </w:p>
        </w:tc>
        <w:tc>
          <w:tcPr>
            <w:tcW w:w="3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-436880</wp:posOffset>
            </wp:positionV>
            <wp:extent cx="196850" cy="3683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96850" cy="368300"/>
                    </a:xfrm>
                    <a:prstGeom prst="rect">
                      <a:avLst/>
                    </a:prstGeom>
                    <a:noFill/>
                  </pic:spPr>
                </pic:pic>
              </a:graphicData>
            </a:graphic>
          </wp:anchor>
        </w:drawing>
        <w:drawing>
          <wp:anchor simplePos="0" relativeHeight="251657728" behindDoc="1" locked="0" layoutInCell="0" allowOverlap="1">
            <wp:simplePos x="0" y="0"/>
            <wp:positionH relativeFrom="column">
              <wp:posOffset>1460500</wp:posOffset>
            </wp:positionH>
            <wp:positionV relativeFrom="paragraph">
              <wp:posOffset>-368300</wp:posOffset>
            </wp:positionV>
            <wp:extent cx="231140" cy="2311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31140" cy="231140"/>
                    </a:xfrm>
                    <a:prstGeom prst="rect">
                      <a:avLst/>
                    </a:prstGeom>
                    <a:noFill/>
                  </pic:spPr>
                </pic:pic>
              </a:graphicData>
            </a:graphic>
          </wp:anchor>
        </w:drawing>
        <w:drawing>
          <wp:anchor simplePos="0" relativeHeight="251657728" behindDoc="1" locked="0" layoutInCell="0" allowOverlap="1">
            <wp:simplePos x="0" y="0"/>
            <wp:positionH relativeFrom="column">
              <wp:posOffset>3492500</wp:posOffset>
            </wp:positionH>
            <wp:positionV relativeFrom="paragraph">
              <wp:posOffset>-334010</wp:posOffset>
            </wp:positionV>
            <wp:extent cx="651510" cy="2400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51510" cy="240030"/>
                    </a:xfrm>
                    <a:prstGeom prst="rect">
                      <a:avLst/>
                    </a:prstGeom>
                    <a:noFill/>
                  </pic:spPr>
                </pic:pic>
              </a:graphicData>
            </a:graphic>
          </wp:anchor>
        </w:drawing>
      </w:r>
    </w:p>
    <w:p>
      <w:pPr>
        <w:sectPr>
          <w:pgSz w:w="11900" w:h="16838" w:orient="portrait"/>
          <w:cols w:equalWidth="0" w:num="1">
            <w:col w:w="10800"/>
          </w:cols>
          <w:pgMar w:left="660" w:top="264" w:right="4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TD SYNNEX Corporation</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39 Pelham Ridge Drive, Greenville, SC 29615</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The following proxy materials are available to you to review at:</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http://www.viewproxy.com/TDSYNNEX/2023</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Proxy Statement 2023/Annual Report 2022</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To obtain directions to the Annual Meeting, email Investor Relations at ir@synnex.com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2020"/>
        <w:spacing w:after="0"/>
        <w:rPr>
          <w:sz w:val="20"/>
          <w:szCs w:val="20"/>
          <w:color w:val="auto"/>
        </w:rPr>
      </w:pPr>
      <w:r>
        <w:rPr>
          <w:rFonts w:ascii="Arial" w:cs="Arial" w:eastAsia="Arial" w:hAnsi="Arial"/>
          <w:sz w:val="22"/>
          <w:szCs w:val="22"/>
          <w:b w:val="1"/>
          <w:bCs w:val="1"/>
          <w:u w:val="single" w:color="auto"/>
          <w:color w:val="auto"/>
        </w:rPr>
        <w:t>ACCESSING YOUR PROXY MATERIALS ONLINE</w:t>
      </w:r>
    </w:p>
    <w:p>
      <w:pPr>
        <w:spacing w:after="0" w:line="100" w:lineRule="exact"/>
        <w:rPr>
          <w:sz w:val="20"/>
          <w:szCs w:val="20"/>
          <w:color w:val="auto"/>
        </w:rPr>
      </w:pPr>
    </w:p>
    <w:p>
      <w:pPr>
        <w:ind w:left="560"/>
        <w:spacing w:after="0"/>
        <w:rPr>
          <w:sz w:val="20"/>
          <w:szCs w:val="20"/>
          <w:color w:val="auto"/>
        </w:rPr>
      </w:pPr>
      <w:r>
        <w:rPr>
          <w:rFonts w:ascii="Arial" w:cs="Arial" w:eastAsia="Arial" w:hAnsi="Arial"/>
          <w:sz w:val="22"/>
          <w:szCs w:val="22"/>
          <w:color w:val="auto"/>
        </w:rPr>
        <w:t>Have this notice available when you request a paper copy of the proxy materials or</w:t>
      </w:r>
    </w:p>
    <w:p>
      <w:pPr>
        <w:jc w:val="center"/>
        <w:ind w:right="19"/>
        <w:spacing w:after="0"/>
        <w:rPr>
          <w:sz w:val="20"/>
          <w:szCs w:val="20"/>
          <w:color w:val="auto"/>
        </w:rPr>
      </w:pPr>
      <w:r>
        <w:rPr>
          <w:rFonts w:ascii="Arial" w:cs="Arial" w:eastAsia="Arial" w:hAnsi="Arial"/>
          <w:sz w:val="22"/>
          <w:szCs w:val="22"/>
          <w:color w:val="auto"/>
        </w:rPr>
        <w:t>to vote your proxy electronically.</w:t>
      </w:r>
    </w:p>
    <w:p>
      <w:pPr>
        <w:jc w:val="center"/>
        <w:ind w:right="19"/>
        <w:spacing w:after="0"/>
        <w:rPr>
          <w:sz w:val="20"/>
          <w:szCs w:val="20"/>
          <w:color w:val="auto"/>
        </w:rPr>
      </w:pPr>
      <w:r>
        <w:rPr>
          <w:rFonts w:ascii="Arial" w:cs="Arial" w:eastAsia="Arial" w:hAnsi="Arial"/>
          <w:sz w:val="22"/>
          <w:szCs w:val="22"/>
          <w:color w:val="auto"/>
        </w:rPr>
        <w:t>You must reference your control number to vote by internet or request hard copy.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You May Vote Your Proxy When You View The Material On The Internet.</w:t>
      </w:r>
    </w:p>
    <w:p>
      <w:pPr>
        <w:spacing w:after="0" w:line="1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You Will Be Asked To Follow The Prompts To Vote Your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left="380" w:right="399"/>
        <w:spacing w:after="0" w:line="286" w:lineRule="auto"/>
        <w:rPr>
          <w:sz w:val="20"/>
          <w:szCs w:val="20"/>
          <w:color w:val="auto"/>
        </w:rPr>
      </w:pPr>
      <w:r>
        <w:rPr>
          <w:rFonts w:ascii="Arial" w:cs="Arial" w:eastAsia="Arial" w:hAnsi="Arial"/>
          <w:sz w:val="16"/>
          <w:szCs w:val="16"/>
          <w:color w:val="auto"/>
        </w:rPr>
        <w:t>Your electronic vote authorizes the named proxies to vote your shares in the same manner as if you marked, signed, dated, and returned the proxy card.</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1460"/>
        <w:spacing w:after="0"/>
        <w:rPr>
          <w:sz w:val="20"/>
          <w:szCs w:val="20"/>
          <w:color w:val="auto"/>
        </w:rPr>
      </w:pPr>
      <w:r>
        <w:rPr>
          <w:rFonts w:ascii="Arial" w:cs="Arial" w:eastAsia="Arial" w:hAnsi="Arial"/>
          <w:sz w:val="22"/>
          <w:szCs w:val="22"/>
          <w:b w:val="1"/>
          <w:bCs w:val="1"/>
          <w:u w:val="single" w:color="auto"/>
          <w:color w:val="auto"/>
        </w:rPr>
        <w:t>REQUESTING A PAPER COPY OF THE PROXY MATERIALS</w:t>
      </w:r>
    </w:p>
    <w:p>
      <w:pPr>
        <w:spacing w:after="0" w:line="98" w:lineRule="exact"/>
        <w:rPr>
          <w:sz w:val="20"/>
          <w:szCs w:val="20"/>
          <w:color w:val="auto"/>
        </w:rPr>
      </w:pPr>
    </w:p>
    <w:p>
      <w:pPr>
        <w:ind w:left="2540"/>
        <w:spacing w:after="0"/>
        <w:rPr>
          <w:sz w:val="20"/>
          <w:szCs w:val="20"/>
          <w:color w:val="auto"/>
        </w:rPr>
      </w:pPr>
      <w:r>
        <w:rPr>
          <w:rFonts w:ascii="Arial" w:cs="Arial" w:eastAsia="Arial" w:hAnsi="Arial"/>
          <w:sz w:val="22"/>
          <w:szCs w:val="22"/>
          <w:color w:val="auto"/>
        </w:rPr>
        <w:t xml:space="preserve">By telephone please call </w:t>
      </w:r>
      <w:r>
        <w:rPr>
          <w:rFonts w:ascii="Arial" w:cs="Arial" w:eastAsia="Arial" w:hAnsi="Arial"/>
          <w:sz w:val="22"/>
          <w:szCs w:val="22"/>
          <w:b w:val="1"/>
          <w:bCs w:val="1"/>
          <w:color w:val="auto"/>
        </w:rPr>
        <w:t>1-877-777-2857</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or</w:t>
      </w:r>
    </w:p>
    <w:p>
      <w:pPr>
        <w:jc w:val="center"/>
        <w:ind w:right="19"/>
        <w:spacing w:after="0" w:line="230" w:lineRule="auto"/>
        <w:rPr>
          <w:sz w:val="20"/>
          <w:szCs w:val="20"/>
          <w:color w:val="auto"/>
        </w:rPr>
      </w:pPr>
      <w:r>
        <w:rPr>
          <w:rFonts w:ascii="Arial" w:cs="Arial" w:eastAsia="Arial" w:hAnsi="Arial"/>
          <w:sz w:val="22"/>
          <w:szCs w:val="22"/>
          <w:color w:val="auto"/>
        </w:rPr>
        <w:t xml:space="preserve">By logging onto </w:t>
      </w:r>
      <w:r>
        <w:rPr>
          <w:rFonts w:ascii="Arial" w:cs="Arial" w:eastAsia="Arial" w:hAnsi="Arial"/>
          <w:sz w:val="22"/>
          <w:szCs w:val="22"/>
          <w:u w:val="single" w:color="auto"/>
          <w:color w:val="auto"/>
        </w:rPr>
        <w:t>http://www.viewproxy.com/TDSYNNEX/2023</w:t>
      </w:r>
    </w:p>
    <w:p>
      <w:pPr>
        <w:jc w:val="center"/>
        <w:ind w:right="19"/>
        <w:spacing w:after="0" w:line="231" w:lineRule="auto"/>
        <w:rPr>
          <w:sz w:val="20"/>
          <w:szCs w:val="20"/>
          <w:color w:val="auto"/>
        </w:rPr>
      </w:pPr>
      <w:r>
        <w:rPr>
          <w:rFonts w:ascii="Arial" w:cs="Arial" w:eastAsia="Arial" w:hAnsi="Arial"/>
          <w:sz w:val="22"/>
          <w:szCs w:val="22"/>
          <w:color w:val="auto"/>
        </w:rPr>
        <w:t>or</w:t>
      </w:r>
    </w:p>
    <w:p>
      <w:pPr>
        <w:jc w:val="center"/>
        <w:ind w:right="19"/>
        <w:spacing w:after="0"/>
        <w:rPr>
          <w:sz w:val="20"/>
          <w:szCs w:val="20"/>
          <w:color w:val="auto"/>
        </w:rPr>
      </w:pPr>
      <w:r>
        <w:rPr>
          <w:rFonts w:ascii="Arial" w:cs="Arial" w:eastAsia="Arial" w:hAnsi="Arial"/>
          <w:sz w:val="22"/>
          <w:szCs w:val="22"/>
          <w:color w:val="auto"/>
        </w:rPr>
        <w:t xml:space="preserve">By email at: </w:t>
      </w:r>
      <w:r>
        <w:rPr>
          <w:rFonts w:ascii="Arial" w:cs="Arial" w:eastAsia="Arial" w:hAnsi="Arial"/>
          <w:sz w:val="22"/>
          <w:szCs w:val="22"/>
          <w:u w:val="single" w:color="auto"/>
          <w:color w:val="auto"/>
        </w:rPr>
        <w:t>requests@viewproxy.com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Please include the company name and your control number in the subject line.</w:t>
      </w:r>
    </w:p>
    <w:sectPr>
      <w:pgSz w:w="11900" w:h="16838" w:orient="portrait"/>
      <w:cols w:equalWidth="0" w:num="1">
        <w:col w:w="9019"/>
      </w:cols>
      <w:pgMar w:left="1440" w:top="26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2023-02-06T15:36:16Z</dcterms:created>
  <dcterms:modified xsi:type="dcterms:W3CDTF">2023-02-06T15:36:16Z</dcterms:modified>
</cp:coreProperties>
</file>